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EC260">
      <w:pPr>
        <w:spacing w:line="600" w:lineRule="exact"/>
        <w:jc w:val="center"/>
        <w:outlineLvl w:val="0"/>
        <w:rPr>
          <w:rFonts w:ascii="方正小标宋简体" w:hAnsi="宋体" w:eastAsia="方正小标宋简体"/>
          <w:color w:val="000000"/>
          <w:sz w:val="72"/>
          <w:szCs w:val="72"/>
        </w:rPr>
      </w:pPr>
      <w:bookmarkStart w:id="0" w:name="_Toc15306267"/>
    </w:p>
    <w:p w14:paraId="4BFDAEA2">
      <w:pPr>
        <w:spacing w:line="600" w:lineRule="exact"/>
        <w:jc w:val="center"/>
        <w:outlineLvl w:val="0"/>
        <w:rPr>
          <w:rFonts w:ascii="方正小标宋简体" w:hAnsi="宋体" w:eastAsia="方正小标宋简体"/>
          <w:color w:val="000000"/>
          <w:sz w:val="72"/>
          <w:szCs w:val="72"/>
        </w:rPr>
      </w:pPr>
    </w:p>
    <w:p w14:paraId="627C0AD7">
      <w:pPr>
        <w:spacing w:line="600" w:lineRule="exact"/>
        <w:jc w:val="center"/>
        <w:outlineLvl w:val="0"/>
        <w:rPr>
          <w:rFonts w:ascii="方正小标宋简体" w:hAnsi="宋体" w:eastAsia="方正小标宋简体"/>
          <w:color w:val="000000"/>
          <w:sz w:val="72"/>
          <w:szCs w:val="72"/>
        </w:rPr>
      </w:pPr>
    </w:p>
    <w:p w14:paraId="6A5E2FBB">
      <w:pPr>
        <w:spacing w:line="600" w:lineRule="exact"/>
        <w:jc w:val="center"/>
        <w:outlineLvl w:val="0"/>
        <w:rPr>
          <w:rFonts w:ascii="方正小标宋简体" w:hAnsi="宋体" w:eastAsia="方正小标宋简体"/>
          <w:color w:val="000000"/>
          <w:sz w:val="72"/>
          <w:szCs w:val="72"/>
        </w:rPr>
      </w:pPr>
    </w:p>
    <w:p w14:paraId="0D65C78D">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52180062"/>
      <w:bookmarkStart w:id="4" w:name="_Toc15377425"/>
      <w:bookmarkStart w:id="5" w:name="_Toc15396475"/>
      <w:bookmarkStart w:id="6" w:name="_Toc15378441"/>
      <w:r>
        <w:rPr>
          <w:rFonts w:ascii="黑体" w:hAnsi="黑体" w:eastAsia="黑体" w:cs="黑体"/>
          <w:color w:val="000000"/>
          <w:sz w:val="72"/>
          <w:szCs w:val="72"/>
        </w:rPr>
        <w:t>20</w:t>
      </w:r>
      <w:r>
        <w:rPr>
          <w:rFonts w:hint="eastAsia" w:ascii="黑体" w:hAnsi="黑体" w:eastAsia="黑体" w:cs="黑体"/>
          <w:color w:val="000000"/>
          <w:sz w:val="72"/>
          <w:szCs w:val="72"/>
        </w:rPr>
        <w:t>21</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bookmarkEnd w:id="6"/>
    </w:p>
    <w:p w14:paraId="1447C30F">
      <w:pPr>
        <w:adjustRightInd w:val="0"/>
        <w:snapToGrid w:val="0"/>
        <w:spacing w:line="360" w:lineRule="auto"/>
        <w:jc w:val="center"/>
        <w:outlineLvl w:val="0"/>
        <w:rPr>
          <w:rFonts w:ascii="方正小标宋简体" w:hAnsi="宋体" w:eastAsia="方正小标宋简体" w:cs="方正小标宋简体"/>
          <w:color w:val="000000"/>
          <w:sz w:val="72"/>
          <w:szCs w:val="72"/>
        </w:rPr>
      </w:pPr>
      <w:r>
        <w:rPr>
          <w:rFonts w:hint="eastAsia" w:ascii="方正小标宋简体" w:hAnsi="宋体" w:eastAsia="方正小标宋简体" w:cs="方正小标宋简体"/>
          <w:color w:val="000000"/>
          <w:sz w:val="72"/>
          <w:szCs w:val="72"/>
        </w:rPr>
        <w:t>盐边县</w:t>
      </w:r>
      <w:bookmarkEnd w:id="0"/>
      <w:bookmarkStart w:id="7" w:name="_Toc15378442"/>
      <w:bookmarkStart w:id="8" w:name="_Toc15377194"/>
      <w:bookmarkStart w:id="9" w:name="_Toc15306268"/>
      <w:bookmarkStart w:id="10" w:name="_Toc15377426"/>
      <w:bookmarkStart w:id="11" w:name="_Toc15396476"/>
      <w:bookmarkStart w:id="12" w:name="_Toc15396598"/>
      <w:bookmarkStart w:id="13" w:name="_Toc52180063"/>
      <w:r>
        <w:rPr>
          <w:rFonts w:hint="eastAsia" w:ascii="方正小标宋简体" w:hAnsi="宋体" w:eastAsia="方正小标宋简体" w:cs="方正小标宋简体"/>
          <w:color w:val="000000"/>
          <w:sz w:val="72"/>
          <w:szCs w:val="72"/>
        </w:rPr>
        <w:t>民族中学校</w:t>
      </w:r>
    </w:p>
    <w:p w14:paraId="78104D41">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s="方正小标宋简体"/>
          <w:color w:val="000000"/>
          <w:sz w:val="72"/>
          <w:szCs w:val="72"/>
        </w:rPr>
        <w:t>单位决算</w:t>
      </w:r>
      <w:bookmarkEnd w:id="7"/>
      <w:bookmarkEnd w:id="8"/>
      <w:bookmarkEnd w:id="9"/>
      <w:bookmarkEnd w:id="10"/>
      <w:bookmarkEnd w:id="11"/>
      <w:bookmarkEnd w:id="12"/>
      <w:bookmarkEnd w:id="13"/>
    </w:p>
    <w:p w14:paraId="08CCFCD6">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14:paraId="6EB3B7A8">
      <w:pPr>
        <w:widowControl/>
        <w:jc w:val="center"/>
        <w:rPr>
          <w:rFonts w:ascii="黑体" w:hAnsi="黑体" w:eastAsia="黑体"/>
          <w:sz w:val="28"/>
          <w:szCs w:val="28"/>
        </w:rPr>
      </w:pPr>
    </w:p>
    <w:p w14:paraId="5980AF44">
      <w:pPr>
        <w:pStyle w:val="11"/>
        <w:rPr>
          <w:rFonts w:cs="Times New Roman"/>
        </w:rPr>
      </w:pPr>
      <w:r>
        <w:rPr>
          <w:rFonts w:hint="eastAsia"/>
        </w:rPr>
        <w:t>公开时间：</w:t>
      </w:r>
      <w:r>
        <w:t>202</w:t>
      </w:r>
      <w:r>
        <w:rPr>
          <w:rFonts w:hint="eastAsia"/>
        </w:rPr>
        <w:t>2年 10 月 26日</w:t>
      </w:r>
    </w:p>
    <w:p w14:paraId="3C8C6051">
      <w:pPr>
        <w:pStyle w:val="32"/>
        <w:spacing w:before="0" w:line="240" w:lineRule="auto"/>
        <w:rPr>
          <w:rFonts w:cs="Times New Roman"/>
        </w:rPr>
      </w:pPr>
      <w:r>
        <w:fldChar w:fldCharType="begin"/>
      </w:r>
      <w:r>
        <w:instrText xml:space="preserve"> TOC \o "1-3" \h \z \u </w:instrText>
      </w:r>
      <w:r>
        <w:fldChar w:fldCharType="separate"/>
      </w:r>
    </w:p>
    <w:p w14:paraId="6A0101EC">
      <w:pPr>
        <w:pStyle w:val="11"/>
        <w:rPr>
          <w:rFonts w:ascii="Calibri" w:hAnsi="Calibri" w:eastAsia="宋体" w:cs="Times New Roman"/>
          <w:sz w:val="21"/>
          <w:szCs w:val="21"/>
        </w:rPr>
      </w:pPr>
      <w:r>
        <w:fldChar w:fldCharType="begin"/>
      </w:r>
      <w:r>
        <w:instrText xml:space="preserve"> HYPERLINK \l "_Toc52180065" </w:instrText>
      </w:r>
      <w:r>
        <w:fldChar w:fldCharType="separate"/>
      </w:r>
      <w:r>
        <w:rPr>
          <w:rStyle w:val="17"/>
          <w:rFonts w:hint="eastAsia" w:ascii="黑体" w:hAnsi="黑体" w:eastAsia="黑体" w:cs="黑体"/>
        </w:rPr>
        <w:t>第一部分</w:t>
      </w:r>
      <w:r>
        <w:rPr>
          <w:rStyle w:val="17"/>
          <w:rFonts w:ascii="黑体" w:hAnsi="黑体" w:eastAsia="黑体" w:cs="黑体"/>
        </w:rPr>
        <w:t xml:space="preserve"> </w:t>
      </w:r>
      <w:r>
        <w:rPr>
          <w:rStyle w:val="17"/>
          <w:rFonts w:hint="eastAsia" w:ascii="黑体" w:hAnsi="黑体" w:eastAsia="黑体" w:cs="黑体"/>
        </w:rPr>
        <w:t>单位概况</w:t>
      </w:r>
      <w:r>
        <w:rPr>
          <w:rFonts w:cs="Times New Roman"/>
        </w:rPr>
        <w:tab/>
      </w:r>
      <w:r>
        <w:fldChar w:fldCharType="begin"/>
      </w:r>
      <w:r>
        <w:instrText xml:space="preserve"> PAGEREF _Toc52180065 \h </w:instrText>
      </w:r>
      <w:r>
        <w:fldChar w:fldCharType="separate"/>
      </w:r>
      <w:r>
        <w:t>4</w:t>
      </w:r>
      <w:r>
        <w:fldChar w:fldCharType="end"/>
      </w:r>
      <w:r>
        <w:fldChar w:fldCharType="end"/>
      </w:r>
    </w:p>
    <w:p w14:paraId="440AB492">
      <w:pPr>
        <w:pStyle w:val="12"/>
        <w:rPr>
          <w:rFonts w:ascii="Calibri" w:hAnsi="Calibri" w:cs="Calibri"/>
        </w:rPr>
      </w:pPr>
      <w:r>
        <w:fldChar w:fldCharType="begin"/>
      </w:r>
      <w:r>
        <w:instrText xml:space="preserve"> HYPERLINK \l "_Toc52180066" </w:instrText>
      </w:r>
      <w:r>
        <w:fldChar w:fldCharType="separate"/>
      </w:r>
      <w:r>
        <w:rPr>
          <w:rStyle w:val="17"/>
          <w:rFonts w:hint="eastAsia" w:ascii="黑体" w:hAnsi="黑体" w:eastAsia="黑体" w:cs="黑体"/>
        </w:rPr>
        <w:t>一、职能简介</w:t>
      </w:r>
      <w:r>
        <w:tab/>
      </w:r>
      <w:r>
        <w:fldChar w:fldCharType="begin"/>
      </w:r>
      <w:r>
        <w:instrText xml:space="preserve"> PAGEREF _Toc52180066 \h </w:instrText>
      </w:r>
      <w:r>
        <w:fldChar w:fldCharType="separate"/>
      </w:r>
      <w:r>
        <w:t>4</w:t>
      </w:r>
      <w:r>
        <w:fldChar w:fldCharType="end"/>
      </w:r>
      <w:r>
        <w:fldChar w:fldCharType="end"/>
      </w:r>
    </w:p>
    <w:p w14:paraId="4FE0FA3C">
      <w:pPr>
        <w:pStyle w:val="12"/>
      </w:pPr>
      <w:r>
        <w:fldChar w:fldCharType="begin"/>
      </w:r>
      <w:r>
        <w:instrText xml:space="preserve"> HYPERLINK \l "_Toc52180069" </w:instrText>
      </w:r>
      <w:r>
        <w:fldChar w:fldCharType="separate"/>
      </w:r>
      <w:r>
        <w:rPr>
          <w:rStyle w:val="17"/>
          <w:rFonts w:hint="eastAsia" w:ascii="黑体" w:eastAsia="黑体" w:cs="黑体"/>
        </w:rPr>
        <w:t>二、2021年重点工作完成情况</w:t>
      </w:r>
      <w:r>
        <w:tab/>
      </w:r>
      <w:r>
        <w:rPr>
          <w:rFonts w:hint="eastAsia"/>
        </w:rPr>
        <w:t>4</w:t>
      </w:r>
      <w:r>
        <w:rPr>
          <w:rFonts w:hint="eastAsia"/>
        </w:rPr>
        <w:fldChar w:fldCharType="end"/>
      </w:r>
    </w:p>
    <w:p w14:paraId="1EB8DED3">
      <w:pPr>
        <w:ind w:firstLine="420" w:firstLineChars="200"/>
      </w:pPr>
      <w:r>
        <w:rPr>
          <w:rFonts w:hint="eastAsia"/>
        </w:rPr>
        <w:t>三、机构设置情况</w:t>
      </w:r>
      <w:r>
        <w:t>…………………………………………………………………………</w:t>
      </w:r>
      <w:r>
        <w:rPr>
          <w:rFonts w:hint="eastAsia"/>
        </w:rPr>
        <w:t>.</w:t>
      </w:r>
      <w:r>
        <w:t>13</w:t>
      </w:r>
    </w:p>
    <w:p w14:paraId="3C171F39">
      <w:pPr>
        <w:pStyle w:val="11"/>
        <w:rPr>
          <w:rFonts w:ascii="Calibri" w:hAnsi="Calibri" w:eastAsia="宋体" w:cs="Times New Roman"/>
          <w:sz w:val="21"/>
          <w:szCs w:val="21"/>
        </w:rPr>
      </w:pPr>
      <w:r>
        <w:fldChar w:fldCharType="begin"/>
      </w:r>
      <w:r>
        <w:instrText xml:space="preserve"> HYPERLINK \l "_Toc52180073" </w:instrText>
      </w:r>
      <w:r>
        <w:fldChar w:fldCharType="separate"/>
      </w:r>
      <w:r>
        <w:rPr>
          <w:rStyle w:val="17"/>
          <w:rFonts w:hint="eastAsia" w:ascii="黑体" w:hAnsi="黑体" w:eastAsia="黑体" w:cs="黑体"/>
        </w:rPr>
        <w:t>第二部分</w:t>
      </w:r>
      <w:r>
        <w:rPr>
          <w:rStyle w:val="17"/>
          <w:rFonts w:ascii="黑体" w:hAnsi="黑体" w:eastAsia="黑体" w:cs="黑体"/>
        </w:rPr>
        <w:t xml:space="preserve"> 20</w:t>
      </w:r>
      <w:r>
        <w:rPr>
          <w:rStyle w:val="17"/>
          <w:rFonts w:hint="eastAsia" w:ascii="黑体" w:hAnsi="黑体" w:eastAsia="黑体" w:cs="黑体"/>
        </w:rPr>
        <w:t>21年度单位决算情况说明</w:t>
      </w:r>
      <w:r>
        <w:rPr>
          <w:rFonts w:cs="Times New Roman"/>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_Toc52180073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744D1F5">
      <w:pPr>
        <w:pStyle w:val="12"/>
        <w:tabs>
          <w:tab w:val="left" w:pos="1260"/>
        </w:tabs>
        <w:rPr>
          <w:rFonts w:ascii="Calibri" w:hAnsi="Calibri" w:cs="Calibri"/>
        </w:rPr>
      </w:pPr>
      <w:r>
        <w:fldChar w:fldCharType="begin"/>
      </w:r>
      <w:r>
        <w:instrText xml:space="preserve"> HYPERLINK \l "_Toc52180074" </w:instrText>
      </w:r>
      <w:r>
        <w:fldChar w:fldCharType="separate"/>
      </w:r>
      <w:r>
        <w:rPr>
          <w:rStyle w:val="17"/>
          <w:rFonts w:hint="eastAsia" w:ascii="黑体" w:hAnsi="黑体" w:eastAsia="黑体" w:cs="黑体"/>
        </w:rPr>
        <w:t>一、</w:t>
      </w:r>
      <w:r>
        <w:rPr>
          <w:rFonts w:ascii="Calibri" w:hAnsi="Calibri" w:cs="Calibri"/>
        </w:rPr>
        <w:tab/>
      </w:r>
      <w:r>
        <w:rPr>
          <w:rStyle w:val="17"/>
          <w:rFonts w:hint="eastAsia" w:ascii="黑体" w:hAnsi="黑体" w:eastAsia="黑体" w:cs="黑体"/>
        </w:rPr>
        <w:t>收入支出决算总体情况说明</w:t>
      </w:r>
      <w:r>
        <w:tab/>
      </w:r>
      <w:r>
        <w:fldChar w:fldCharType="begin"/>
      </w:r>
      <w:r>
        <w:instrText xml:space="preserve"> PAGEREF _Toc52180074 \h </w:instrText>
      </w:r>
      <w:r>
        <w:fldChar w:fldCharType="separate"/>
      </w:r>
      <w:r>
        <w:t>14</w:t>
      </w:r>
      <w:r>
        <w:fldChar w:fldCharType="end"/>
      </w:r>
      <w:r>
        <w:fldChar w:fldCharType="end"/>
      </w:r>
    </w:p>
    <w:p w14:paraId="2E17FD37">
      <w:pPr>
        <w:pStyle w:val="12"/>
        <w:tabs>
          <w:tab w:val="left" w:pos="1260"/>
        </w:tabs>
        <w:rPr>
          <w:rFonts w:ascii="Calibri" w:hAnsi="Calibri" w:cs="Calibri"/>
        </w:rPr>
      </w:pPr>
      <w:r>
        <w:fldChar w:fldCharType="begin"/>
      </w:r>
      <w:r>
        <w:instrText xml:space="preserve"> HYPERLINK \l "_Toc52180075" </w:instrText>
      </w:r>
      <w:r>
        <w:fldChar w:fldCharType="separate"/>
      </w:r>
      <w:r>
        <w:rPr>
          <w:rStyle w:val="17"/>
          <w:rFonts w:hint="eastAsia" w:ascii="黑体" w:hAnsi="黑体" w:eastAsia="黑体" w:cs="黑体"/>
        </w:rPr>
        <w:t>二、</w:t>
      </w:r>
      <w:r>
        <w:rPr>
          <w:rFonts w:ascii="Calibri" w:hAnsi="Calibri" w:cs="Calibri"/>
        </w:rPr>
        <w:tab/>
      </w:r>
      <w:r>
        <w:rPr>
          <w:rStyle w:val="17"/>
          <w:rFonts w:hint="eastAsia" w:ascii="黑体" w:hAnsi="黑体" w:eastAsia="黑体" w:cs="黑体"/>
        </w:rPr>
        <w:t>收入决算情况说明</w:t>
      </w:r>
      <w:r>
        <w:tab/>
      </w:r>
      <w:r>
        <w:fldChar w:fldCharType="begin"/>
      </w:r>
      <w:r>
        <w:instrText xml:space="preserve"> PAGEREF _Toc52180075 \h </w:instrText>
      </w:r>
      <w:r>
        <w:fldChar w:fldCharType="separate"/>
      </w:r>
      <w:r>
        <w:t>14</w:t>
      </w:r>
      <w:r>
        <w:fldChar w:fldCharType="end"/>
      </w:r>
      <w:r>
        <w:fldChar w:fldCharType="end"/>
      </w:r>
    </w:p>
    <w:p w14:paraId="0CE11A59">
      <w:pPr>
        <w:pStyle w:val="12"/>
        <w:tabs>
          <w:tab w:val="left" w:pos="1260"/>
        </w:tabs>
        <w:rPr>
          <w:rFonts w:ascii="Calibri" w:hAnsi="Calibri" w:cs="Calibri"/>
        </w:rPr>
      </w:pPr>
      <w:r>
        <w:fldChar w:fldCharType="begin"/>
      </w:r>
      <w:r>
        <w:instrText xml:space="preserve"> HYPERLINK \l "_Toc52180077" </w:instrText>
      </w:r>
      <w:r>
        <w:fldChar w:fldCharType="separate"/>
      </w:r>
      <w:r>
        <w:rPr>
          <w:rStyle w:val="17"/>
          <w:rFonts w:hint="eastAsia" w:ascii="黑体" w:hAnsi="黑体" w:eastAsia="黑体" w:cs="黑体"/>
        </w:rPr>
        <w:t>三、</w:t>
      </w:r>
      <w:r>
        <w:rPr>
          <w:rFonts w:ascii="Calibri" w:hAnsi="Calibri" w:cs="Calibri"/>
        </w:rPr>
        <w:tab/>
      </w:r>
      <w:r>
        <w:rPr>
          <w:rStyle w:val="17"/>
          <w:rFonts w:hint="eastAsia" w:ascii="黑体" w:hAnsi="黑体" w:eastAsia="黑体" w:cs="黑体"/>
        </w:rPr>
        <w:t>支出决算情况说明</w:t>
      </w:r>
      <w:r>
        <w:tab/>
      </w:r>
      <w:r>
        <w:fldChar w:fldCharType="begin"/>
      </w:r>
      <w:r>
        <w:instrText xml:space="preserve"> PAGEREF _Toc52180077 \h </w:instrText>
      </w:r>
      <w:r>
        <w:fldChar w:fldCharType="separate"/>
      </w:r>
      <w:r>
        <w:t>14</w:t>
      </w:r>
      <w:r>
        <w:fldChar w:fldCharType="end"/>
      </w:r>
      <w:r>
        <w:fldChar w:fldCharType="end"/>
      </w:r>
    </w:p>
    <w:p w14:paraId="09BB70E9">
      <w:pPr>
        <w:pStyle w:val="12"/>
        <w:rPr>
          <w:rFonts w:ascii="Calibri" w:hAnsi="Calibri" w:cs="Calibri"/>
        </w:rPr>
      </w:pPr>
      <w:r>
        <w:fldChar w:fldCharType="begin"/>
      </w:r>
      <w:r>
        <w:instrText xml:space="preserve"> HYPERLINK \l "_Toc52180079" </w:instrText>
      </w:r>
      <w:r>
        <w:fldChar w:fldCharType="separate"/>
      </w:r>
      <w:r>
        <w:rPr>
          <w:rStyle w:val="17"/>
          <w:rFonts w:hint="eastAsia" w:ascii="黑体" w:hAnsi="黑体" w:eastAsia="黑体" w:cs="黑体"/>
        </w:rPr>
        <w:t>四、财政拨款收入支出决算总体情况说明</w:t>
      </w:r>
      <w:r>
        <w:tab/>
      </w:r>
      <w:r>
        <w:fldChar w:fldCharType="begin"/>
      </w:r>
      <w:r>
        <w:instrText xml:space="preserve"> PAGEREF _Toc52180079 \h </w:instrText>
      </w:r>
      <w:r>
        <w:fldChar w:fldCharType="separate"/>
      </w:r>
      <w:r>
        <w:t>14</w:t>
      </w:r>
      <w:r>
        <w:fldChar w:fldCharType="end"/>
      </w:r>
      <w:r>
        <w:fldChar w:fldCharType="end"/>
      </w:r>
    </w:p>
    <w:p w14:paraId="44ECEEE6">
      <w:pPr>
        <w:pStyle w:val="12"/>
        <w:rPr>
          <w:rFonts w:ascii="Calibri" w:hAnsi="Calibri" w:cs="Calibri"/>
        </w:rPr>
      </w:pPr>
      <w:r>
        <w:fldChar w:fldCharType="begin"/>
      </w:r>
      <w:r>
        <w:instrText xml:space="preserve"> HYPERLINK \l "_Toc52180080" </w:instrText>
      </w:r>
      <w:r>
        <w:fldChar w:fldCharType="separate"/>
      </w:r>
      <w:r>
        <w:rPr>
          <w:rStyle w:val="17"/>
          <w:rFonts w:hint="eastAsia" w:ascii="黑体" w:hAnsi="黑体" w:eastAsia="黑体" w:cs="黑体"/>
        </w:rPr>
        <w:t>五、</w:t>
      </w:r>
      <w:r>
        <w:rPr>
          <w:rStyle w:val="17"/>
          <w:rFonts w:hint="eastAsia" w:ascii="黑体" w:hAnsi="黑体" w:eastAsia="黑体" w:cs="黑体"/>
          <w:b/>
          <w:bCs/>
        </w:rPr>
        <w:t>一</w:t>
      </w:r>
      <w:r>
        <w:rPr>
          <w:rStyle w:val="17"/>
          <w:rFonts w:hint="eastAsia" w:ascii="黑体" w:hAnsi="黑体" w:eastAsia="黑体" w:cs="黑体"/>
        </w:rPr>
        <w:t>般公共预算财政拨款支出决算情况说明</w:t>
      </w:r>
      <w:r>
        <w:tab/>
      </w:r>
      <w:r>
        <w:fldChar w:fldCharType="begin"/>
      </w:r>
      <w:r>
        <w:instrText xml:space="preserve"> PAGEREF _Toc52180080 \h </w:instrText>
      </w:r>
      <w:r>
        <w:fldChar w:fldCharType="separate"/>
      </w:r>
      <w:r>
        <w:t>14</w:t>
      </w:r>
      <w:r>
        <w:fldChar w:fldCharType="end"/>
      </w:r>
      <w:r>
        <w:fldChar w:fldCharType="end"/>
      </w:r>
    </w:p>
    <w:p w14:paraId="06F17DF6">
      <w:pPr>
        <w:pStyle w:val="6"/>
        <w:rPr>
          <w:rFonts w:ascii="Calibri" w:hAnsi="Calibri" w:cs="Calibri"/>
        </w:rPr>
      </w:pPr>
      <w:r>
        <w:fldChar w:fldCharType="begin"/>
      </w:r>
      <w:r>
        <w:instrText xml:space="preserve"> HYPERLINK \l "_Toc52180081" </w:instrText>
      </w:r>
      <w:r>
        <w:fldChar w:fldCharType="separate"/>
      </w:r>
      <w:r>
        <w:rPr>
          <w:rStyle w:val="17"/>
          <w:rFonts w:hint="eastAsia" w:ascii="仿宋" w:hAnsi="仿宋" w:eastAsia="仿宋" w:cs="仿宋"/>
          <w:b/>
          <w:bCs/>
        </w:rPr>
        <w:t>（一）一般公共预算财政拨款支出决算总体情况</w:t>
      </w:r>
      <w:r>
        <w:tab/>
      </w:r>
      <w:r>
        <w:fldChar w:fldCharType="begin"/>
      </w:r>
      <w:r>
        <w:instrText xml:space="preserve"> PAGEREF _Toc52180081 \h </w:instrText>
      </w:r>
      <w:r>
        <w:fldChar w:fldCharType="separate"/>
      </w:r>
      <w:r>
        <w:t>1</w:t>
      </w:r>
      <w:r>
        <w:fldChar w:fldCharType="end"/>
      </w:r>
      <w:r>
        <w:fldChar w:fldCharType="end"/>
      </w:r>
      <w:r>
        <w:t>5</w:t>
      </w:r>
    </w:p>
    <w:p w14:paraId="084584EE">
      <w:pPr>
        <w:pStyle w:val="6"/>
        <w:rPr>
          <w:rFonts w:ascii="Calibri" w:hAnsi="Calibri" w:cs="Calibri"/>
        </w:rPr>
      </w:pPr>
      <w:r>
        <w:fldChar w:fldCharType="begin"/>
      </w:r>
      <w:r>
        <w:instrText xml:space="preserve"> HYPERLINK \l "_Toc52180082" </w:instrText>
      </w:r>
      <w:r>
        <w:fldChar w:fldCharType="separate"/>
      </w:r>
      <w:r>
        <w:rPr>
          <w:rStyle w:val="17"/>
          <w:rFonts w:hint="eastAsia" w:ascii="仿宋" w:hAnsi="仿宋" w:eastAsia="仿宋" w:cs="仿宋"/>
          <w:b/>
          <w:bCs/>
        </w:rPr>
        <w:t>（二）一般公共预算财政拨款支出决算结构情况</w:t>
      </w:r>
      <w:r>
        <w:tab/>
      </w:r>
      <w:r>
        <w:fldChar w:fldCharType="begin"/>
      </w:r>
      <w:r>
        <w:instrText xml:space="preserve"> PAGEREF _Toc52180082 \h </w:instrText>
      </w:r>
      <w:r>
        <w:fldChar w:fldCharType="separate"/>
      </w:r>
      <w:r>
        <w:t>15</w:t>
      </w:r>
      <w:r>
        <w:fldChar w:fldCharType="end"/>
      </w:r>
      <w:r>
        <w:fldChar w:fldCharType="end"/>
      </w:r>
    </w:p>
    <w:p w14:paraId="2A213740">
      <w:pPr>
        <w:pStyle w:val="6"/>
        <w:rPr>
          <w:rFonts w:ascii="Calibri" w:hAnsi="Calibri" w:cs="Calibri"/>
        </w:rPr>
      </w:pPr>
      <w:r>
        <w:fldChar w:fldCharType="begin"/>
      </w:r>
      <w:r>
        <w:instrText xml:space="preserve"> HYPERLINK \l "_Toc52180083" </w:instrText>
      </w:r>
      <w:r>
        <w:fldChar w:fldCharType="separate"/>
      </w:r>
      <w:r>
        <w:rPr>
          <w:rStyle w:val="17"/>
          <w:rFonts w:hint="eastAsia" w:ascii="仿宋" w:hAnsi="仿宋" w:eastAsia="仿宋" w:cs="仿宋"/>
          <w:b/>
          <w:bCs/>
        </w:rPr>
        <w:t>（三）一般公共预算财政拨款支出决算具体情况</w:t>
      </w:r>
      <w:r>
        <w:tab/>
      </w:r>
      <w:r>
        <w:fldChar w:fldCharType="begin"/>
      </w:r>
      <w:r>
        <w:instrText xml:space="preserve"> PAGEREF _Toc52180083 \h </w:instrText>
      </w:r>
      <w:r>
        <w:fldChar w:fldCharType="separate"/>
      </w:r>
      <w:r>
        <w:t>15</w:t>
      </w:r>
      <w:r>
        <w:fldChar w:fldCharType="end"/>
      </w:r>
      <w:r>
        <w:fldChar w:fldCharType="end"/>
      </w:r>
    </w:p>
    <w:p w14:paraId="2FECA6C3">
      <w:pPr>
        <w:pStyle w:val="12"/>
        <w:rPr>
          <w:rFonts w:ascii="Calibri" w:hAnsi="Calibri" w:cs="Calibri"/>
        </w:rPr>
      </w:pPr>
      <w:r>
        <w:fldChar w:fldCharType="begin"/>
      </w:r>
      <w:r>
        <w:instrText xml:space="preserve"> HYPERLINK \l "_Toc52180085" </w:instrText>
      </w:r>
      <w:r>
        <w:fldChar w:fldCharType="separate"/>
      </w:r>
      <w:r>
        <w:rPr>
          <w:rStyle w:val="17"/>
          <w:rFonts w:hint="eastAsia" w:ascii="黑体" w:eastAsia="黑体" w:cs="黑体"/>
        </w:rPr>
        <w:t>六</w:t>
      </w:r>
      <w:r>
        <w:rPr>
          <w:rStyle w:val="17"/>
          <w:rFonts w:hint="eastAsia" w:ascii="黑体" w:eastAsia="黑体" w:cs="黑体"/>
          <w:b/>
          <w:bCs/>
        </w:rPr>
        <w:t>、</w:t>
      </w:r>
      <w:r>
        <w:rPr>
          <w:rStyle w:val="17"/>
          <w:rFonts w:hint="eastAsia" w:ascii="黑体" w:hAnsi="黑体" w:eastAsia="黑体" w:cs="黑体"/>
          <w:b/>
          <w:bCs/>
        </w:rPr>
        <w:t>一</w:t>
      </w:r>
      <w:r>
        <w:rPr>
          <w:rStyle w:val="17"/>
          <w:rFonts w:hint="eastAsia" w:ascii="黑体" w:hAnsi="黑体" w:eastAsia="黑体" w:cs="黑体"/>
        </w:rPr>
        <w:t>般公共预算财政拨款基本支出决算情况说明</w:t>
      </w:r>
      <w:r>
        <w:tab/>
      </w:r>
      <w:r>
        <w:fldChar w:fldCharType="begin"/>
      </w:r>
      <w:r>
        <w:instrText xml:space="preserve"> PAGEREF _Toc52180085 \h </w:instrText>
      </w:r>
      <w:r>
        <w:fldChar w:fldCharType="separate"/>
      </w:r>
      <w:r>
        <w:t>15</w:t>
      </w:r>
      <w:r>
        <w:fldChar w:fldCharType="end"/>
      </w:r>
      <w:r>
        <w:fldChar w:fldCharType="end"/>
      </w:r>
    </w:p>
    <w:p w14:paraId="2E4BACEB">
      <w:pPr>
        <w:pStyle w:val="12"/>
        <w:rPr>
          <w:rFonts w:ascii="Calibri" w:hAnsi="Calibri" w:cs="Calibri"/>
        </w:rPr>
      </w:pPr>
      <w:r>
        <w:fldChar w:fldCharType="begin"/>
      </w:r>
      <w:r>
        <w:instrText xml:space="preserve"> HYPERLINK \l "_Toc52180086" </w:instrText>
      </w:r>
      <w:r>
        <w:fldChar w:fldCharType="separate"/>
      </w:r>
      <w:r>
        <w:rPr>
          <w:rStyle w:val="17"/>
          <w:rFonts w:hint="eastAsia" w:ascii="黑体" w:eastAsia="黑体" w:cs="黑体"/>
        </w:rPr>
        <w:t>七、</w:t>
      </w:r>
      <w:r>
        <w:rPr>
          <w:rStyle w:val="17"/>
          <w:rFonts w:hint="eastAsia" w:ascii="黑体" w:hAnsi="黑体" w:eastAsia="黑体" w:cs="黑体"/>
          <w:b/>
          <w:bCs/>
        </w:rPr>
        <w:t>“</w:t>
      </w:r>
      <w:r>
        <w:rPr>
          <w:rStyle w:val="17"/>
          <w:rFonts w:hint="eastAsia" w:ascii="黑体" w:hAnsi="黑体" w:eastAsia="黑体" w:cs="黑体"/>
        </w:rPr>
        <w:t>三公”经费财政拨款支出决算情况说明</w:t>
      </w:r>
      <w:r>
        <w:tab/>
      </w:r>
      <w:r>
        <w:fldChar w:fldCharType="begin"/>
      </w:r>
      <w:r>
        <w:instrText xml:space="preserve"> PAGEREF _Toc52180086 \h </w:instrText>
      </w:r>
      <w:r>
        <w:fldChar w:fldCharType="separate"/>
      </w:r>
      <w:r>
        <w:t>16</w:t>
      </w:r>
      <w:r>
        <w:fldChar w:fldCharType="end"/>
      </w:r>
      <w:r>
        <w:fldChar w:fldCharType="end"/>
      </w:r>
    </w:p>
    <w:p w14:paraId="482D4653">
      <w:pPr>
        <w:pStyle w:val="6"/>
        <w:rPr>
          <w:rFonts w:ascii="Calibri" w:hAnsi="Calibri" w:cs="Calibri"/>
        </w:rPr>
      </w:pPr>
      <w:r>
        <w:fldChar w:fldCharType="begin"/>
      </w:r>
      <w:r>
        <w:instrText xml:space="preserve"> HYPERLINK \l "_Toc52180087" </w:instrText>
      </w:r>
      <w:r>
        <w:fldChar w:fldCharType="separate"/>
      </w:r>
      <w:r>
        <w:rPr>
          <w:rStyle w:val="17"/>
          <w:rFonts w:hint="eastAsia" w:ascii="仿宋" w:hAnsi="仿宋" w:eastAsia="仿宋" w:cs="仿宋"/>
          <w:b/>
          <w:bCs/>
        </w:rPr>
        <w:t>（一）“三公”经费财政拨款支出决算总体情况说明</w:t>
      </w:r>
      <w:r>
        <w:tab/>
      </w:r>
      <w:r>
        <w:fldChar w:fldCharType="begin"/>
      </w:r>
      <w:r>
        <w:instrText xml:space="preserve"> PAGEREF _Toc52180087 \h </w:instrText>
      </w:r>
      <w:r>
        <w:fldChar w:fldCharType="separate"/>
      </w:r>
      <w:r>
        <w:t>16</w:t>
      </w:r>
      <w:r>
        <w:fldChar w:fldCharType="end"/>
      </w:r>
      <w:r>
        <w:fldChar w:fldCharType="end"/>
      </w:r>
    </w:p>
    <w:p w14:paraId="116E36E3">
      <w:pPr>
        <w:pStyle w:val="6"/>
        <w:rPr>
          <w:rFonts w:ascii="Calibri" w:hAnsi="Calibri" w:cs="Calibri"/>
        </w:rPr>
      </w:pPr>
      <w:r>
        <w:fldChar w:fldCharType="begin"/>
      </w:r>
      <w:r>
        <w:instrText xml:space="preserve"> HYPERLINK \l "_Toc52180088" </w:instrText>
      </w:r>
      <w:r>
        <w:fldChar w:fldCharType="separate"/>
      </w:r>
      <w:r>
        <w:rPr>
          <w:rStyle w:val="17"/>
          <w:rFonts w:hint="eastAsia" w:ascii="仿宋" w:hAnsi="仿宋" w:eastAsia="仿宋" w:cs="仿宋"/>
          <w:b/>
          <w:bCs/>
        </w:rPr>
        <w:t>（二）“三公”经费财政拨款支出决算具体情况说明</w:t>
      </w:r>
      <w:r>
        <w:tab/>
      </w:r>
      <w:r>
        <w:fldChar w:fldCharType="begin"/>
      </w:r>
      <w:r>
        <w:instrText xml:space="preserve"> PAGEREF _Toc52180088 \h </w:instrText>
      </w:r>
      <w:r>
        <w:fldChar w:fldCharType="separate"/>
      </w:r>
      <w:r>
        <w:t>16</w:t>
      </w:r>
      <w:r>
        <w:fldChar w:fldCharType="end"/>
      </w:r>
      <w:r>
        <w:fldChar w:fldCharType="end"/>
      </w:r>
    </w:p>
    <w:p w14:paraId="2D4D803D">
      <w:pPr>
        <w:pStyle w:val="12"/>
        <w:rPr>
          <w:rFonts w:ascii="Calibri" w:hAnsi="Calibri" w:cs="Calibri"/>
        </w:rPr>
      </w:pPr>
      <w:r>
        <w:fldChar w:fldCharType="begin"/>
      </w:r>
      <w:r>
        <w:instrText xml:space="preserve"> HYPERLINK \l "_Toc52180089" </w:instrText>
      </w:r>
      <w:r>
        <w:fldChar w:fldCharType="separate"/>
      </w:r>
      <w:r>
        <w:rPr>
          <w:rStyle w:val="17"/>
          <w:rFonts w:hint="eastAsia" w:ascii="黑体" w:eastAsia="黑体" w:cs="黑体"/>
        </w:rPr>
        <w:t>八、</w:t>
      </w:r>
      <w:r>
        <w:rPr>
          <w:rStyle w:val="17"/>
          <w:rFonts w:hint="eastAsia" w:ascii="黑体" w:hAnsi="黑体" w:eastAsia="黑体" w:cs="黑体"/>
        </w:rPr>
        <w:t>政府性基金预算支出决算情况说明</w:t>
      </w:r>
      <w:r>
        <w:tab/>
      </w:r>
      <w:r>
        <w:fldChar w:fldCharType="begin"/>
      </w:r>
      <w:r>
        <w:instrText xml:space="preserve"> PAGEREF _Toc52180089 \h </w:instrText>
      </w:r>
      <w:r>
        <w:fldChar w:fldCharType="separate"/>
      </w:r>
      <w:r>
        <w:t>16</w:t>
      </w:r>
      <w:r>
        <w:fldChar w:fldCharType="end"/>
      </w:r>
      <w:r>
        <w:fldChar w:fldCharType="end"/>
      </w:r>
    </w:p>
    <w:p w14:paraId="6D101BA7">
      <w:pPr>
        <w:pStyle w:val="12"/>
        <w:rPr>
          <w:rFonts w:ascii="Calibri" w:hAnsi="Calibri" w:cs="Calibri"/>
        </w:rPr>
      </w:pPr>
      <w:r>
        <w:fldChar w:fldCharType="begin"/>
      </w:r>
      <w:r>
        <w:instrText xml:space="preserve"> HYPERLINK \l "_Toc52180090" </w:instrText>
      </w:r>
      <w:r>
        <w:fldChar w:fldCharType="separate"/>
      </w:r>
      <w:r>
        <w:rPr>
          <w:rStyle w:val="17"/>
          <w:rFonts w:hint="eastAsia" w:ascii="黑体" w:hAnsi="黑体" w:eastAsia="黑体" w:cs="黑体"/>
        </w:rPr>
        <w:t>九、</w:t>
      </w:r>
      <w:r>
        <w:rPr>
          <w:rStyle w:val="17"/>
          <w:rFonts w:ascii="黑体" w:hAnsi="黑体" w:eastAsia="黑体" w:cs="黑体"/>
        </w:rPr>
        <w:t xml:space="preserve"> </w:t>
      </w:r>
      <w:r>
        <w:rPr>
          <w:rStyle w:val="17"/>
          <w:rFonts w:hint="eastAsia" w:ascii="黑体" w:hAnsi="黑体" w:eastAsia="黑体" w:cs="黑体"/>
        </w:rPr>
        <w:t>国有资本经营预算支出决算情况说明</w:t>
      </w:r>
      <w:r>
        <w:tab/>
      </w:r>
      <w:r>
        <w:fldChar w:fldCharType="begin"/>
      </w:r>
      <w:r>
        <w:instrText xml:space="preserve"> PAGEREF _Toc52180090 \h </w:instrText>
      </w:r>
      <w:r>
        <w:fldChar w:fldCharType="separate"/>
      </w:r>
      <w:r>
        <w:t>16</w:t>
      </w:r>
      <w:r>
        <w:fldChar w:fldCharType="end"/>
      </w:r>
      <w:r>
        <w:fldChar w:fldCharType="end"/>
      </w:r>
    </w:p>
    <w:p w14:paraId="2BF54140">
      <w:pPr>
        <w:pStyle w:val="12"/>
        <w:rPr>
          <w:rFonts w:ascii="Calibri" w:hAnsi="Calibri" w:cs="Calibri"/>
        </w:rPr>
      </w:pPr>
      <w:r>
        <w:fldChar w:fldCharType="begin"/>
      </w:r>
      <w:r>
        <w:instrText xml:space="preserve"> HYPERLINK \l "_Toc52180091" </w:instrText>
      </w:r>
      <w:r>
        <w:fldChar w:fldCharType="separate"/>
      </w:r>
      <w:r>
        <w:rPr>
          <w:rStyle w:val="17"/>
          <w:rFonts w:hint="eastAsia" w:ascii="黑体" w:hAnsi="黑体" w:eastAsia="黑体" w:cs="黑体"/>
        </w:rPr>
        <w:t>十</w:t>
      </w:r>
      <w:r>
        <w:rPr>
          <w:rStyle w:val="17"/>
          <w:rFonts w:hint="eastAsia" w:ascii="黑体" w:hAnsi="黑体" w:eastAsia="黑体" w:cs="黑体"/>
          <w:b/>
          <w:bCs/>
        </w:rPr>
        <w:t>、</w:t>
      </w:r>
      <w:r>
        <w:rPr>
          <w:rStyle w:val="17"/>
          <w:rFonts w:hint="eastAsia" w:ascii="黑体" w:hAnsi="黑体" w:eastAsia="黑体" w:cs="黑体"/>
        </w:rPr>
        <w:t>其他重要事项的情况说明</w:t>
      </w:r>
      <w:r>
        <w:tab/>
      </w:r>
      <w:r>
        <w:fldChar w:fldCharType="begin"/>
      </w:r>
      <w:r>
        <w:instrText xml:space="preserve"> PAGEREF _Toc52180091 \h </w:instrText>
      </w:r>
      <w:r>
        <w:fldChar w:fldCharType="separate"/>
      </w:r>
      <w:r>
        <w:t>16</w:t>
      </w:r>
      <w:r>
        <w:fldChar w:fldCharType="end"/>
      </w:r>
      <w:r>
        <w:fldChar w:fldCharType="end"/>
      </w:r>
    </w:p>
    <w:p w14:paraId="385A57D0">
      <w:pPr>
        <w:pStyle w:val="6"/>
        <w:rPr>
          <w:rFonts w:ascii="Calibri" w:hAnsi="Calibri" w:cs="Calibri"/>
        </w:rPr>
      </w:pPr>
      <w:r>
        <w:fldChar w:fldCharType="begin"/>
      </w:r>
      <w:r>
        <w:instrText xml:space="preserve"> HYPERLINK \l "_Toc52180092" </w:instrText>
      </w:r>
      <w:r>
        <w:fldChar w:fldCharType="separate"/>
      </w:r>
      <w:r>
        <w:rPr>
          <w:rStyle w:val="17"/>
          <w:rFonts w:hint="eastAsia" w:ascii="仿宋" w:hAnsi="仿宋" w:eastAsia="仿宋" w:cs="仿宋"/>
          <w:b/>
          <w:bCs/>
        </w:rPr>
        <w:t>（一）机关运行经费支出情况</w:t>
      </w:r>
      <w:r>
        <w:tab/>
      </w:r>
      <w:r>
        <w:fldChar w:fldCharType="begin"/>
      </w:r>
      <w:r>
        <w:instrText xml:space="preserve"> PAGEREF _Toc52180092 \h </w:instrText>
      </w:r>
      <w:r>
        <w:fldChar w:fldCharType="separate"/>
      </w:r>
      <w:r>
        <w:t>1</w:t>
      </w:r>
      <w:r>
        <w:fldChar w:fldCharType="end"/>
      </w:r>
      <w:r>
        <w:fldChar w:fldCharType="end"/>
      </w:r>
      <w:r>
        <w:t>7</w:t>
      </w:r>
    </w:p>
    <w:p w14:paraId="0D448859">
      <w:pPr>
        <w:pStyle w:val="6"/>
        <w:rPr>
          <w:rFonts w:ascii="Calibri" w:hAnsi="Calibri" w:cs="Calibri"/>
        </w:rPr>
      </w:pPr>
      <w:r>
        <w:fldChar w:fldCharType="begin"/>
      </w:r>
      <w:r>
        <w:instrText xml:space="preserve"> HYPERLINK \l "_Toc52180093" </w:instrText>
      </w:r>
      <w:r>
        <w:fldChar w:fldCharType="separate"/>
      </w:r>
      <w:r>
        <w:rPr>
          <w:rStyle w:val="17"/>
          <w:rFonts w:hint="eastAsia" w:ascii="仿宋" w:hAnsi="仿宋" w:eastAsia="仿宋" w:cs="仿宋"/>
          <w:b/>
          <w:bCs/>
        </w:rPr>
        <w:t>（二）政府采购支出情况</w:t>
      </w:r>
      <w:r>
        <w:tab/>
      </w:r>
      <w:r>
        <w:fldChar w:fldCharType="begin"/>
      </w:r>
      <w:r>
        <w:instrText xml:space="preserve"> PAGEREF _Toc52180093 \h </w:instrText>
      </w:r>
      <w:r>
        <w:fldChar w:fldCharType="separate"/>
      </w:r>
      <w:r>
        <w:t>17</w:t>
      </w:r>
      <w:r>
        <w:fldChar w:fldCharType="end"/>
      </w:r>
      <w:r>
        <w:fldChar w:fldCharType="end"/>
      </w:r>
    </w:p>
    <w:p w14:paraId="7EEEF000">
      <w:pPr>
        <w:pStyle w:val="6"/>
        <w:rPr>
          <w:rFonts w:ascii="Calibri" w:hAnsi="Calibri" w:cs="Calibri"/>
        </w:rPr>
      </w:pPr>
      <w:r>
        <w:fldChar w:fldCharType="begin"/>
      </w:r>
      <w:r>
        <w:instrText xml:space="preserve"> HYPERLINK \l "_Toc52180094" </w:instrText>
      </w:r>
      <w:r>
        <w:fldChar w:fldCharType="separate"/>
      </w:r>
      <w:r>
        <w:rPr>
          <w:rStyle w:val="17"/>
          <w:rFonts w:hint="eastAsia" w:ascii="仿宋" w:hAnsi="仿宋" w:eastAsia="仿宋" w:cs="仿宋"/>
          <w:b/>
          <w:bCs/>
        </w:rPr>
        <w:t>（三）国有资产占有使用情况</w:t>
      </w:r>
      <w:r>
        <w:tab/>
      </w:r>
      <w:r>
        <w:fldChar w:fldCharType="begin"/>
      </w:r>
      <w:r>
        <w:instrText xml:space="preserve"> PAGEREF _Toc52180094 \h </w:instrText>
      </w:r>
      <w:r>
        <w:fldChar w:fldCharType="separate"/>
      </w:r>
      <w:r>
        <w:t>17</w:t>
      </w:r>
      <w:r>
        <w:fldChar w:fldCharType="end"/>
      </w:r>
      <w:r>
        <w:fldChar w:fldCharType="end"/>
      </w:r>
    </w:p>
    <w:p w14:paraId="2874A38E">
      <w:pPr>
        <w:pStyle w:val="6"/>
        <w:rPr>
          <w:rFonts w:ascii="Calibri" w:hAnsi="Calibri" w:cs="Calibri"/>
        </w:rPr>
      </w:pPr>
      <w:r>
        <w:fldChar w:fldCharType="begin"/>
      </w:r>
      <w:r>
        <w:instrText xml:space="preserve"> HYPERLINK \l "_Toc52180095" </w:instrText>
      </w:r>
      <w:r>
        <w:fldChar w:fldCharType="separate"/>
      </w:r>
      <w:r>
        <w:rPr>
          <w:rStyle w:val="17"/>
          <w:rFonts w:hint="eastAsia" w:ascii="仿宋" w:hAnsi="仿宋" w:eastAsia="仿宋" w:cs="仿宋"/>
          <w:b/>
          <w:bCs/>
        </w:rPr>
        <w:t>（四）预算绩效管理情况。</w:t>
      </w:r>
      <w:r>
        <w:tab/>
      </w:r>
      <w:r>
        <w:fldChar w:fldCharType="begin"/>
      </w:r>
      <w:r>
        <w:instrText xml:space="preserve"> PAGEREF _Toc52180095 \h </w:instrText>
      </w:r>
      <w:r>
        <w:fldChar w:fldCharType="separate"/>
      </w:r>
      <w:r>
        <w:t>17</w:t>
      </w:r>
      <w:r>
        <w:fldChar w:fldCharType="end"/>
      </w:r>
      <w:r>
        <w:fldChar w:fldCharType="end"/>
      </w:r>
    </w:p>
    <w:p w14:paraId="12C12F3E">
      <w:pPr>
        <w:pStyle w:val="11"/>
        <w:rPr>
          <w:rFonts w:ascii="Calibri" w:hAnsi="Calibri" w:cs="Times New Roman"/>
          <w:sz w:val="21"/>
          <w:szCs w:val="21"/>
        </w:rPr>
      </w:pPr>
      <w:r>
        <w:fldChar w:fldCharType="begin"/>
      </w:r>
      <w:r>
        <w:instrText xml:space="preserve"> HYPERLINK \l "_Toc52180096" </w:instrText>
      </w:r>
      <w:r>
        <w:fldChar w:fldCharType="separate"/>
      </w:r>
      <w:r>
        <w:rPr>
          <w:rStyle w:val="17"/>
          <w:rFonts w:hint="eastAsia" w:ascii="黑体" w:hAnsi="黑体" w:eastAsia="黑体" w:cs="黑体"/>
          <w:kern w:val="44"/>
        </w:rPr>
        <w:t>第三部分</w:t>
      </w:r>
      <w:r>
        <w:rPr>
          <w:rStyle w:val="17"/>
          <w:rFonts w:ascii="黑体" w:hAnsi="黑体" w:eastAsia="黑体" w:cs="黑体"/>
        </w:rPr>
        <w:t xml:space="preserve"> </w:t>
      </w:r>
      <w:r>
        <w:rPr>
          <w:rStyle w:val="17"/>
          <w:rFonts w:hint="eastAsia" w:ascii="黑体" w:hAnsi="黑体" w:eastAsia="黑体" w:cs="黑体"/>
        </w:rPr>
        <w:t>名</w:t>
      </w:r>
      <w:r>
        <w:rPr>
          <w:rStyle w:val="17"/>
          <w:rFonts w:hint="eastAsia" w:ascii="黑体" w:hAnsi="黑体" w:eastAsia="黑体" w:cs="黑体"/>
          <w:kern w:val="44"/>
        </w:rPr>
        <w:t>词解释</w:t>
      </w:r>
      <w:r>
        <w:rPr>
          <w:rFonts w:cs="Times New Roman"/>
        </w:rPr>
        <w:tab/>
      </w:r>
      <w:r>
        <w:rPr>
          <w:rFonts w:cs="Times New Roman"/>
        </w:rPr>
        <w:fldChar w:fldCharType="end"/>
      </w:r>
      <w:r>
        <w:rPr>
          <w:rFonts w:hint="eastAsia"/>
        </w:rPr>
        <w:t>18</w:t>
      </w:r>
    </w:p>
    <w:p w14:paraId="126ABDCC">
      <w:pPr>
        <w:pStyle w:val="11"/>
        <w:rPr>
          <w:rFonts w:ascii="Calibri" w:hAnsi="Calibri" w:cs="Times New Roman"/>
          <w:sz w:val="21"/>
          <w:szCs w:val="21"/>
        </w:rPr>
      </w:pPr>
      <w:r>
        <w:fldChar w:fldCharType="begin"/>
      </w:r>
      <w:r>
        <w:instrText xml:space="preserve"> HYPERLINK \l "_Toc52180097" </w:instrText>
      </w:r>
      <w:r>
        <w:fldChar w:fldCharType="separate"/>
      </w:r>
      <w:r>
        <w:rPr>
          <w:rStyle w:val="17"/>
          <w:rFonts w:hint="eastAsia" w:ascii="黑体" w:hAnsi="黑体" w:eastAsia="黑体" w:cs="黑体"/>
        </w:rPr>
        <w:t>第</w:t>
      </w:r>
      <w:r>
        <w:rPr>
          <w:rStyle w:val="17"/>
          <w:rFonts w:hint="eastAsia" w:ascii="黑体" w:hAnsi="黑体" w:eastAsia="黑体" w:cs="黑体"/>
          <w:kern w:val="44"/>
        </w:rPr>
        <w:t>四部分</w:t>
      </w:r>
      <w:r>
        <w:rPr>
          <w:rStyle w:val="17"/>
          <w:rFonts w:ascii="黑体" w:hAnsi="黑体" w:eastAsia="黑体" w:cs="黑体"/>
          <w:kern w:val="44"/>
        </w:rPr>
        <w:t xml:space="preserve"> </w:t>
      </w:r>
      <w:r>
        <w:rPr>
          <w:rStyle w:val="17"/>
          <w:rFonts w:hint="eastAsia" w:ascii="黑体" w:hAnsi="黑体" w:eastAsia="黑体" w:cs="黑体"/>
          <w:kern w:val="44"/>
        </w:rPr>
        <w:t>附件</w:t>
      </w:r>
      <w:r>
        <w:rPr>
          <w:rFonts w:cs="Times New Roman"/>
        </w:rPr>
        <w:tab/>
      </w:r>
      <w:r>
        <w:rPr>
          <w:rFonts w:hint="eastAsia"/>
        </w:rPr>
        <w:t>2</w:t>
      </w:r>
      <w:r>
        <w:rPr>
          <w:rFonts w:hint="eastAsia"/>
        </w:rPr>
        <w:fldChar w:fldCharType="end"/>
      </w:r>
      <w:r>
        <w:rPr>
          <w:rFonts w:hint="eastAsia"/>
        </w:rPr>
        <w:t>1</w:t>
      </w:r>
    </w:p>
    <w:p w14:paraId="2C795456">
      <w:pPr>
        <w:pStyle w:val="11"/>
        <w:rPr>
          <w:rFonts w:ascii="Calibri" w:hAnsi="Calibri" w:cs="Times New Roman"/>
          <w:sz w:val="21"/>
          <w:szCs w:val="21"/>
        </w:rPr>
      </w:pPr>
      <w:r>
        <w:fldChar w:fldCharType="begin"/>
      </w:r>
      <w:r>
        <w:instrText xml:space="preserve"> HYPERLINK \l "_Toc52180099" </w:instrText>
      </w:r>
      <w:r>
        <w:fldChar w:fldCharType="separate"/>
      </w:r>
      <w:r>
        <w:rPr>
          <w:rStyle w:val="17"/>
          <w:rFonts w:hint="eastAsia" w:ascii="黑体" w:hAnsi="黑体" w:eastAsia="黑体" w:cs="黑体"/>
        </w:rPr>
        <w:t>第</w:t>
      </w:r>
      <w:r>
        <w:rPr>
          <w:rStyle w:val="17"/>
          <w:rFonts w:hint="eastAsia" w:ascii="黑体" w:hAnsi="黑体" w:eastAsia="黑体" w:cs="黑体"/>
          <w:kern w:val="44"/>
        </w:rPr>
        <w:t>五部分</w:t>
      </w:r>
      <w:r>
        <w:rPr>
          <w:rStyle w:val="17"/>
          <w:rFonts w:ascii="黑体" w:hAnsi="黑体" w:eastAsia="黑体" w:cs="黑体"/>
          <w:kern w:val="44"/>
        </w:rPr>
        <w:t xml:space="preserve"> </w:t>
      </w:r>
      <w:r>
        <w:rPr>
          <w:rStyle w:val="17"/>
          <w:rFonts w:hint="eastAsia" w:ascii="黑体" w:hAnsi="黑体" w:eastAsia="黑体" w:cs="黑体"/>
          <w:kern w:val="44"/>
        </w:rPr>
        <w:t>附表</w:t>
      </w:r>
      <w:r>
        <w:rPr>
          <w:rFonts w:cs="Times New Roman"/>
        </w:rPr>
        <w:tab/>
      </w:r>
      <w:r>
        <w:rPr>
          <w:rFonts w:hint="eastAsia" w:cs="Times New Roman"/>
        </w:rPr>
        <w:t>3</w:t>
      </w:r>
      <w:r>
        <w:rPr>
          <w:rFonts w:hint="eastAsia" w:cs="Times New Roman"/>
        </w:rPr>
        <w:fldChar w:fldCharType="end"/>
      </w:r>
      <w:r>
        <w:t>2</w:t>
      </w:r>
    </w:p>
    <w:p w14:paraId="7D2D5694">
      <w:pPr>
        <w:pStyle w:val="12"/>
        <w:rPr>
          <w:rFonts w:ascii="Calibri" w:hAnsi="Calibri" w:cs="Calibri"/>
        </w:rPr>
      </w:pPr>
      <w:r>
        <w:fldChar w:fldCharType="begin"/>
      </w:r>
      <w:r>
        <w:instrText xml:space="preserve"> HYPERLINK \l "_Toc52180100" </w:instrText>
      </w:r>
      <w:r>
        <w:fldChar w:fldCharType="separate"/>
      </w:r>
      <w:r>
        <w:rPr>
          <w:rStyle w:val="17"/>
          <w:rFonts w:hint="eastAsia" w:ascii="仿宋" w:hAnsi="仿宋" w:eastAsia="仿宋" w:cs="仿宋"/>
        </w:rPr>
        <w:t>一、收入支出决算总表</w:t>
      </w:r>
      <w:r>
        <w:tab/>
      </w:r>
      <w:r>
        <w:rPr>
          <w:rFonts w:hint="eastAsia"/>
        </w:rPr>
        <w:t>3</w:t>
      </w:r>
      <w:r>
        <w:rPr>
          <w:rFonts w:hint="eastAsia"/>
        </w:rPr>
        <w:fldChar w:fldCharType="end"/>
      </w:r>
      <w:r>
        <w:t>2</w:t>
      </w:r>
    </w:p>
    <w:p w14:paraId="630922BB">
      <w:pPr>
        <w:pStyle w:val="12"/>
        <w:rPr>
          <w:rFonts w:ascii="Calibri" w:hAnsi="Calibri" w:cs="Calibri"/>
        </w:rPr>
      </w:pPr>
      <w:r>
        <w:fldChar w:fldCharType="begin"/>
      </w:r>
      <w:r>
        <w:instrText xml:space="preserve"> HYPERLINK \l "_Toc52180101" </w:instrText>
      </w:r>
      <w:r>
        <w:fldChar w:fldCharType="separate"/>
      </w:r>
      <w:r>
        <w:rPr>
          <w:rStyle w:val="17"/>
          <w:rFonts w:hint="eastAsia" w:ascii="仿宋" w:hAnsi="仿宋" w:eastAsia="仿宋" w:cs="仿宋"/>
        </w:rPr>
        <w:t>二、收入决算表</w:t>
      </w:r>
      <w:r>
        <w:tab/>
      </w:r>
      <w:r>
        <w:rPr>
          <w:rFonts w:hint="eastAsia"/>
        </w:rPr>
        <w:t>3</w:t>
      </w:r>
      <w:r>
        <w:rPr>
          <w:rFonts w:hint="eastAsia"/>
        </w:rPr>
        <w:fldChar w:fldCharType="end"/>
      </w:r>
      <w:r>
        <w:t>2</w:t>
      </w:r>
    </w:p>
    <w:p w14:paraId="77E778C3">
      <w:pPr>
        <w:pStyle w:val="12"/>
        <w:rPr>
          <w:rFonts w:ascii="Calibri" w:hAnsi="Calibri" w:cs="Calibri"/>
        </w:rPr>
      </w:pPr>
      <w:r>
        <w:fldChar w:fldCharType="begin"/>
      </w:r>
      <w:r>
        <w:instrText xml:space="preserve"> HYPERLINK \l "_Toc52180102" </w:instrText>
      </w:r>
      <w:r>
        <w:fldChar w:fldCharType="separate"/>
      </w:r>
      <w:r>
        <w:rPr>
          <w:rStyle w:val="17"/>
          <w:rFonts w:hint="eastAsia" w:ascii="仿宋" w:hAnsi="仿宋" w:eastAsia="仿宋" w:cs="仿宋"/>
        </w:rPr>
        <w:t>三、支出决算表</w:t>
      </w:r>
      <w:r>
        <w:tab/>
      </w:r>
      <w:r>
        <w:fldChar w:fldCharType="end"/>
      </w:r>
      <w:r>
        <w:rPr>
          <w:rFonts w:hint="eastAsia"/>
        </w:rPr>
        <w:t>3</w:t>
      </w:r>
      <w:r>
        <w:t>2</w:t>
      </w:r>
    </w:p>
    <w:p w14:paraId="5E18393E">
      <w:pPr>
        <w:pStyle w:val="12"/>
        <w:rPr>
          <w:rFonts w:ascii="Calibri" w:hAnsi="Calibri" w:cs="Calibri"/>
        </w:rPr>
      </w:pPr>
      <w:r>
        <w:fldChar w:fldCharType="begin"/>
      </w:r>
      <w:r>
        <w:instrText xml:space="preserve"> HYPERLINK \l "_Toc52180103" </w:instrText>
      </w:r>
      <w:r>
        <w:fldChar w:fldCharType="separate"/>
      </w:r>
      <w:r>
        <w:rPr>
          <w:rStyle w:val="17"/>
          <w:rFonts w:hint="eastAsia" w:ascii="仿宋" w:hAnsi="仿宋" w:eastAsia="仿宋" w:cs="仿宋"/>
        </w:rPr>
        <w:t>四、财政拨款收入支出决算总表</w:t>
      </w:r>
      <w:r>
        <w:tab/>
      </w:r>
      <w:r>
        <w:rPr>
          <w:rFonts w:hint="eastAsia"/>
        </w:rPr>
        <w:t>3</w:t>
      </w:r>
      <w:r>
        <w:rPr>
          <w:rFonts w:hint="eastAsia"/>
        </w:rPr>
        <w:fldChar w:fldCharType="end"/>
      </w:r>
      <w:r>
        <w:t>2</w:t>
      </w:r>
    </w:p>
    <w:p w14:paraId="447C6EB0">
      <w:pPr>
        <w:pStyle w:val="12"/>
        <w:rPr>
          <w:rFonts w:ascii="Calibri" w:hAnsi="Calibri" w:cs="Calibri"/>
        </w:rPr>
      </w:pPr>
      <w:r>
        <w:fldChar w:fldCharType="begin"/>
      </w:r>
      <w:r>
        <w:instrText xml:space="preserve"> HYPERLINK \l "_Toc52180104" </w:instrText>
      </w:r>
      <w:r>
        <w:fldChar w:fldCharType="separate"/>
      </w:r>
      <w:r>
        <w:rPr>
          <w:rStyle w:val="17"/>
          <w:rFonts w:hint="eastAsia" w:ascii="仿宋" w:hAnsi="仿宋" w:eastAsia="仿宋" w:cs="仿宋"/>
        </w:rPr>
        <w:t>五、财政拨款支出决算明细表</w:t>
      </w:r>
      <w:r>
        <w:tab/>
      </w:r>
      <w:r>
        <w:rPr>
          <w:rFonts w:hint="eastAsia"/>
        </w:rPr>
        <w:t>3</w:t>
      </w:r>
      <w:r>
        <w:rPr>
          <w:rFonts w:hint="eastAsia"/>
        </w:rPr>
        <w:fldChar w:fldCharType="end"/>
      </w:r>
      <w:r>
        <w:t>2</w:t>
      </w:r>
    </w:p>
    <w:p w14:paraId="545E9BDA">
      <w:pPr>
        <w:pStyle w:val="12"/>
        <w:rPr>
          <w:rFonts w:ascii="Calibri" w:hAnsi="Calibri" w:cs="Calibri"/>
        </w:rPr>
      </w:pPr>
      <w:r>
        <w:fldChar w:fldCharType="begin"/>
      </w:r>
      <w:r>
        <w:instrText xml:space="preserve"> HYPERLINK \l "_Toc52180105" </w:instrText>
      </w:r>
      <w:r>
        <w:fldChar w:fldCharType="separate"/>
      </w:r>
      <w:r>
        <w:rPr>
          <w:rStyle w:val="17"/>
          <w:rFonts w:hint="eastAsia" w:ascii="仿宋" w:hAnsi="仿宋" w:eastAsia="仿宋" w:cs="仿宋"/>
        </w:rPr>
        <w:t>六、一般公共预算财政拨款支出决算表</w:t>
      </w:r>
      <w:r>
        <w:tab/>
      </w:r>
      <w:r>
        <w:rPr>
          <w:rFonts w:hint="eastAsia"/>
        </w:rPr>
        <w:t>3</w:t>
      </w:r>
      <w:r>
        <w:rPr>
          <w:rFonts w:hint="eastAsia"/>
        </w:rPr>
        <w:fldChar w:fldCharType="end"/>
      </w:r>
      <w:r>
        <w:t>2</w:t>
      </w:r>
    </w:p>
    <w:p w14:paraId="48ED19BA">
      <w:pPr>
        <w:pStyle w:val="12"/>
        <w:rPr>
          <w:rFonts w:ascii="Calibri" w:hAnsi="Calibri" w:cs="Calibri"/>
        </w:rPr>
      </w:pPr>
      <w:r>
        <w:fldChar w:fldCharType="begin"/>
      </w:r>
      <w:r>
        <w:instrText xml:space="preserve"> HYPERLINK \l "_Toc52180106" </w:instrText>
      </w:r>
      <w:r>
        <w:fldChar w:fldCharType="separate"/>
      </w:r>
      <w:r>
        <w:rPr>
          <w:rStyle w:val="17"/>
          <w:rFonts w:hint="eastAsia" w:ascii="仿宋" w:hAnsi="仿宋" w:eastAsia="仿宋" w:cs="仿宋"/>
        </w:rPr>
        <w:t>七、一般公共预算财政拨款支出决算明细表</w:t>
      </w:r>
      <w:r>
        <w:tab/>
      </w:r>
      <w:r>
        <w:rPr>
          <w:rFonts w:hint="eastAsia"/>
        </w:rPr>
        <w:t>3</w:t>
      </w:r>
      <w:r>
        <w:rPr>
          <w:rFonts w:hint="eastAsia"/>
        </w:rPr>
        <w:fldChar w:fldCharType="end"/>
      </w:r>
      <w:r>
        <w:t>2</w:t>
      </w:r>
    </w:p>
    <w:p w14:paraId="0D1ED5B8">
      <w:pPr>
        <w:pStyle w:val="12"/>
        <w:rPr>
          <w:rFonts w:ascii="Calibri" w:hAnsi="Calibri" w:cs="Calibri"/>
        </w:rPr>
      </w:pPr>
      <w:r>
        <w:fldChar w:fldCharType="begin"/>
      </w:r>
      <w:r>
        <w:instrText xml:space="preserve"> HYPERLINK \l "_Toc52180107" </w:instrText>
      </w:r>
      <w:r>
        <w:fldChar w:fldCharType="separate"/>
      </w:r>
      <w:r>
        <w:rPr>
          <w:rStyle w:val="17"/>
          <w:rFonts w:hint="eastAsia" w:ascii="仿宋" w:hAnsi="仿宋" w:eastAsia="仿宋" w:cs="仿宋"/>
        </w:rPr>
        <w:t>八、一般公共预算财政拨款基本支出决算表</w:t>
      </w:r>
      <w:r>
        <w:tab/>
      </w:r>
      <w:r>
        <w:rPr>
          <w:rFonts w:hint="eastAsia"/>
        </w:rPr>
        <w:t>3</w:t>
      </w:r>
      <w:r>
        <w:rPr>
          <w:rFonts w:hint="eastAsia"/>
        </w:rPr>
        <w:fldChar w:fldCharType="end"/>
      </w:r>
      <w:r>
        <w:t>2</w:t>
      </w:r>
    </w:p>
    <w:p w14:paraId="03BDE267">
      <w:pPr>
        <w:pStyle w:val="12"/>
        <w:rPr>
          <w:rFonts w:ascii="Calibri" w:hAnsi="Calibri" w:cs="Calibri"/>
        </w:rPr>
      </w:pPr>
      <w:r>
        <w:fldChar w:fldCharType="begin"/>
      </w:r>
      <w:r>
        <w:instrText xml:space="preserve"> HYPERLINK \l "_Toc52180108" </w:instrText>
      </w:r>
      <w:r>
        <w:fldChar w:fldCharType="separate"/>
      </w:r>
      <w:r>
        <w:rPr>
          <w:rStyle w:val="17"/>
          <w:rFonts w:hint="eastAsia" w:ascii="仿宋" w:hAnsi="仿宋" w:eastAsia="仿宋" w:cs="仿宋"/>
        </w:rPr>
        <w:t>九、一般公共预算财政拨款项目支出决算表</w:t>
      </w:r>
      <w:r>
        <w:tab/>
      </w:r>
      <w:r>
        <w:rPr>
          <w:rFonts w:hint="eastAsia"/>
        </w:rPr>
        <w:t>3</w:t>
      </w:r>
      <w:r>
        <w:rPr>
          <w:rFonts w:hint="eastAsia"/>
        </w:rPr>
        <w:fldChar w:fldCharType="end"/>
      </w:r>
      <w:r>
        <w:t>2</w:t>
      </w:r>
    </w:p>
    <w:p w14:paraId="1DEC4E81">
      <w:pPr>
        <w:pStyle w:val="12"/>
        <w:rPr>
          <w:rFonts w:ascii="Calibri" w:hAnsi="Calibri" w:cs="Calibri"/>
        </w:rPr>
      </w:pPr>
      <w:r>
        <w:fldChar w:fldCharType="begin"/>
      </w:r>
      <w:r>
        <w:instrText xml:space="preserve"> HYPERLINK \l "_Toc52180109" </w:instrText>
      </w:r>
      <w:r>
        <w:fldChar w:fldCharType="separate"/>
      </w:r>
      <w:r>
        <w:rPr>
          <w:rStyle w:val="17"/>
          <w:rFonts w:hint="eastAsia" w:ascii="仿宋" w:hAnsi="仿宋" w:eastAsia="仿宋" w:cs="仿宋"/>
        </w:rPr>
        <w:t>十、一般公共预算财政拨款“三公”经费支出决算表</w:t>
      </w:r>
      <w:r>
        <w:tab/>
      </w:r>
      <w:r>
        <w:rPr>
          <w:rFonts w:hint="eastAsia"/>
        </w:rPr>
        <w:t>3</w:t>
      </w:r>
      <w:r>
        <w:rPr>
          <w:rFonts w:hint="eastAsia"/>
        </w:rPr>
        <w:fldChar w:fldCharType="end"/>
      </w:r>
      <w:r>
        <w:t>2</w:t>
      </w:r>
    </w:p>
    <w:p w14:paraId="61F21196">
      <w:pPr>
        <w:pStyle w:val="12"/>
        <w:rPr>
          <w:rFonts w:ascii="Calibri" w:hAnsi="Calibri" w:cs="Calibri"/>
        </w:rPr>
      </w:pPr>
      <w:r>
        <w:fldChar w:fldCharType="begin"/>
      </w:r>
      <w:r>
        <w:instrText xml:space="preserve"> HYPERLINK \l "_Toc52180110" </w:instrText>
      </w:r>
      <w:r>
        <w:fldChar w:fldCharType="separate"/>
      </w:r>
      <w:r>
        <w:rPr>
          <w:rStyle w:val="17"/>
          <w:rFonts w:hint="eastAsia" w:ascii="仿宋" w:hAnsi="仿宋" w:eastAsia="仿宋" w:cs="仿宋"/>
        </w:rPr>
        <w:t>十一、政府性基金预算财政拨款收入支出决算表</w:t>
      </w:r>
      <w:r>
        <w:tab/>
      </w:r>
      <w:r>
        <w:rPr>
          <w:rFonts w:hint="eastAsia"/>
        </w:rPr>
        <w:t>3</w:t>
      </w:r>
      <w:r>
        <w:rPr>
          <w:rFonts w:hint="eastAsia"/>
        </w:rPr>
        <w:fldChar w:fldCharType="end"/>
      </w:r>
      <w:r>
        <w:t>2</w:t>
      </w:r>
    </w:p>
    <w:p w14:paraId="421D272A">
      <w:pPr>
        <w:pStyle w:val="12"/>
        <w:rPr>
          <w:rFonts w:ascii="Calibri" w:hAnsi="Calibri" w:cs="Calibri"/>
        </w:rPr>
      </w:pPr>
      <w:r>
        <w:fldChar w:fldCharType="begin"/>
      </w:r>
      <w:r>
        <w:instrText xml:space="preserve"> HYPERLINK \l "_Toc52180111" </w:instrText>
      </w:r>
      <w:r>
        <w:fldChar w:fldCharType="separate"/>
      </w:r>
      <w:r>
        <w:rPr>
          <w:rStyle w:val="17"/>
          <w:rFonts w:hint="eastAsia" w:ascii="仿宋" w:hAnsi="仿宋" w:eastAsia="仿宋" w:cs="仿宋"/>
        </w:rPr>
        <w:t>十二、政府性基金预算财政拨款“三公”经费支出决算表</w:t>
      </w:r>
      <w:r>
        <w:tab/>
      </w:r>
      <w:r>
        <w:rPr>
          <w:rFonts w:hint="eastAsia"/>
        </w:rPr>
        <w:t>3</w:t>
      </w:r>
      <w:r>
        <w:rPr>
          <w:rFonts w:hint="eastAsia"/>
        </w:rPr>
        <w:fldChar w:fldCharType="end"/>
      </w:r>
      <w:r>
        <w:t>2</w:t>
      </w:r>
    </w:p>
    <w:p w14:paraId="6F1D4F7C">
      <w:pPr>
        <w:pStyle w:val="12"/>
        <w:rPr>
          <w:rFonts w:ascii="Calibri" w:hAnsi="Calibri" w:cs="Calibri"/>
        </w:rPr>
      </w:pPr>
      <w:r>
        <w:fldChar w:fldCharType="begin"/>
      </w:r>
      <w:r>
        <w:instrText xml:space="preserve"> HYPERLINK \l "_Toc52180112" </w:instrText>
      </w:r>
      <w:r>
        <w:fldChar w:fldCharType="separate"/>
      </w:r>
      <w:r>
        <w:rPr>
          <w:rStyle w:val="17"/>
          <w:rFonts w:hint="eastAsia" w:ascii="仿宋" w:hAnsi="仿宋" w:eastAsia="仿宋" w:cs="仿宋"/>
        </w:rPr>
        <w:t>十三、国有资本经营预算支出决算表</w:t>
      </w:r>
      <w:r>
        <w:tab/>
      </w:r>
      <w:r>
        <w:rPr>
          <w:rFonts w:hint="eastAsia"/>
        </w:rPr>
        <w:t>3</w:t>
      </w:r>
      <w:r>
        <w:rPr>
          <w:rFonts w:hint="eastAsia"/>
        </w:rPr>
        <w:fldChar w:fldCharType="end"/>
      </w:r>
      <w:r>
        <w:t>2</w:t>
      </w:r>
    </w:p>
    <w:p w14:paraId="1B1EC42F">
      <w:r>
        <w:fldChar w:fldCharType="end"/>
      </w:r>
    </w:p>
    <w:p w14:paraId="7D4A3A32">
      <w:pPr>
        <w:pStyle w:val="3"/>
        <w:jc w:val="center"/>
        <w:rPr>
          <w:rFonts w:ascii="黑体" w:hAnsi="黑体" w:eastAsia="黑体"/>
          <w:b w:val="0"/>
          <w:bCs w:val="0"/>
        </w:rPr>
      </w:pPr>
      <w:bookmarkStart w:id="14" w:name="_Toc52180065"/>
      <w:bookmarkStart w:id="15" w:name="_Toc15377196"/>
      <w:bookmarkStart w:id="16" w:name="_Toc15396599"/>
    </w:p>
    <w:p w14:paraId="7683ED66">
      <w:pPr>
        <w:pStyle w:val="3"/>
        <w:jc w:val="center"/>
        <w:rPr>
          <w:rFonts w:ascii="黑体" w:hAnsi="黑体" w:eastAsia="黑体"/>
          <w:b w:val="0"/>
          <w:bCs w:val="0"/>
        </w:rPr>
      </w:pPr>
    </w:p>
    <w:p w14:paraId="33300533">
      <w:pPr>
        <w:pStyle w:val="3"/>
        <w:jc w:val="center"/>
        <w:rPr>
          <w:rFonts w:ascii="黑体" w:hAnsi="黑体" w:eastAsia="黑体"/>
          <w:b w:val="0"/>
          <w:bCs w:val="0"/>
        </w:rPr>
      </w:pPr>
    </w:p>
    <w:p w14:paraId="4E69697A">
      <w:pPr>
        <w:pStyle w:val="3"/>
        <w:jc w:val="center"/>
        <w:rPr>
          <w:rFonts w:ascii="黑体" w:hAnsi="黑体" w:eastAsia="黑体"/>
          <w:b w:val="0"/>
          <w:bCs w:val="0"/>
        </w:rPr>
      </w:pPr>
    </w:p>
    <w:p w14:paraId="0C387C89">
      <w:pPr>
        <w:pStyle w:val="3"/>
        <w:jc w:val="center"/>
        <w:rPr>
          <w:rFonts w:ascii="黑体" w:hAnsi="黑体" w:eastAsia="黑体"/>
          <w:b w:val="0"/>
          <w:bCs w:val="0"/>
        </w:rPr>
      </w:pPr>
    </w:p>
    <w:p w14:paraId="7839E594">
      <w:pPr>
        <w:pStyle w:val="3"/>
        <w:rPr>
          <w:rFonts w:ascii="黑体" w:hAnsi="黑体" w:eastAsia="黑体"/>
          <w:b w:val="0"/>
          <w:bCs w:val="0"/>
        </w:rPr>
      </w:pPr>
    </w:p>
    <w:p w14:paraId="2370F3C7">
      <w:pPr>
        <w:rPr>
          <w:rFonts w:ascii="黑体" w:hAnsi="黑体" w:eastAsia="黑体"/>
        </w:rPr>
      </w:pPr>
    </w:p>
    <w:p w14:paraId="19CF7D9B">
      <w:pPr>
        <w:pStyle w:val="2"/>
        <w:spacing w:before="93"/>
      </w:pPr>
    </w:p>
    <w:p w14:paraId="3FC03015">
      <w:pPr>
        <w:rPr>
          <w:rFonts w:ascii="黑体" w:hAnsi="黑体" w:eastAsia="黑体"/>
        </w:rPr>
      </w:pPr>
    </w:p>
    <w:p w14:paraId="77C4F934">
      <w:pPr>
        <w:rPr>
          <w:rFonts w:ascii="黑体" w:hAnsi="黑体" w:eastAsia="黑体"/>
        </w:rPr>
      </w:pPr>
    </w:p>
    <w:p w14:paraId="1AB832F5">
      <w:pPr>
        <w:rPr>
          <w:rFonts w:ascii="黑体" w:hAnsi="黑体" w:eastAsia="黑体"/>
        </w:rPr>
      </w:pPr>
    </w:p>
    <w:p w14:paraId="02E55A2E">
      <w:pPr>
        <w:pStyle w:val="3"/>
        <w:jc w:val="center"/>
        <w:rPr>
          <w:rFonts w:ascii="黑体" w:eastAsia="黑体"/>
          <w:color w:val="000000"/>
          <w:sz w:val="32"/>
          <w:szCs w:val="32"/>
        </w:rPr>
      </w:pPr>
      <w:r>
        <w:rPr>
          <w:rFonts w:hint="eastAsia" w:ascii="黑体" w:hAnsi="黑体" w:eastAsia="黑体" w:cs="黑体"/>
          <w:b w:val="0"/>
          <w:bCs w:val="0"/>
        </w:rPr>
        <w:t>第一部分</w:t>
      </w:r>
      <w:r>
        <w:rPr>
          <w:rFonts w:ascii="黑体" w:hAnsi="黑体" w:eastAsia="黑体" w:cs="黑体"/>
          <w:b w:val="0"/>
          <w:bCs w:val="0"/>
        </w:rPr>
        <w:t xml:space="preserve"> </w:t>
      </w:r>
      <w:r>
        <w:rPr>
          <w:rFonts w:hint="eastAsia" w:ascii="黑体" w:hAnsi="黑体" w:eastAsia="黑体" w:cs="黑体"/>
          <w:b w:val="0"/>
          <w:bCs w:val="0"/>
        </w:rPr>
        <w:t>单位</w:t>
      </w:r>
      <w:r>
        <w:rPr>
          <w:rStyle w:val="18"/>
          <w:rFonts w:hint="eastAsia" w:ascii="黑体" w:hAnsi="黑体" w:eastAsia="黑体" w:cs="黑体"/>
          <w:b w:val="0"/>
          <w:bCs w:val="0"/>
        </w:rPr>
        <w:t>概况</w:t>
      </w:r>
      <w:bookmarkEnd w:id="14"/>
      <w:bookmarkEnd w:id="15"/>
      <w:bookmarkEnd w:id="16"/>
    </w:p>
    <w:p w14:paraId="095EE1A6">
      <w:pPr>
        <w:pStyle w:val="4"/>
        <w:rPr>
          <w:rFonts w:ascii="黑体" w:hAnsi="黑体" w:eastAsia="黑体" w:cs="黑体"/>
          <w:b w:val="0"/>
          <w:bCs w:val="0"/>
          <w:color w:val="000000"/>
        </w:rPr>
      </w:pPr>
      <w:bookmarkStart w:id="17" w:name="_Toc52180066"/>
      <w:bookmarkStart w:id="18" w:name="_Toc15377197"/>
      <w:bookmarkStart w:id="19" w:name="_Toc15396600"/>
      <w:r>
        <w:rPr>
          <w:rFonts w:hint="eastAsia" w:ascii="黑体" w:hAnsi="黑体" w:eastAsia="黑体" w:cs="黑体"/>
          <w:b w:val="0"/>
          <w:bCs w:val="0"/>
          <w:color w:val="000000"/>
        </w:rPr>
        <w:t>一、</w:t>
      </w:r>
      <w:bookmarkEnd w:id="17"/>
      <w:bookmarkEnd w:id="18"/>
      <w:bookmarkEnd w:id="19"/>
      <w:r>
        <w:rPr>
          <w:rFonts w:hint="eastAsia" w:ascii="黑体" w:hAnsi="黑体" w:eastAsia="黑体" w:cs="黑体"/>
          <w:b w:val="0"/>
          <w:bCs w:val="0"/>
          <w:color w:val="000000"/>
        </w:rPr>
        <w:t>职能简介</w:t>
      </w:r>
    </w:p>
    <w:p w14:paraId="6D8CD2DD">
      <w:pPr>
        <w:pStyle w:val="4"/>
        <w:ind w:firstLine="640" w:firstLineChars="200"/>
        <w:rPr>
          <w:rFonts w:hint="eastAsia" w:ascii="仿宋_GB2312" w:hAnsi="仿宋" w:eastAsia="仿宋_GB2312" w:cs="仿宋"/>
          <w:b w:val="0"/>
          <w:bCs w:val="0"/>
          <w:color w:val="000000"/>
        </w:rPr>
      </w:pPr>
      <w:r>
        <w:rPr>
          <w:rFonts w:hint="eastAsia" w:ascii="仿宋_GB2312" w:hAnsi="仿宋" w:eastAsia="仿宋_GB2312" w:cs="仿宋"/>
          <w:b w:val="0"/>
          <w:bCs w:val="0"/>
          <w:color w:val="000000"/>
        </w:rPr>
        <w:t>盐边县民族中学校是盐边县教育局下设公立民族中学教育机构。从事初中学历教育教育.</w:t>
      </w:r>
    </w:p>
    <w:p w14:paraId="7F293379">
      <w:pPr>
        <w:pStyle w:val="2"/>
        <w:adjustRightInd w:val="0"/>
        <w:snapToGrid w:val="0"/>
        <w:spacing w:before="93" w:line="600" w:lineRule="exact"/>
        <w:outlineLvl w:val="2"/>
        <w:rPr>
          <w:rFonts w:ascii="仿宋" w:hAnsi="仿宋" w:eastAsia="仿宋" w:cs="仿宋"/>
          <w:color w:val="000000"/>
          <w:sz w:val="32"/>
          <w:szCs w:val="32"/>
        </w:rPr>
      </w:pPr>
      <w:bookmarkStart w:id="20" w:name="_Toc15377199"/>
      <w:bookmarkStart w:id="21" w:name="_Toc52180068"/>
      <w:bookmarkStart w:id="22" w:name="_Toc15378446"/>
      <w:r>
        <w:rPr>
          <w:rFonts w:hint="eastAsia" w:ascii="仿宋" w:hAnsi="仿宋" w:eastAsia="仿宋" w:cs="仿宋"/>
          <w:b/>
          <w:bCs/>
          <w:color w:val="000000"/>
          <w:sz w:val="36"/>
          <w:szCs w:val="36"/>
        </w:rPr>
        <w:t>二、</w:t>
      </w:r>
      <w:r>
        <w:rPr>
          <w:rFonts w:ascii="仿宋" w:hAnsi="仿宋" w:eastAsia="仿宋" w:cs="仿宋"/>
          <w:b/>
          <w:bCs/>
          <w:color w:val="000000"/>
          <w:sz w:val="36"/>
          <w:szCs w:val="36"/>
        </w:rPr>
        <w:t>20</w:t>
      </w:r>
      <w:r>
        <w:rPr>
          <w:rFonts w:hint="eastAsia" w:ascii="仿宋" w:hAnsi="仿宋" w:eastAsia="仿宋" w:cs="仿宋"/>
          <w:b/>
          <w:bCs/>
          <w:color w:val="000000"/>
          <w:sz w:val="36"/>
          <w:szCs w:val="36"/>
        </w:rPr>
        <w:t>21年重点工作完成情况。</w:t>
      </w:r>
      <w:bookmarkEnd w:id="20"/>
      <w:bookmarkEnd w:id="21"/>
      <w:bookmarkEnd w:id="22"/>
    </w:p>
    <w:p w14:paraId="12AEDEFF">
      <w:pPr>
        <w:pStyle w:val="13"/>
        <w:shd w:val="clear" w:color="auto" w:fill="FFFFFF"/>
        <w:spacing w:before="0" w:beforeAutospacing="0" w:after="0" w:afterAutospacing="0" w:line="360" w:lineRule="auto"/>
        <w:ind w:firstLine="480" w:firstLineChars="150"/>
        <w:rPr>
          <w:rFonts w:ascii="楷体_GB2312" w:hAnsi="仿宋_GB2312" w:eastAsia="楷体_GB2312" w:cs="仿宋_GB2312"/>
          <w:sz w:val="32"/>
          <w:szCs w:val="32"/>
        </w:rPr>
      </w:pPr>
      <w:r>
        <w:rPr>
          <w:rFonts w:hint="eastAsia" w:ascii="楷体_GB2312" w:hAnsi="仿宋_GB2312" w:eastAsia="楷体_GB2312" w:cs="仿宋_GB2312"/>
          <w:sz w:val="32"/>
          <w:szCs w:val="32"/>
        </w:rPr>
        <w:t>（一）加强党建及思想政治工作，</w:t>
      </w:r>
      <w:r>
        <w:rPr>
          <w:rFonts w:hint="eastAsia" w:ascii="楷体_GB2312" w:hAnsi="仿宋_GB2312" w:eastAsia="楷体_GB2312" w:cs="仿宋_GB2312"/>
          <w:sz w:val="32"/>
          <w:szCs w:val="32"/>
          <w:lang w:val="en-US" w:eastAsia="zh-CN"/>
        </w:rPr>
        <w:t>铸</w:t>
      </w:r>
      <w:bookmarkStart w:id="99" w:name="_GoBack"/>
      <w:bookmarkEnd w:id="99"/>
      <w:r>
        <w:rPr>
          <w:rFonts w:hint="eastAsia" w:ascii="楷体_GB2312" w:hAnsi="仿宋_GB2312" w:eastAsia="楷体_GB2312" w:cs="仿宋_GB2312"/>
          <w:sz w:val="32"/>
          <w:szCs w:val="32"/>
        </w:rPr>
        <w:t>牢意识形态防线</w:t>
      </w:r>
    </w:p>
    <w:p w14:paraId="73593617">
      <w:pPr>
        <w:pStyle w:val="13"/>
        <w:shd w:val="clear" w:color="auto" w:fill="FFFFFF"/>
        <w:spacing w:before="0" w:beforeAutospacing="0" w:after="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学校高度重视党建及思想政治工作，建立了以党支部书记为第一责任人，</w:t>
      </w:r>
      <w:r>
        <w:rPr>
          <w:rFonts w:hint="eastAsia" w:eastAsia="仿宋_GB2312" w:cs="仿宋_GB2312"/>
          <w:sz w:val="32"/>
          <w:szCs w:val="32"/>
        </w:rPr>
        <w:t>党</w:t>
      </w:r>
      <w:r>
        <w:rPr>
          <w:rFonts w:hint="eastAsia" w:ascii="仿宋_GB2312" w:hAnsi="仿宋_GB2312" w:eastAsia="仿宋_GB2312" w:cs="仿宋_GB2312"/>
          <w:sz w:val="32"/>
          <w:szCs w:val="32"/>
        </w:rPr>
        <w:t>支部副书记具体分管，层层抓落实的责任机制，不断强化意识形态领域工作。</w:t>
      </w:r>
    </w:p>
    <w:p w14:paraId="1A4D02C3">
      <w:pPr>
        <w:pStyle w:val="13"/>
        <w:shd w:val="clear" w:color="auto" w:fill="FFFFFF"/>
        <w:spacing w:before="0" w:beforeAutospacing="0" w:after="0" w:afterAutospacing="0"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1.积极做好发展党员的宣传工作，动员和鼓励一批思想觉悟高，工作能力强的年轻教师加入入党积极分子的行列，并及时做好这些积极分子的考察工作。</w:t>
      </w:r>
    </w:p>
    <w:p w14:paraId="6066D171">
      <w:pPr>
        <w:pStyle w:val="13"/>
        <w:shd w:val="clear" w:color="auto" w:fill="FFFFFF"/>
        <w:spacing w:before="0" w:beforeAutospacing="0" w:after="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2.学校党支部进一步落实和完善了“三会一课”制度、民主评议制度、民主生活会制度等党内制度，这些制度的落实和完善，使得我校党支部管理工作进一步提升。</w:t>
      </w:r>
    </w:p>
    <w:p w14:paraId="67AE003E">
      <w:pPr>
        <w:pStyle w:val="13"/>
        <w:shd w:val="clear" w:color="auto" w:fill="FFFFFF"/>
        <w:spacing w:before="0" w:beforeAutospacing="0" w:after="0" w:afterAutospacing="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3.党支部定期召开支部党员大会、支部委员会、党小组会，按时上好党课。</w:t>
      </w:r>
    </w:p>
    <w:p w14:paraId="418801AF">
      <w:pPr>
        <w:pStyle w:val="13"/>
        <w:shd w:val="clear" w:color="auto" w:fill="FFFFFF"/>
        <w:spacing w:before="0" w:beforeAutospacing="0" w:after="0" w:afterAutospacing="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4.学校党支部专门建立了党员活动室，室内设备完善，功能齐全，方便党内各类工作和活动的开展。</w:t>
      </w:r>
    </w:p>
    <w:p w14:paraId="0516D3C7">
      <w:pPr>
        <w:pStyle w:val="13"/>
        <w:shd w:val="clear" w:color="auto" w:fill="FFFFFF"/>
        <w:spacing w:before="0" w:beforeAutospacing="0" w:after="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5.党风廉政文化建设作为党建的一项重点工作，我校党支部极力部署安排了这一工作，制定了相关的实施方案，工作计划和制度，建立了党风廉政文化建设宣传专栏，并与每名党员签订了党风廉政文化建设责任书，进行了党风廉政文化建设知识测试等活动，筑牢意识形态防线。　</w:t>
      </w:r>
    </w:p>
    <w:p w14:paraId="76E5C919">
      <w:pPr>
        <w:widowControl/>
        <w:spacing w:line="360" w:lineRule="auto"/>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（二）规范办学，做好常态分班、规范课程设置，认真落实“五项管理”“双减”工作，做到“五育并举”。</w:t>
      </w:r>
    </w:p>
    <w:p w14:paraId="17DAEFA0">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1.我校严格按照课程标准开齐课程、开足课时，规范办学，做好常态分班，严格控制大班额。校园无大班额。</w:t>
      </w:r>
    </w:p>
    <w:p w14:paraId="50FE43F5">
      <w:pPr>
        <w:pStyle w:val="13"/>
        <w:shd w:val="clear" w:color="auto" w:fill="FFFFFF"/>
        <w:spacing w:before="0" w:beforeAutospacing="0" w:after="0" w:afterAutospacing="0" w:line="360" w:lineRule="auto"/>
        <w:ind w:firstLine="640" w:firstLineChars="200"/>
        <w:rPr>
          <w:rStyle w:val="33"/>
          <w:rFonts w:ascii="仿宋_GB2312" w:hAnsi="等线" w:eastAsia="仿宋_GB2312" w:cs="PMingLiU"/>
          <w:color w:val="333333"/>
          <w:spacing w:val="8"/>
          <w:sz w:val="32"/>
          <w:szCs w:val="32"/>
        </w:rPr>
      </w:pPr>
      <w:r>
        <w:rPr>
          <w:rFonts w:ascii="仿宋_GB2312" w:hAnsi="仿宋_GB2312" w:eastAsia="仿宋_GB2312" w:cs="仿宋_GB2312"/>
          <w:sz w:val="32"/>
          <w:szCs w:val="32"/>
        </w:rPr>
        <w:t>2.</w:t>
      </w:r>
      <w:r>
        <w:rPr>
          <w:rStyle w:val="33"/>
          <w:rFonts w:hint="eastAsia" w:ascii="仿宋_GB2312" w:hAnsi="等线" w:eastAsia="仿宋_GB2312" w:cs="MS Mincho"/>
          <w:color w:val="000000"/>
          <w:spacing w:val="8"/>
          <w:sz w:val="32"/>
          <w:szCs w:val="32"/>
        </w:rPr>
        <w:t>加</w:t>
      </w:r>
      <w:r>
        <w:rPr>
          <w:rStyle w:val="33"/>
          <w:rFonts w:hint="eastAsia" w:ascii="仿宋_GB2312" w:hAnsi="等线" w:eastAsia="仿宋_GB2312" w:cs="PMingLiU"/>
          <w:color w:val="000000"/>
          <w:spacing w:val="8"/>
          <w:sz w:val="32"/>
          <w:szCs w:val="32"/>
        </w:rPr>
        <w:t>强</w:t>
      </w:r>
      <w:r>
        <w:rPr>
          <w:rStyle w:val="33"/>
          <w:rFonts w:hint="eastAsia" w:ascii="仿宋_GB2312" w:hAnsi="等线" w:eastAsia="仿宋_GB2312" w:cs="MS Mincho"/>
          <w:color w:val="000000"/>
          <w:spacing w:val="8"/>
          <w:sz w:val="32"/>
          <w:szCs w:val="32"/>
        </w:rPr>
        <w:t>作</w:t>
      </w:r>
      <w:r>
        <w:rPr>
          <w:rStyle w:val="33"/>
          <w:rFonts w:hint="eastAsia" w:ascii="仿宋_GB2312" w:hAnsi="等线" w:eastAsia="仿宋_GB2312" w:cs="PMingLiU"/>
          <w:color w:val="000000"/>
          <w:spacing w:val="8"/>
          <w:sz w:val="32"/>
          <w:szCs w:val="32"/>
        </w:rPr>
        <w:t>业</w:t>
      </w:r>
      <w:r>
        <w:rPr>
          <w:rStyle w:val="33"/>
          <w:rFonts w:hint="eastAsia" w:ascii="仿宋_GB2312" w:hAnsi="等线" w:eastAsia="仿宋_GB2312" w:cs="MS Mincho"/>
          <w:color w:val="000000"/>
          <w:spacing w:val="8"/>
          <w:sz w:val="32"/>
          <w:szCs w:val="32"/>
        </w:rPr>
        <w:t>管理，切</w:t>
      </w:r>
      <w:r>
        <w:rPr>
          <w:rStyle w:val="33"/>
          <w:rFonts w:hint="eastAsia" w:ascii="仿宋_GB2312" w:hAnsi="等线" w:eastAsia="仿宋_GB2312" w:cs="PMingLiU"/>
          <w:color w:val="000000"/>
          <w:spacing w:val="8"/>
          <w:sz w:val="32"/>
          <w:szCs w:val="32"/>
        </w:rPr>
        <w:t>实</w:t>
      </w:r>
      <w:r>
        <w:rPr>
          <w:rStyle w:val="33"/>
          <w:rFonts w:hint="eastAsia" w:ascii="仿宋_GB2312" w:hAnsi="等线" w:eastAsia="仿宋_GB2312" w:cs="MS Mincho"/>
          <w:color w:val="000000"/>
          <w:spacing w:val="8"/>
          <w:sz w:val="32"/>
          <w:szCs w:val="32"/>
        </w:rPr>
        <w:t>减</w:t>
      </w:r>
      <w:r>
        <w:rPr>
          <w:rStyle w:val="33"/>
          <w:rFonts w:hint="eastAsia" w:ascii="仿宋_GB2312" w:hAnsi="等线" w:eastAsia="仿宋_GB2312" w:cs="PMingLiU"/>
          <w:color w:val="000000"/>
          <w:spacing w:val="8"/>
          <w:sz w:val="32"/>
          <w:szCs w:val="32"/>
        </w:rPr>
        <w:t>轻</w:t>
      </w:r>
      <w:r>
        <w:rPr>
          <w:rStyle w:val="33"/>
          <w:rFonts w:hint="eastAsia" w:ascii="仿宋_GB2312" w:hAnsi="等线" w:eastAsia="仿宋_GB2312" w:cs="MS Mincho"/>
          <w:color w:val="000000"/>
          <w:spacing w:val="8"/>
          <w:sz w:val="32"/>
          <w:szCs w:val="32"/>
        </w:rPr>
        <w:t>学生</w:t>
      </w:r>
      <w:r>
        <w:rPr>
          <w:rStyle w:val="33"/>
          <w:rFonts w:hint="eastAsia" w:ascii="仿宋_GB2312" w:hAnsi="等线" w:eastAsia="仿宋_GB2312" w:cs="PMingLiU"/>
          <w:color w:val="000000"/>
          <w:spacing w:val="8"/>
          <w:sz w:val="32"/>
          <w:szCs w:val="32"/>
        </w:rPr>
        <w:t>课业负</w:t>
      </w:r>
      <w:r>
        <w:rPr>
          <w:rStyle w:val="33"/>
          <w:rFonts w:hint="eastAsia" w:ascii="仿宋_GB2312" w:hAnsi="等线" w:eastAsia="仿宋_GB2312" w:cs="MS Mincho"/>
          <w:color w:val="000000"/>
          <w:spacing w:val="8"/>
          <w:sz w:val="32"/>
          <w:szCs w:val="32"/>
        </w:rPr>
        <w:t>担。</w:t>
      </w:r>
      <w:r>
        <w:rPr>
          <w:rStyle w:val="33"/>
          <w:rFonts w:hint="eastAsia" w:ascii="仿宋_GB2312" w:hAnsi="等线" w:eastAsia="仿宋_GB2312" w:cs="MS Mincho"/>
          <w:color w:val="333333"/>
          <w:spacing w:val="8"/>
          <w:sz w:val="32"/>
          <w:szCs w:val="32"/>
        </w:rPr>
        <w:t>初中不超</w:t>
      </w:r>
      <w:r>
        <w:rPr>
          <w:rStyle w:val="33"/>
          <w:rFonts w:hint="eastAsia" w:ascii="仿宋_GB2312" w:hAnsi="等线" w:eastAsia="仿宋_GB2312" w:cs="PMingLiU"/>
          <w:color w:val="333333"/>
          <w:spacing w:val="8"/>
          <w:sz w:val="32"/>
          <w:szCs w:val="32"/>
        </w:rPr>
        <w:t>过</w:t>
      </w:r>
      <w:r>
        <w:rPr>
          <w:rStyle w:val="33"/>
          <w:rFonts w:hint="eastAsia" w:ascii="仿宋_GB2312" w:hAnsi="等线" w:eastAsia="仿宋_GB2312"/>
          <w:color w:val="333333"/>
          <w:spacing w:val="8"/>
          <w:sz w:val="32"/>
          <w:szCs w:val="32"/>
        </w:rPr>
        <w:t>90</w:t>
      </w:r>
      <w:r>
        <w:rPr>
          <w:rStyle w:val="33"/>
          <w:rFonts w:hint="eastAsia" w:ascii="仿宋_GB2312" w:hAnsi="等线" w:eastAsia="仿宋_GB2312" w:cs="MS Mincho"/>
          <w:color w:val="333333"/>
          <w:spacing w:val="8"/>
          <w:sz w:val="32"/>
          <w:szCs w:val="32"/>
        </w:rPr>
        <w:t>分</w:t>
      </w:r>
      <w:r>
        <w:rPr>
          <w:rStyle w:val="33"/>
          <w:rFonts w:hint="eastAsia" w:ascii="仿宋_GB2312" w:hAnsi="等线" w:eastAsia="仿宋_GB2312" w:cs="PMingLiU"/>
          <w:color w:val="333333"/>
          <w:spacing w:val="8"/>
          <w:sz w:val="32"/>
          <w:szCs w:val="32"/>
        </w:rPr>
        <w:t>钟；</w:t>
      </w:r>
      <w:r>
        <w:rPr>
          <w:rStyle w:val="33"/>
          <w:rFonts w:hint="eastAsia" w:ascii="仿宋_GB2312" w:hAnsi="等线" w:eastAsia="仿宋_GB2312" w:cs="MS Mincho"/>
          <w:color w:val="333333"/>
          <w:spacing w:val="8"/>
          <w:sz w:val="32"/>
          <w:szCs w:val="32"/>
        </w:rPr>
        <w:t>双休日及</w:t>
      </w:r>
      <w:r>
        <w:rPr>
          <w:rStyle w:val="33"/>
          <w:rFonts w:hint="eastAsia" w:ascii="仿宋_GB2312" w:hAnsi="等线" w:eastAsia="仿宋_GB2312" w:cs="PMingLiU"/>
          <w:color w:val="333333"/>
          <w:spacing w:val="8"/>
          <w:sz w:val="32"/>
          <w:szCs w:val="32"/>
        </w:rPr>
        <w:t>节</w:t>
      </w:r>
      <w:r>
        <w:rPr>
          <w:rStyle w:val="33"/>
          <w:rFonts w:hint="eastAsia" w:ascii="仿宋_GB2312" w:hAnsi="等线" w:eastAsia="仿宋_GB2312" w:cs="MS Mincho"/>
          <w:color w:val="333333"/>
          <w:spacing w:val="8"/>
          <w:sz w:val="32"/>
          <w:szCs w:val="32"/>
        </w:rPr>
        <w:t>假日不得加大作</w:t>
      </w:r>
      <w:r>
        <w:rPr>
          <w:rStyle w:val="33"/>
          <w:rFonts w:hint="eastAsia" w:ascii="仿宋_GB2312" w:hAnsi="等线" w:eastAsia="仿宋_GB2312" w:cs="PMingLiU"/>
          <w:color w:val="333333"/>
          <w:spacing w:val="8"/>
          <w:sz w:val="32"/>
          <w:szCs w:val="32"/>
        </w:rPr>
        <w:t>业</w:t>
      </w:r>
      <w:r>
        <w:rPr>
          <w:rStyle w:val="33"/>
          <w:rFonts w:hint="eastAsia" w:ascii="仿宋_GB2312" w:hAnsi="等线" w:eastAsia="仿宋_GB2312" w:cs="MS Mincho"/>
          <w:color w:val="333333"/>
          <w:spacing w:val="8"/>
          <w:sz w:val="32"/>
          <w:szCs w:val="32"/>
        </w:rPr>
        <w:t>量，教</w:t>
      </w:r>
      <w:r>
        <w:rPr>
          <w:rStyle w:val="33"/>
          <w:rFonts w:hint="eastAsia" w:ascii="仿宋_GB2312" w:hAnsi="等线" w:eastAsia="仿宋_GB2312" w:cs="PMingLiU"/>
          <w:color w:val="333333"/>
          <w:spacing w:val="8"/>
          <w:sz w:val="32"/>
          <w:szCs w:val="32"/>
        </w:rPr>
        <w:t>师</w:t>
      </w:r>
      <w:r>
        <w:rPr>
          <w:rStyle w:val="33"/>
          <w:rFonts w:hint="eastAsia" w:ascii="仿宋_GB2312" w:hAnsi="等线" w:eastAsia="仿宋_GB2312" w:cs="MS Mincho"/>
          <w:color w:val="333333"/>
          <w:spacing w:val="8"/>
          <w:sz w:val="32"/>
          <w:szCs w:val="32"/>
        </w:rPr>
        <w:t>不得通</w:t>
      </w:r>
      <w:r>
        <w:rPr>
          <w:rStyle w:val="33"/>
          <w:rFonts w:hint="eastAsia" w:ascii="仿宋_GB2312" w:hAnsi="等线" w:eastAsia="仿宋_GB2312" w:cs="PMingLiU"/>
          <w:color w:val="333333"/>
          <w:spacing w:val="8"/>
          <w:sz w:val="32"/>
          <w:szCs w:val="32"/>
        </w:rPr>
        <w:t>过</w:t>
      </w:r>
      <w:r>
        <w:rPr>
          <w:rStyle w:val="33"/>
          <w:rFonts w:hint="eastAsia" w:ascii="仿宋_GB2312" w:hAnsi="等线" w:eastAsia="仿宋_GB2312" w:cs="MS Mincho"/>
          <w:color w:val="333333"/>
          <w:spacing w:val="8"/>
          <w:sz w:val="32"/>
          <w:szCs w:val="32"/>
        </w:rPr>
        <w:t>微信和</w:t>
      </w:r>
      <w:r>
        <w:rPr>
          <w:rStyle w:val="33"/>
          <w:rFonts w:hint="eastAsia" w:ascii="仿宋_GB2312" w:hAnsi="等线" w:eastAsia="仿宋_GB2312"/>
          <w:color w:val="333333"/>
          <w:spacing w:val="8"/>
          <w:sz w:val="32"/>
          <w:szCs w:val="32"/>
        </w:rPr>
        <w:t>QQ</w:t>
      </w:r>
      <w:r>
        <w:rPr>
          <w:rStyle w:val="33"/>
          <w:rFonts w:hint="eastAsia" w:ascii="仿宋_GB2312" w:hAnsi="等线" w:eastAsia="仿宋_GB2312" w:cs="MS Mincho"/>
          <w:color w:val="333333"/>
          <w:spacing w:val="8"/>
          <w:sz w:val="32"/>
          <w:szCs w:val="32"/>
        </w:rPr>
        <w:t>等方式布置作</w:t>
      </w:r>
      <w:r>
        <w:rPr>
          <w:rStyle w:val="33"/>
          <w:rFonts w:hint="eastAsia" w:ascii="仿宋_GB2312" w:hAnsi="等线" w:eastAsia="仿宋_GB2312" w:cs="PMingLiU"/>
          <w:color w:val="333333"/>
          <w:spacing w:val="8"/>
          <w:sz w:val="32"/>
          <w:szCs w:val="32"/>
        </w:rPr>
        <w:t>业；</w:t>
      </w:r>
      <w:r>
        <w:rPr>
          <w:rStyle w:val="33"/>
          <w:rFonts w:hint="eastAsia" w:ascii="仿宋_GB2312" w:hAnsi="等线" w:eastAsia="仿宋_GB2312" w:cs="MS Mincho"/>
          <w:color w:val="333333"/>
          <w:spacing w:val="8"/>
          <w:sz w:val="32"/>
          <w:szCs w:val="32"/>
        </w:rPr>
        <w:t>不得</w:t>
      </w:r>
      <w:r>
        <w:rPr>
          <w:rStyle w:val="33"/>
          <w:rFonts w:hint="eastAsia" w:ascii="仿宋_GB2312" w:hAnsi="等线" w:eastAsia="仿宋_GB2312" w:cs="PMingLiU"/>
          <w:color w:val="333333"/>
          <w:spacing w:val="8"/>
          <w:sz w:val="32"/>
          <w:szCs w:val="32"/>
        </w:rPr>
        <w:t>给</w:t>
      </w:r>
      <w:r>
        <w:rPr>
          <w:rStyle w:val="33"/>
          <w:rFonts w:hint="eastAsia" w:ascii="仿宋_GB2312" w:hAnsi="等线" w:eastAsia="仿宋_GB2312" w:cs="MS Mincho"/>
          <w:color w:val="333333"/>
          <w:spacing w:val="8"/>
          <w:sz w:val="32"/>
          <w:szCs w:val="32"/>
        </w:rPr>
        <w:t>家</w:t>
      </w:r>
      <w:r>
        <w:rPr>
          <w:rStyle w:val="33"/>
          <w:rFonts w:hint="eastAsia" w:ascii="仿宋_GB2312" w:hAnsi="等线" w:eastAsia="仿宋_GB2312" w:cs="PMingLiU"/>
          <w:color w:val="333333"/>
          <w:spacing w:val="8"/>
          <w:sz w:val="32"/>
          <w:szCs w:val="32"/>
        </w:rPr>
        <w:t>长</w:t>
      </w:r>
      <w:r>
        <w:rPr>
          <w:rStyle w:val="33"/>
          <w:rFonts w:hint="eastAsia" w:ascii="仿宋_GB2312" w:hAnsi="等线" w:eastAsia="仿宋_GB2312" w:cs="MS Mincho"/>
          <w:color w:val="333333"/>
          <w:spacing w:val="8"/>
          <w:sz w:val="32"/>
          <w:szCs w:val="32"/>
        </w:rPr>
        <w:t>布置或者</w:t>
      </w:r>
      <w:r>
        <w:rPr>
          <w:rStyle w:val="33"/>
          <w:rFonts w:hint="eastAsia" w:ascii="仿宋_GB2312" w:hAnsi="等线" w:eastAsia="仿宋_GB2312" w:cs="PMingLiU"/>
          <w:color w:val="333333"/>
          <w:spacing w:val="8"/>
          <w:sz w:val="32"/>
          <w:szCs w:val="32"/>
        </w:rPr>
        <w:t>变</w:t>
      </w:r>
      <w:r>
        <w:rPr>
          <w:rStyle w:val="33"/>
          <w:rFonts w:hint="eastAsia" w:ascii="仿宋_GB2312" w:hAnsi="等线" w:eastAsia="仿宋_GB2312" w:cs="MS Mincho"/>
          <w:color w:val="333333"/>
          <w:spacing w:val="8"/>
          <w:sz w:val="32"/>
          <w:szCs w:val="32"/>
        </w:rPr>
        <w:t>相布置作</w:t>
      </w:r>
      <w:r>
        <w:rPr>
          <w:rStyle w:val="33"/>
          <w:rFonts w:hint="eastAsia" w:ascii="仿宋_GB2312" w:hAnsi="等线" w:eastAsia="仿宋_GB2312" w:cs="PMingLiU"/>
          <w:color w:val="333333"/>
          <w:spacing w:val="8"/>
          <w:sz w:val="32"/>
          <w:szCs w:val="32"/>
        </w:rPr>
        <w:t>业</w:t>
      </w:r>
      <w:r>
        <w:rPr>
          <w:rStyle w:val="33"/>
          <w:rFonts w:hint="eastAsia" w:ascii="仿宋_GB2312" w:hAnsi="等线" w:eastAsia="仿宋_GB2312" w:cs="MS Mincho"/>
          <w:color w:val="333333"/>
          <w:spacing w:val="8"/>
          <w:sz w:val="32"/>
          <w:szCs w:val="32"/>
        </w:rPr>
        <w:t>，不得要求家</w:t>
      </w:r>
      <w:r>
        <w:rPr>
          <w:rStyle w:val="33"/>
          <w:rFonts w:hint="eastAsia" w:ascii="仿宋_GB2312" w:hAnsi="等线" w:eastAsia="仿宋_GB2312" w:cs="PMingLiU"/>
          <w:color w:val="333333"/>
          <w:spacing w:val="8"/>
          <w:sz w:val="32"/>
          <w:szCs w:val="32"/>
        </w:rPr>
        <w:t>长检查</w:t>
      </w:r>
      <w:r>
        <w:rPr>
          <w:rStyle w:val="33"/>
          <w:rFonts w:hint="eastAsia" w:ascii="仿宋_GB2312" w:hAnsi="等线" w:eastAsia="仿宋_GB2312" w:cs="MS Mincho"/>
          <w:color w:val="333333"/>
          <w:spacing w:val="8"/>
          <w:sz w:val="32"/>
          <w:szCs w:val="32"/>
        </w:rPr>
        <w:t>和批改作</w:t>
      </w:r>
      <w:r>
        <w:rPr>
          <w:rStyle w:val="33"/>
          <w:rFonts w:hint="eastAsia" w:ascii="仿宋_GB2312" w:hAnsi="等线" w:eastAsia="仿宋_GB2312" w:cs="PMingLiU"/>
          <w:color w:val="333333"/>
          <w:spacing w:val="8"/>
          <w:sz w:val="32"/>
          <w:szCs w:val="32"/>
        </w:rPr>
        <w:t>业</w:t>
      </w:r>
      <w:r>
        <w:rPr>
          <w:rStyle w:val="33"/>
          <w:rFonts w:hint="eastAsia" w:ascii="仿宋_GB2312" w:hAnsi="等线" w:eastAsia="仿宋_GB2312" w:cs="MS Mincho"/>
          <w:color w:val="333333"/>
          <w:spacing w:val="8"/>
          <w:sz w:val="32"/>
          <w:szCs w:val="32"/>
        </w:rPr>
        <w:t>。</w:t>
      </w:r>
      <w:r>
        <w:rPr>
          <w:rStyle w:val="33"/>
          <w:rFonts w:hint="eastAsia" w:ascii="仿宋_GB2312" w:hAnsi="等线" w:eastAsia="仿宋_GB2312" w:cs="PMingLiU"/>
          <w:color w:val="333333"/>
          <w:spacing w:val="8"/>
          <w:sz w:val="32"/>
          <w:szCs w:val="32"/>
        </w:rPr>
        <w:t>要求每班将当天布置的作业在下午放学前公示在作业公示栏，学校教务室进行统计，对于作业量超标的班级进行约谈，督促整改。</w:t>
      </w:r>
    </w:p>
    <w:p w14:paraId="1810A28A">
      <w:pPr>
        <w:pStyle w:val="34"/>
        <w:spacing w:line="360" w:lineRule="auto"/>
        <w:ind w:firstLine="640" w:firstLineChars="200"/>
        <w:jc w:val="both"/>
        <w:rPr>
          <w:rStyle w:val="33"/>
          <w:rFonts w:ascii="仿宋_GB2312" w:hAnsi="等线" w:eastAsia="仿宋_GB2312" w:cs="MS Mincho"/>
          <w:color w:val="333333"/>
          <w:spacing w:val="8"/>
          <w:sz w:val="32"/>
          <w:szCs w:val="32"/>
        </w:rPr>
      </w:pPr>
      <w:r>
        <w:rPr>
          <w:rFonts w:ascii="仿宋_GB2312" w:hAnsi="仿宋_GB2312" w:eastAsia="仿宋_GB2312" w:cs="仿宋_GB2312"/>
          <w:kern w:val="2"/>
          <w:sz w:val="32"/>
          <w:szCs w:val="32"/>
        </w:rPr>
        <w:t>3.</w:t>
      </w:r>
      <w:r>
        <w:rPr>
          <w:rStyle w:val="33"/>
          <w:rFonts w:hint="eastAsia" w:ascii="仿宋_GB2312" w:hAnsi="等线" w:eastAsia="仿宋_GB2312" w:cs="MS Mincho"/>
          <w:color w:val="333333"/>
          <w:spacing w:val="8"/>
          <w:sz w:val="32"/>
          <w:szCs w:val="32"/>
        </w:rPr>
        <w:t>加</w:t>
      </w:r>
      <w:r>
        <w:rPr>
          <w:rStyle w:val="33"/>
          <w:rFonts w:hint="eastAsia" w:ascii="仿宋_GB2312" w:hAnsi="等线" w:eastAsia="仿宋_GB2312" w:cs="PMingLiU"/>
          <w:color w:val="333333"/>
          <w:spacing w:val="8"/>
          <w:sz w:val="32"/>
          <w:szCs w:val="32"/>
        </w:rPr>
        <w:t>强</w:t>
      </w:r>
      <w:r>
        <w:rPr>
          <w:rStyle w:val="33"/>
          <w:rFonts w:hint="eastAsia" w:ascii="仿宋_GB2312" w:hAnsi="等线" w:eastAsia="仿宋_GB2312" w:cs="MS Mincho"/>
          <w:color w:val="333333"/>
          <w:spacing w:val="8"/>
          <w:sz w:val="32"/>
          <w:szCs w:val="32"/>
        </w:rPr>
        <w:t>睡眠管理，确保学生身心健康。根据学生身心发育特点，保障初中学生每天睡眠达到8小时。晚自习不超过</w:t>
      </w:r>
      <w:r>
        <w:rPr>
          <w:rStyle w:val="33"/>
          <w:rFonts w:ascii="仿宋_GB2312" w:hAnsi="等线" w:eastAsia="仿宋_GB2312" w:cs="MS Mincho"/>
          <w:color w:val="333333"/>
          <w:spacing w:val="8"/>
          <w:sz w:val="32"/>
          <w:szCs w:val="32"/>
        </w:rPr>
        <w:t>21</w:t>
      </w:r>
      <w:r>
        <w:rPr>
          <w:rStyle w:val="33"/>
          <w:rFonts w:hint="eastAsia" w:ascii="仿宋_GB2312" w:hAnsi="等线" w:eastAsia="仿宋_GB2312" w:cs="MS Mincho"/>
          <w:color w:val="333333"/>
          <w:spacing w:val="8"/>
          <w:sz w:val="32"/>
          <w:szCs w:val="32"/>
        </w:rPr>
        <w:t>:</w:t>
      </w:r>
      <w:r>
        <w:rPr>
          <w:rStyle w:val="33"/>
          <w:rFonts w:ascii="仿宋_GB2312" w:hAnsi="等线" w:eastAsia="仿宋_GB2312" w:cs="MS Mincho"/>
          <w:color w:val="333333"/>
          <w:spacing w:val="8"/>
          <w:sz w:val="32"/>
          <w:szCs w:val="32"/>
        </w:rPr>
        <w:t>00</w:t>
      </w:r>
      <w:r>
        <w:rPr>
          <w:rStyle w:val="33"/>
          <w:rFonts w:hint="eastAsia" w:ascii="仿宋_GB2312" w:hAnsi="等线" w:eastAsia="仿宋_GB2312" w:cs="MS Mincho"/>
          <w:color w:val="333333"/>
          <w:spacing w:val="8"/>
          <w:sz w:val="32"/>
          <w:szCs w:val="32"/>
        </w:rPr>
        <w:t>点，早课不早于8:</w:t>
      </w:r>
      <w:r>
        <w:rPr>
          <w:rStyle w:val="33"/>
          <w:rFonts w:ascii="仿宋_GB2312" w:hAnsi="等线" w:eastAsia="仿宋_GB2312" w:cs="MS Mincho"/>
          <w:color w:val="333333"/>
          <w:spacing w:val="8"/>
          <w:sz w:val="32"/>
          <w:szCs w:val="32"/>
        </w:rPr>
        <w:t>00</w:t>
      </w:r>
      <w:r>
        <w:rPr>
          <w:rStyle w:val="33"/>
          <w:rFonts w:hint="eastAsia" w:ascii="仿宋_GB2312" w:hAnsi="等线" w:eastAsia="仿宋_GB2312" w:cs="MS Mincho"/>
          <w:color w:val="333333"/>
          <w:spacing w:val="8"/>
          <w:sz w:val="32"/>
          <w:szCs w:val="32"/>
        </w:rPr>
        <w:t>点，午休时间1</w:t>
      </w:r>
      <w:r>
        <w:rPr>
          <w:rStyle w:val="33"/>
          <w:rFonts w:ascii="仿宋_GB2312" w:hAnsi="等线" w:eastAsia="仿宋_GB2312" w:cs="MS Mincho"/>
          <w:color w:val="333333"/>
          <w:spacing w:val="8"/>
          <w:sz w:val="32"/>
          <w:szCs w:val="32"/>
        </w:rPr>
        <w:t>2</w:t>
      </w:r>
      <w:r>
        <w:rPr>
          <w:rStyle w:val="33"/>
          <w:rFonts w:hint="eastAsia" w:ascii="仿宋_GB2312" w:hAnsi="等线" w:eastAsia="仿宋_GB2312" w:cs="MS Mincho"/>
          <w:color w:val="333333"/>
          <w:spacing w:val="8"/>
          <w:sz w:val="32"/>
          <w:szCs w:val="32"/>
        </w:rPr>
        <w:t>:</w:t>
      </w:r>
      <w:r>
        <w:rPr>
          <w:rStyle w:val="33"/>
          <w:rFonts w:ascii="仿宋_GB2312" w:hAnsi="等线" w:eastAsia="仿宋_GB2312" w:cs="MS Mincho"/>
          <w:color w:val="333333"/>
          <w:spacing w:val="8"/>
          <w:sz w:val="32"/>
          <w:szCs w:val="32"/>
        </w:rPr>
        <w:t>40</w:t>
      </w:r>
      <w:r>
        <w:rPr>
          <w:rStyle w:val="33"/>
          <w:rFonts w:hint="eastAsia" w:ascii="仿宋_GB2312" w:hAnsi="等线" w:eastAsia="仿宋_GB2312" w:cs="MS Mincho"/>
          <w:color w:val="333333"/>
          <w:spacing w:val="8"/>
          <w:sz w:val="32"/>
          <w:szCs w:val="32"/>
        </w:rPr>
        <w:t>至1</w:t>
      </w:r>
      <w:r>
        <w:rPr>
          <w:rStyle w:val="33"/>
          <w:rFonts w:ascii="仿宋_GB2312" w:hAnsi="等线" w:eastAsia="仿宋_GB2312" w:cs="MS Mincho"/>
          <w:color w:val="333333"/>
          <w:spacing w:val="8"/>
          <w:sz w:val="32"/>
          <w:szCs w:val="32"/>
        </w:rPr>
        <w:t>4</w:t>
      </w:r>
      <w:r>
        <w:rPr>
          <w:rStyle w:val="33"/>
          <w:rFonts w:hint="eastAsia" w:ascii="仿宋_GB2312" w:hAnsi="等线" w:eastAsia="仿宋_GB2312" w:cs="MS Mincho"/>
          <w:color w:val="333333"/>
          <w:spacing w:val="8"/>
          <w:sz w:val="32"/>
          <w:szCs w:val="32"/>
        </w:rPr>
        <w:t>：1</w:t>
      </w:r>
      <w:r>
        <w:rPr>
          <w:rStyle w:val="33"/>
          <w:rFonts w:ascii="仿宋_GB2312" w:hAnsi="等线" w:eastAsia="仿宋_GB2312" w:cs="MS Mincho"/>
          <w:color w:val="333333"/>
          <w:spacing w:val="8"/>
          <w:sz w:val="32"/>
          <w:szCs w:val="32"/>
        </w:rPr>
        <w:t>0</w:t>
      </w:r>
      <w:r>
        <w:rPr>
          <w:rStyle w:val="33"/>
          <w:rFonts w:hint="eastAsia" w:ascii="仿宋_GB2312" w:hAnsi="等线" w:eastAsia="仿宋_GB2312" w:cs="MS Mincho"/>
          <w:color w:val="333333"/>
          <w:spacing w:val="8"/>
          <w:sz w:val="32"/>
          <w:szCs w:val="32"/>
        </w:rPr>
        <w:t>，共9</w:t>
      </w:r>
      <w:r>
        <w:rPr>
          <w:rStyle w:val="33"/>
          <w:rFonts w:ascii="仿宋_GB2312" w:hAnsi="等线" w:eastAsia="仿宋_GB2312" w:cs="MS Mincho"/>
          <w:color w:val="333333"/>
          <w:spacing w:val="8"/>
          <w:sz w:val="32"/>
          <w:szCs w:val="32"/>
        </w:rPr>
        <w:t>0</w:t>
      </w:r>
      <w:r>
        <w:rPr>
          <w:rStyle w:val="33"/>
          <w:rFonts w:hint="eastAsia" w:ascii="仿宋_GB2312" w:hAnsi="等线" w:eastAsia="仿宋_GB2312" w:cs="MS Mincho"/>
          <w:color w:val="333333"/>
          <w:spacing w:val="8"/>
          <w:sz w:val="32"/>
          <w:szCs w:val="32"/>
        </w:rPr>
        <w:t>分钟。培养学生良好的睡前</w:t>
      </w:r>
      <w:r>
        <w:rPr>
          <w:rStyle w:val="33"/>
          <w:rFonts w:hint="eastAsia" w:ascii="仿宋_GB2312" w:hAnsi="等线" w:eastAsia="仿宋_GB2312" w:cs="PMingLiU"/>
          <w:color w:val="333333"/>
          <w:spacing w:val="8"/>
          <w:sz w:val="32"/>
          <w:szCs w:val="32"/>
        </w:rPr>
        <w:t>习惯</w:t>
      </w:r>
      <w:r>
        <w:rPr>
          <w:rStyle w:val="33"/>
          <w:rFonts w:hint="eastAsia" w:ascii="仿宋_GB2312" w:hAnsi="等线" w:eastAsia="仿宋_GB2312" w:cs="MS Mincho"/>
          <w:color w:val="333333"/>
          <w:spacing w:val="8"/>
          <w:sz w:val="32"/>
          <w:szCs w:val="32"/>
        </w:rPr>
        <w:t>，提供健康的睡眠</w:t>
      </w:r>
      <w:r>
        <w:rPr>
          <w:rStyle w:val="33"/>
          <w:rFonts w:hint="eastAsia" w:ascii="仿宋_GB2312" w:hAnsi="等线" w:eastAsia="仿宋_GB2312" w:cs="PMingLiU"/>
          <w:color w:val="333333"/>
          <w:spacing w:val="8"/>
          <w:sz w:val="32"/>
          <w:szCs w:val="32"/>
        </w:rPr>
        <w:t>环</w:t>
      </w:r>
      <w:r>
        <w:rPr>
          <w:rStyle w:val="33"/>
          <w:rFonts w:hint="eastAsia" w:ascii="仿宋_GB2312" w:hAnsi="等线" w:eastAsia="仿宋_GB2312" w:cs="MS Mincho"/>
          <w:color w:val="333333"/>
          <w:spacing w:val="8"/>
          <w:sz w:val="32"/>
          <w:szCs w:val="32"/>
        </w:rPr>
        <w:t>境，提高孩子的睡眠</w:t>
      </w:r>
      <w:r>
        <w:rPr>
          <w:rStyle w:val="33"/>
          <w:rFonts w:hint="eastAsia" w:ascii="仿宋_GB2312" w:hAnsi="等线" w:eastAsia="仿宋_GB2312" w:cs="PMingLiU"/>
          <w:color w:val="333333"/>
          <w:spacing w:val="8"/>
          <w:sz w:val="32"/>
          <w:szCs w:val="32"/>
        </w:rPr>
        <w:t>质</w:t>
      </w:r>
      <w:r>
        <w:rPr>
          <w:rStyle w:val="33"/>
          <w:rFonts w:hint="eastAsia" w:ascii="仿宋_GB2312" w:hAnsi="等线" w:eastAsia="仿宋_GB2312" w:cs="MS Mincho"/>
          <w:color w:val="333333"/>
          <w:spacing w:val="8"/>
          <w:sz w:val="32"/>
          <w:szCs w:val="32"/>
        </w:rPr>
        <w:t>量，切</w:t>
      </w:r>
      <w:r>
        <w:rPr>
          <w:rStyle w:val="33"/>
          <w:rFonts w:hint="eastAsia" w:ascii="仿宋_GB2312" w:hAnsi="等线" w:eastAsia="仿宋_GB2312" w:cs="PMingLiU"/>
          <w:color w:val="333333"/>
          <w:spacing w:val="8"/>
          <w:sz w:val="32"/>
          <w:szCs w:val="32"/>
        </w:rPr>
        <w:t>实</w:t>
      </w:r>
      <w:r>
        <w:rPr>
          <w:rStyle w:val="33"/>
          <w:rFonts w:hint="eastAsia" w:ascii="仿宋_GB2312" w:hAnsi="等线" w:eastAsia="仿宋_GB2312" w:cs="MS Mincho"/>
          <w:color w:val="333333"/>
          <w:spacing w:val="8"/>
          <w:sz w:val="32"/>
          <w:szCs w:val="32"/>
        </w:rPr>
        <w:t>保障学生身心健康</w:t>
      </w:r>
      <w:r>
        <w:rPr>
          <w:rStyle w:val="33"/>
          <w:rFonts w:hint="eastAsia" w:ascii="仿宋_GB2312" w:hAnsi="等线" w:eastAsia="仿宋_GB2312" w:cs="PMingLiU"/>
          <w:color w:val="333333"/>
          <w:spacing w:val="8"/>
          <w:sz w:val="32"/>
          <w:szCs w:val="32"/>
        </w:rPr>
        <w:t>发</w:t>
      </w:r>
      <w:r>
        <w:rPr>
          <w:rStyle w:val="33"/>
          <w:rFonts w:hint="eastAsia" w:ascii="仿宋_GB2312" w:hAnsi="等线" w:eastAsia="仿宋_GB2312" w:cs="MS Mincho"/>
          <w:color w:val="333333"/>
          <w:spacing w:val="8"/>
          <w:sz w:val="32"/>
          <w:szCs w:val="32"/>
        </w:rPr>
        <w:t>展。</w:t>
      </w:r>
    </w:p>
    <w:p w14:paraId="19F98B53">
      <w:pPr>
        <w:pStyle w:val="34"/>
        <w:spacing w:line="360" w:lineRule="auto"/>
        <w:ind w:firstLine="672" w:firstLineChars="200"/>
        <w:jc w:val="both"/>
        <w:rPr>
          <w:rStyle w:val="33"/>
          <w:rFonts w:ascii="仿宋_GB2312" w:hAnsi="等线" w:eastAsia="仿宋_GB2312" w:cs="MS Mincho"/>
          <w:color w:val="333333"/>
          <w:spacing w:val="8"/>
          <w:sz w:val="32"/>
          <w:szCs w:val="32"/>
        </w:rPr>
      </w:pPr>
      <w:r>
        <w:rPr>
          <w:rStyle w:val="33"/>
          <w:rFonts w:ascii="仿宋_GB2312" w:hAnsi="等线" w:eastAsia="仿宋_GB2312" w:cs="MS Mincho"/>
          <w:color w:val="333333"/>
          <w:spacing w:val="8"/>
          <w:sz w:val="32"/>
          <w:szCs w:val="32"/>
        </w:rPr>
        <w:t>4.</w:t>
      </w:r>
      <w:r>
        <w:rPr>
          <w:rStyle w:val="33"/>
          <w:rFonts w:hint="eastAsia" w:ascii="仿宋_GB2312" w:hAnsi="等线" w:eastAsia="仿宋_GB2312" w:cs="MS Mincho"/>
          <w:color w:val="333333"/>
          <w:spacing w:val="8"/>
          <w:sz w:val="32"/>
          <w:szCs w:val="32"/>
        </w:rPr>
        <w:t>加</w:t>
      </w:r>
      <w:r>
        <w:rPr>
          <w:rStyle w:val="33"/>
          <w:rFonts w:hint="eastAsia" w:ascii="仿宋_GB2312" w:hAnsi="等线" w:eastAsia="仿宋_GB2312" w:cs="PMingLiU"/>
          <w:color w:val="333333"/>
          <w:spacing w:val="8"/>
          <w:sz w:val="32"/>
          <w:szCs w:val="32"/>
        </w:rPr>
        <w:t>强</w:t>
      </w:r>
      <w:r>
        <w:rPr>
          <w:rStyle w:val="33"/>
          <w:rFonts w:hint="eastAsia" w:ascii="仿宋_GB2312" w:hAnsi="等线" w:eastAsia="仿宋_GB2312" w:cs="MS Mincho"/>
          <w:color w:val="333333"/>
          <w:spacing w:val="8"/>
          <w:sz w:val="32"/>
          <w:szCs w:val="32"/>
        </w:rPr>
        <w:t>手机管理，促</w:t>
      </w:r>
      <w:r>
        <w:rPr>
          <w:rStyle w:val="33"/>
          <w:rFonts w:hint="eastAsia" w:ascii="仿宋_GB2312" w:hAnsi="等线" w:eastAsia="仿宋_GB2312" w:cs="PMingLiU"/>
          <w:color w:val="333333"/>
          <w:spacing w:val="8"/>
          <w:sz w:val="32"/>
          <w:szCs w:val="32"/>
        </w:rPr>
        <w:t>进</w:t>
      </w:r>
      <w:r>
        <w:rPr>
          <w:rStyle w:val="33"/>
          <w:rFonts w:hint="eastAsia" w:ascii="仿宋_GB2312" w:hAnsi="等线" w:eastAsia="仿宋_GB2312" w:cs="MS Mincho"/>
          <w:color w:val="333333"/>
          <w:spacing w:val="8"/>
          <w:sz w:val="32"/>
          <w:szCs w:val="32"/>
        </w:rPr>
        <w:t>学生健康</w:t>
      </w:r>
      <w:r>
        <w:rPr>
          <w:rStyle w:val="33"/>
          <w:rFonts w:hint="eastAsia" w:ascii="仿宋_GB2312" w:hAnsi="等线" w:eastAsia="仿宋_GB2312" w:cs="PMingLiU"/>
          <w:color w:val="333333"/>
          <w:spacing w:val="8"/>
          <w:sz w:val="32"/>
          <w:szCs w:val="32"/>
        </w:rPr>
        <w:t>发</w:t>
      </w:r>
      <w:r>
        <w:rPr>
          <w:rStyle w:val="33"/>
          <w:rFonts w:hint="eastAsia" w:ascii="仿宋_GB2312" w:hAnsi="等线" w:eastAsia="仿宋_GB2312" w:cs="MS Mincho"/>
          <w:color w:val="333333"/>
          <w:spacing w:val="8"/>
          <w:sz w:val="32"/>
          <w:szCs w:val="32"/>
        </w:rPr>
        <w:t>展。原</w:t>
      </w:r>
      <w:r>
        <w:rPr>
          <w:rStyle w:val="33"/>
          <w:rFonts w:hint="eastAsia" w:ascii="仿宋_GB2312" w:hAnsi="等线" w:eastAsia="仿宋_GB2312" w:cs="PMingLiU"/>
          <w:color w:val="333333"/>
          <w:spacing w:val="8"/>
          <w:sz w:val="32"/>
          <w:szCs w:val="32"/>
        </w:rPr>
        <w:t>则</w:t>
      </w:r>
      <w:r>
        <w:rPr>
          <w:rStyle w:val="33"/>
          <w:rFonts w:hint="eastAsia" w:ascii="仿宋_GB2312" w:hAnsi="等线" w:eastAsia="仿宋_GB2312" w:cs="MS Mincho"/>
          <w:color w:val="333333"/>
          <w:spacing w:val="8"/>
          <w:sz w:val="32"/>
          <w:szCs w:val="32"/>
        </w:rPr>
        <w:t>上，学生不得将手机</w:t>
      </w:r>
      <w:r>
        <w:rPr>
          <w:rStyle w:val="33"/>
          <w:rFonts w:hint="eastAsia" w:ascii="仿宋_GB2312" w:hAnsi="等线" w:eastAsia="仿宋_GB2312" w:cs="PMingLiU"/>
          <w:color w:val="333333"/>
          <w:spacing w:val="8"/>
          <w:sz w:val="32"/>
          <w:szCs w:val="32"/>
        </w:rPr>
        <w:t>带</w:t>
      </w:r>
      <w:r>
        <w:rPr>
          <w:rStyle w:val="33"/>
          <w:rFonts w:hint="eastAsia" w:ascii="仿宋_GB2312" w:hAnsi="等线" w:eastAsia="仿宋_GB2312" w:cs="MS Mincho"/>
          <w:color w:val="333333"/>
          <w:spacing w:val="8"/>
          <w:sz w:val="32"/>
          <w:szCs w:val="32"/>
        </w:rPr>
        <w:t>入校园，确有将手机</w:t>
      </w:r>
      <w:r>
        <w:rPr>
          <w:rStyle w:val="33"/>
          <w:rFonts w:hint="eastAsia" w:ascii="仿宋_GB2312" w:hAnsi="等线" w:eastAsia="仿宋_GB2312" w:cs="PMingLiU"/>
          <w:color w:val="333333"/>
          <w:spacing w:val="8"/>
          <w:sz w:val="32"/>
          <w:szCs w:val="32"/>
        </w:rPr>
        <w:t>带</w:t>
      </w:r>
      <w:r>
        <w:rPr>
          <w:rStyle w:val="33"/>
          <w:rFonts w:hint="eastAsia" w:ascii="仿宋_GB2312" w:hAnsi="等线" w:eastAsia="仿宋_GB2312" w:cs="MS Mincho"/>
          <w:color w:val="333333"/>
          <w:spacing w:val="8"/>
          <w:sz w:val="32"/>
          <w:szCs w:val="32"/>
        </w:rPr>
        <w:t>入校园需求的，</w:t>
      </w:r>
      <w:r>
        <w:rPr>
          <w:rStyle w:val="33"/>
          <w:rFonts w:hint="eastAsia" w:ascii="仿宋_GB2312" w:hAnsi="等线" w:eastAsia="仿宋_GB2312" w:cs="PMingLiU"/>
          <w:color w:val="333333"/>
          <w:spacing w:val="8"/>
          <w:sz w:val="32"/>
          <w:szCs w:val="32"/>
        </w:rPr>
        <w:t>须经</w:t>
      </w:r>
      <w:r>
        <w:rPr>
          <w:rStyle w:val="33"/>
          <w:rFonts w:hint="eastAsia" w:ascii="仿宋_GB2312" w:hAnsi="等线" w:eastAsia="仿宋_GB2312" w:cs="MS Mincho"/>
          <w:color w:val="333333"/>
          <w:spacing w:val="8"/>
          <w:sz w:val="32"/>
          <w:szCs w:val="32"/>
        </w:rPr>
        <w:t>学生家</w:t>
      </w:r>
      <w:r>
        <w:rPr>
          <w:rStyle w:val="33"/>
          <w:rFonts w:hint="eastAsia" w:ascii="仿宋_GB2312" w:hAnsi="等线" w:eastAsia="仿宋_GB2312" w:cs="PMingLiU"/>
          <w:color w:val="333333"/>
          <w:spacing w:val="8"/>
          <w:sz w:val="32"/>
          <w:szCs w:val="32"/>
        </w:rPr>
        <w:t>长</w:t>
      </w:r>
      <w:r>
        <w:rPr>
          <w:rStyle w:val="33"/>
          <w:rFonts w:hint="eastAsia" w:ascii="仿宋_GB2312" w:hAnsi="等线" w:eastAsia="仿宋_GB2312" w:cs="MS Mincho"/>
          <w:color w:val="333333"/>
          <w:spacing w:val="8"/>
          <w:sz w:val="32"/>
          <w:szCs w:val="32"/>
        </w:rPr>
        <w:t>同意、</w:t>
      </w:r>
      <w:r>
        <w:rPr>
          <w:rStyle w:val="33"/>
          <w:rFonts w:hint="eastAsia" w:ascii="仿宋_GB2312" w:hAnsi="等线" w:eastAsia="仿宋_GB2312" w:cs="PMingLiU"/>
          <w:color w:val="333333"/>
          <w:spacing w:val="8"/>
          <w:sz w:val="32"/>
          <w:szCs w:val="32"/>
        </w:rPr>
        <w:t>书</w:t>
      </w:r>
      <w:r>
        <w:rPr>
          <w:rStyle w:val="33"/>
          <w:rFonts w:hint="eastAsia" w:ascii="仿宋_GB2312" w:hAnsi="等线" w:eastAsia="仿宋_GB2312" w:cs="MS Mincho"/>
          <w:color w:val="333333"/>
          <w:spacing w:val="8"/>
          <w:sz w:val="32"/>
          <w:szCs w:val="32"/>
        </w:rPr>
        <w:t>面提出申</w:t>
      </w:r>
      <w:r>
        <w:rPr>
          <w:rStyle w:val="33"/>
          <w:rFonts w:hint="eastAsia" w:ascii="仿宋_GB2312" w:hAnsi="等线" w:eastAsia="仿宋_GB2312" w:cs="PMingLiU"/>
          <w:color w:val="333333"/>
          <w:spacing w:val="8"/>
          <w:sz w:val="32"/>
          <w:szCs w:val="32"/>
        </w:rPr>
        <w:t>请</w:t>
      </w:r>
      <w:r>
        <w:rPr>
          <w:rStyle w:val="33"/>
          <w:rFonts w:hint="eastAsia" w:ascii="仿宋_GB2312" w:hAnsi="等线" w:eastAsia="仿宋_GB2312" w:cs="MS Mincho"/>
          <w:color w:val="333333"/>
          <w:spacing w:val="8"/>
          <w:sz w:val="32"/>
          <w:szCs w:val="32"/>
        </w:rPr>
        <w:t>，</w:t>
      </w:r>
      <w:r>
        <w:rPr>
          <w:rStyle w:val="33"/>
          <w:rFonts w:hint="eastAsia" w:ascii="仿宋_GB2312" w:hAnsi="等线" w:eastAsia="仿宋_GB2312" w:cs="PMingLiU"/>
          <w:color w:val="333333"/>
          <w:spacing w:val="8"/>
          <w:sz w:val="32"/>
          <w:szCs w:val="32"/>
        </w:rPr>
        <w:t>进</w:t>
      </w:r>
      <w:r>
        <w:rPr>
          <w:rStyle w:val="33"/>
          <w:rFonts w:hint="eastAsia" w:ascii="仿宋_GB2312" w:hAnsi="等线" w:eastAsia="仿宋_GB2312" w:cs="MS Mincho"/>
          <w:color w:val="333333"/>
          <w:spacing w:val="8"/>
          <w:sz w:val="32"/>
          <w:szCs w:val="32"/>
        </w:rPr>
        <w:t>校后</w:t>
      </w:r>
      <w:r>
        <w:rPr>
          <w:rStyle w:val="33"/>
          <w:rFonts w:hint="eastAsia" w:ascii="仿宋_GB2312" w:hAnsi="等线" w:eastAsia="仿宋_GB2312" w:cs="PMingLiU"/>
          <w:color w:val="333333"/>
          <w:spacing w:val="8"/>
          <w:sz w:val="32"/>
          <w:szCs w:val="32"/>
        </w:rPr>
        <w:t>应</w:t>
      </w:r>
      <w:r>
        <w:rPr>
          <w:rStyle w:val="33"/>
          <w:rFonts w:hint="eastAsia" w:ascii="仿宋_GB2312" w:hAnsi="等线" w:eastAsia="仿宋_GB2312" w:cs="MS Mincho"/>
          <w:color w:val="333333"/>
          <w:spacing w:val="8"/>
          <w:sz w:val="32"/>
          <w:szCs w:val="32"/>
        </w:rPr>
        <w:t>将手机交由学校</w:t>
      </w:r>
      <w:r>
        <w:rPr>
          <w:rStyle w:val="33"/>
          <w:rFonts w:hint="eastAsia" w:ascii="仿宋_GB2312" w:hAnsi="等线" w:eastAsia="仿宋_GB2312" w:cs="PMingLiU"/>
          <w:color w:val="333333"/>
          <w:spacing w:val="8"/>
          <w:sz w:val="32"/>
          <w:szCs w:val="32"/>
        </w:rPr>
        <w:t>统</w:t>
      </w:r>
      <w:r>
        <w:rPr>
          <w:rStyle w:val="33"/>
          <w:rFonts w:hint="eastAsia" w:ascii="仿宋_GB2312" w:hAnsi="等线" w:eastAsia="仿宋_GB2312" w:cs="MS Mincho"/>
          <w:color w:val="333333"/>
          <w:spacing w:val="8"/>
          <w:sz w:val="32"/>
          <w:szCs w:val="32"/>
        </w:rPr>
        <w:t>一保管，禁止</w:t>
      </w:r>
      <w:r>
        <w:rPr>
          <w:rStyle w:val="33"/>
          <w:rFonts w:hint="eastAsia" w:ascii="仿宋_GB2312" w:hAnsi="等线" w:eastAsia="仿宋_GB2312" w:cs="PMingLiU"/>
          <w:color w:val="333333"/>
          <w:spacing w:val="8"/>
          <w:sz w:val="32"/>
          <w:szCs w:val="32"/>
        </w:rPr>
        <w:t>带</w:t>
      </w:r>
      <w:r>
        <w:rPr>
          <w:rStyle w:val="33"/>
          <w:rFonts w:hint="eastAsia" w:ascii="仿宋_GB2312" w:hAnsi="等线" w:eastAsia="仿宋_GB2312" w:cs="MS Mincho"/>
          <w:color w:val="333333"/>
          <w:spacing w:val="8"/>
          <w:sz w:val="32"/>
          <w:szCs w:val="32"/>
        </w:rPr>
        <w:t>入</w:t>
      </w:r>
      <w:r>
        <w:rPr>
          <w:rStyle w:val="33"/>
          <w:rFonts w:hint="eastAsia" w:ascii="仿宋_GB2312" w:hAnsi="等线" w:eastAsia="仿宋_GB2312" w:cs="PMingLiU"/>
          <w:color w:val="333333"/>
          <w:spacing w:val="8"/>
          <w:sz w:val="32"/>
          <w:szCs w:val="32"/>
        </w:rPr>
        <w:t>课</w:t>
      </w:r>
      <w:r>
        <w:rPr>
          <w:rStyle w:val="33"/>
          <w:rFonts w:hint="eastAsia" w:ascii="仿宋_GB2312" w:hAnsi="等线" w:eastAsia="仿宋_GB2312" w:cs="MS Mincho"/>
          <w:color w:val="333333"/>
          <w:spacing w:val="8"/>
          <w:sz w:val="32"/>
          <w:szCs w:val="32"/>
        </w:rPr>
        <w:t>堂；学校</w:t>
      </w:r>
      <w:r>
        <w:rPr>
          <w:rStyle w:val="33"/>
          <w:rFonts w:hint="eastAsia" w:ascii="仿宋_GB2312" w:hAnsi="等线" w:eastAsia="仿宋_GB2312" w:cs="PMingLiU"/>
          <w:color w:val="333333"/>
          <w:spacing w:val="8"/>
          <w:sz w:val="32"/>
          <w:szCs w:val="32"/>
        </w:rPr>
        <w:t>设</w:t>
      </w:r>
      <w:r>
        <w:rPr>
          <w:rStyle w:val="33"/>
          <w:rFonts w:hint="eastAsia" w:ascii="仿宋_GB2312" w:hAnsi="等线" w:eastAsia="仿宋_GB2312" w:cs="MS Mincho"/>
          <w:color w:val="333333"/>
          <w:spacing w:val="8"/>
          <w:sz w:val="32"/>
          <w:szCs w:val="32"/>
        </w:rPr>
        <w:t>立校内公共</w:t>
      </w:r>
      <w:r>
        <w:rPr>
          <w:rStyle w:val="33"/>
          <w:rFonts w:hint="eastAsia" w:ascii="仿宋_GB2312" w:hAnsi="等线" w:eastAsia="仿宋_GB2312" w:cs="PMingLiU"/>
          <w:color w:val="333333"/>
          <w:spacing w:val="8"/>
          <w:sz w:val="32"/>
          <w:szCs w:val="32"/>
        </w:rPr>
        <w:t>电话</w:t>
      </w:r>
      <w:r>
        <w:rPr>
          <w:rStyle w:val="33"/>
          <w:rFonts w:hint="eastAsia" w:ascii="仿宋_GB2312" w:hAnsi="等线" w:eastAsia="仿宋_GB2312" w:cs="MS Mincho"/>
          <w:color w:val="333333"/>
          <w:spacing w:val="8"/>
          <w:sz w:val="32"/>
          <w:szCs w:val="32"/>
        </w:rPr>
        <w:t>、建立班主任沟通</w:t>
      </w:r>
      <w:r>
        <w:rPr>
          <w:rStyle w:val="33"/>
          <w:rFonts w:hint="eastAsia" w:ascii="仿宋_GB2312" w:hAnsi="等线" w:eastAsia="仿宋_GB2312" w:cs="PMingLiU"/>
          <w:color w:val="333333"/>
          <w:spacing w:val="8"/>
          <w:sz w:val="32"/>
          <w:szCs w:val="32"/>
        </w:rPr>
        <w:t>热线</w:t>
      </w:r>
      <w:r>
        <w:rPr>
          <w:rStyle w:val="33"/>
          <w:rFonts w:hint="eastAsia" w:ascii="仿宋_GB2312" w:hAnsi="等线" w:eastAsia="仿宋_GB2312" w:cs="MS Mincho"/>
          <w:color w:val="333333"/>
          <w:spacing w:val="8"/>
          <w:sz w:val="32"/>
          <w:szCs w:val="32"/>
        </w:rPr>
        <w:t>、解决学生与家</w:t>
      </w:r>
      <w:r>
        <w:rPr>
          <w:rStyle w:val="33"/>
          <w:rFonts w:hint="eastAsia" w:ascii="仿宋_GB2312" w:hAnsi="等线" w:eastAsia="仿宋_GB2312" w:cs="PMingLiU"/>
          <w:color w:val="333333"/>
          <w:spacing w:val="8"/>
          <w:sz w:val="32"/>
          <w:szCs w:val="32"/>
        </w:rPr>
        <w:t>长</w:t>
      </w:r>
      <w:r>
        <w:rPr>
          <w:rStyle w:val="33"/>
          <w:rFonts w:hint="eastAsia" w:ascii="仿宋_GB2312" w:hAnsi="等线" w:eastAsia="仿宋_GB2312" w:cs="MS Mincho"/>
          <w:color w:val="333333"/>
          <w:spacing w:val="8"/>
          <w:sz w:val="32"/>
          <w:szCs w:val="32"/>
        </w:rPr>
        <w:t>通</w:t>
      </w:r>
      <w:r>
        <w:rPr>
          <w:rStyle w:val="33"/>
          <w:rFonts w:hint="eastAsia" w:ascii="仿宋_GB2312" w:hAnsi="等线" w:eastAsia="仿宋_GB2312" w:cs="PMingLiU"/>
          <w:color w:val="333333"/>
          <w:spacing w:val="8"/>
          <w:sz w:val="32"/>
          <w:szCs w:val="32"/>
        </w:rPr>
        <w:t>话</w:t>
      </w:r>
      <w:r>
        <w:rPr>
          <w:rStyle w:val="33"/>
          <w:rFonts w:hint="eastAsia" w:ascii="仿宋_GB2312" w:hAnsi="等线" w:eastAsia="仿宋_GB2312" w:cs="MS Mincho"/>
          <w:color w:val="333333"/>
          <w:spacing w:val="8"/>
          <w:sz w:val="32"/>
          <w:szCs w:val="32"/>
        </w:rPr>
        <w:t>需求；</w:t>
      </w:r>
      <w:r>
        <w:rPr>
          <w:rStyle w:val="33"/>
          <w:rFonts w:hint="eastAsia" w:ascii="仿宋_GB2312" w:hAnsi="等线" w:eastAsia="仿宋_GB2312" w:cs="Calibri"/>
          <w:color w:val="333333"/>
          <w:spacing w:val="8"/>
          <w:sz w:val="32"/>
          <w:szCs w:val="32"/>
        </w:rPr>
        <w:t>要求</w:t>
      </w:r>
      <w:r>
        <w:rPr>
          <w:rStyle w:val="33"/>
          <w:rFonts w:hint="eastAsia" w:ascii="仿宋_GB2312" w:hAnsi="等线" w:eastAsia="仿宋_GB2312" w:cs="MS Mincho"/>
          <w:color w:val="333333"/>
          <w:spacing w:val="8"/>
          <w:sz w:val="32"/>
          <w:szCs w:val="32"/>
        </w:rPr>
        <w:t>家</w:t>
      </w:r>
      <w:r>
        <w:rPr>
          <w:rStyle w:val="33"/>
          <w:rFonts w:hint="eastAsia" w:ascii="仿宋_GB2312" w:hAnsi="等线" w:eastAsia="仿宋_GB2312" w:cs="PMingLiU"/>
          <w:color w:val="333333"/>
          <w:spacing w:val="8"/>
          <w:sz w:val="32"/>
          <w:szCs w:val="32"/>
        </w:rPr>
        <w:t>长</w:t>
      </w:r>
      <w:r>
        <w:rPr>
          <w:rStyle w:val="33"/>
          <w:rFonts w:hint="eastAsia" w:ascii="仿宋_GB2312" w:hAnsi="等线" w:eastAsia="仿宋_GB2312" w:cs="MS Mincho"/>
          <w:color w:val="333333"/>
          <w:spacing w:val="8"/>
          <w:sz w:val="32"/>
          <w:szCs w:val="32"/>
        </w:rPr>
        <w:t>履行教育</w:t>
      </w:r>
      <w:r>
        <w:rPr>
          <w:rStyle w:val="33"/>
          <w:rFonts w:hint="eastAsia" w:ascii="仿宋_GB2312" w:hAnsi="等线" w:eastAsia="仿宋_GB2312" w:cs="PMingLiU"/>
          <w:color w:val="333333"/>
          <w:spacing w:val="8"/>
          <w:sz w:val="32"/>
          <w:szCs w:val="32"/>
        </w:rPr>
        <w:t>职责</w:t>
      </w:r>
      <w:r>
        <w:rPr>
          <w:rStyle w:val="33"/>
          <w:rFonts w:hint="eastAsia" w:ascii="仿宋_GB2312" w:hAnsi="等线" w:eastAsia="仿宋_GB2312" w:cs="MS Mincho"/>
          <w:color w:val="333333"/>
          <w:spacing w:val="8"/>
          <w:sz w:val="32"/>
          <w:szCs w:val="32"/>
        </w:rPr>
        <w:t>，加</w:t>
      </w:r>
      <w:r>
        <w:rPr>
          <w:rStyle w:val="33"/>
          <w:rFonts w:hint="eastAsia" w:ascii="仿宋_GB2312" w:hAnsi="等线" w:eastAsia="仿宋_GB2312" w:cs="PMingLiU"/>
          <w:color w:val="333333"/>
          <w:spacing w:val="8"/>
          <w:sz w:val="32"/>
          <w:szCs w:val="32"/>
        </w:rPr>
        <w:t>强对</w:t>
      </w:r>
      <w:r>
        <w:rPr>
          <w:rStyle w:val="33"/>
          <w:rFonts w:hint="eastAsia" w:ascii="仿宋_GB2312" w:hAnsi="等线" w:eastAsia="仿宋_GB2312" w:cs="MS Mincho"/>
          <w:color w:val="333333"/>
          <w:spacing w:val="8"/>
          <w:sz w:val="32"/>
          <w:szCs w:val="32"/>
        </w:rPr>
        <w:t>孩子使用手机的督促管理，形成家校</w:t>
      </w:r>
      <w:r>
        <w:rPr>
          <w:rStyle w:val="33"/>
          <w:rFonts w:hint="eastAsia" w:ascii="仿宋_GB2312" w:hAnsi="等线" w:eastAsia="仿宋_GB2312" w:cs="PMingLiU"/>
          <w:color w:val="333333"/>
          <w:spacing w:val="8"/>
          <w:sz w:val="32"/>
          <w:szCs w:val="32"/>
        </w:rPr>
        <w:t>协</w:t>
      </w:r>
      <w:r>
        <w:rPr>
          <w:rStyle w:val="33"/>
          <w:rFonts w:hint="eastAsia" w:ascii="仿宋_GB2312" w:hAnsi="等线" w:eastAsia="仿宋_GB2312" w:cs="MS Mincho"/>
          <w:color w:val="333333"/>
          <w:spacing w:val="8"/>
          <w:sz w:val="32"/>
          <w:szCs w:val="32"/>
        </w:rPr>
        <w:t>同育人合力。</w:t>
      </w:r>
    </w:p>
    <w:p w14:paraId="016DBE05">
      <w:pPr>
        <w:pStyle w:val="34"/>
        <w:spacing w:line="360" w:lineRule="auto"/>
        <w:ind w:firstLine="672" w:firstLineChars="200"/>
        <w:jc w:val="both"/>
        <w:rPr>
          <w:rStyle w:val="33"/>
          <w:rFonts w:ascii="仿宋_GB2312" w:hAnsi="等线" w:eastAsia="仿宋_GB2312" w:cs="MS Mincho"/>
          <w:color w:val="333333"/>
          <w:spacing w:val="8"/>
          <w:sz w:val="32"/>
          <w:szCs w:val="32"/>
        </w:rPr>
      </w:pPr>
      <w:r>
        <w:rPr>
          <w:rStyle w:val="33"/>
          <w:rFonts w:hint="eastAsia" w:ascii="仿宋_GB2312" w:hAnsi="等线" w:eastAsia="仿宋_GB2312" w:cs="MS Mincho"/>
          <w:color w:val="333333"/>
          <w:spacing w:val="8"/>
          <w:sz w:val="32"/>
          <w:szCs w:val="32"/>
        </w:rPr>
        <w:t>5</w:t>
      </w:r>
      <w:r>
        <w:rPr>
          <w:rStyle w:val="33"/>
          <w:rFonts w:ascii="仿宋_GB2312" w:hAnsi="等线" w:eastAsia="仿宋_GB2312" w:cs="MS Mincho"/>
          <w:color w:val="333333"/>
          <w:spacing w:val="8"/>
          <w:sz w:val="32"/>
          <w:szCs w:val="32"/>
        </w:rPr>
        <w:t>.</w:t>
      </w:r>
      <w:r>
        <w:rPr>
          <w:rStyle w:val="33"/>
          <w:rFonts w:hint="eastAsia" w:ascii="仿宋_GB2312" w:hAnsi="等线" w:eastAsia="仿宋_GB2312" w:cs="MS Mincho"/>
          <w:color w:val="333333"/>
          <w:spacing w:val="8"/>
          <w:sz w:val="32"/>
          <w:szCs w:val="32"/>
        </w:rPr>
        <w:t>加</w:t>
      </w:r>
      <w:r>
        <w:rPr>
          <w:rStyle w:val="33"/>
          <w:rFonts w:hint="eastAsia" w:ascii="仿宋_GB2312" w:hAnsi="等线" w:eastAsia="仿宋_GB2312" w:cs="PMingLiU"/>
          <w:color w:val="333333"/>
          <w:spacing w:val="8"/>
          <w:sz w:val="32"/>
          <w:szCs w:val="32"/>
        </w:rPr>
        <w:t>强读</w:t>
      </w:r>
      <w:r>
        <w:rPr>
          <w:rStyle w:val="33"/>
          <w:rFonts w:hint="eastAsia" w:ascii="仿宋_GB2312" w:hAnsi="等线" w:eastAsia="仿宋_GB2312" w:cs="MS Mincho"/>
          <w:color w:val="333333"/>
          <w:spacing w:val="8"/>
          <w:sz w:val="32"/>
          <w:szCs w:val="32"/>
        </w:rPr>
        <w:t>物管理，健全学生人格。规范各类进校园活动，禁止任何单位和个人在校园内销售课外读物。同时</w:t>
      </w:r>
      <w:r>
        <w:rPr>
          <w:rStyle w:val="33"/>
          <w:rFonts w:hint="eastAsia" w:ascii="仿宋_GB2312" w:hAnsi="等线" w:eastAsia="仿宋_GB2312" w:cs="PMingLiU"/>
          <w:color w:val="333333"/>
          <w:spacing w:val="8"/>
          <w:sz w:val="32"/>
          <w:szCs w:val="32"/>
        </w:rPr>
        <w:t>请</w:t>
      </w:r>
      <w:r>
        <w:rPr>
          <w:rStyle w:val="33"/>
          <w:rFonts w:hint="eastAsia" w:ascii="仿宋_GB2312" w:hAnsi="等线" w:eastAsia="仿宋_GB2312" w:cs="MS Mincho"/>
          <w:color w:val="333333"/>
          <w:spacing w:val="8"/>
          <w:sz w:val="32"/>
          <w:szCs w:val="32"/>
        </w:rPr>
        <w:t>家</w:t>
      </w:r>
      <w:r>
        <w:rPr>
          <w:rStyle w:val="33"/>
          <w:rFonts w:hint="eastAsia" w:ascii="仿宋_GB2312" w:hAnsi="等线" w:eastAsia="仿宋_GB2312" w:cs="PMingLiU"/>
          <w:color w:val="333333"/>
          <w:spacing w:val="8"/>
          <w:sz w:val="32"/>
          <w:szCs w:val="32"/>
        </w:rPr>
        <w:t>长</w:t>
      </w:r>
      <w:r>
        <w:rPr>
          <w:rStyle w:val="33"/>
          <w:rFonts w:hint="eastAsia" w:ascii="仿宋_GB2312" w:hAnsi="等线" w:eastAsia="仿宋_GB2312" w:cs="MS Mincho"/>
          <w:color w:val="333333"/>
          <w:spacing w:val="8"/>
          <w:sz w:val="32"/>
          <w:szCs w:val="32"/>
        </w:rPr>
        <w:t>朋友鼓励学生</w:t>
      </w:r>
      <w:r>
        <w:rPr>
          <w:rStyle w:val="33"/>
          <w:rFonts w:hint="eastAsia" w:ascii="仿宋_GB2312" w:hAnsi="等线" w:eastAsia="仿宋_GB2312" w:cs="PMingLiU"/>
          <w:color w:val="333333"/>
          <w:spacing w:val="8"/>
          <w:sz w:val="32"/>
          <w:szCs w:val="32"/>
        </w:rPr>
        <w:t>认</w:t>
      </w:r>
      <w:r>
        <w:rPr>
          <w:rStyle w:val="33"/>
          <w:rFonts w:hint="eastAsia" w:ascii="仿宋_GB2312" w:hAnsi="等线" w:eastAsia="仿宋_GB2312" w:cs="MS Mincho"/>
          <w:color w:val="333333"/>
          <w:spacing w:val="8"/>
          <w:sz w:val="32"/>
          <w:szCs w:val="32"/>
        </w:rPr>
        <w:t>真</w:t>
      </w:r>
      <w:r>
        <w:rPr>
          <w:rStyle w:val="33"/>
          <w:rFonts w:hint="eastAsia" w:ascii="仿宋_GB2312" w:hAnsi="等线" w:eastAsia="仿宋_GB2312" w:cs="PMingLiU"/>
          <w:color w:val="333333"/>
          <w:spacing w:val="8"/>
          <w:sz w:val="32"/>
          <w:szCs w:val="32"/>
        </w:rPr>
        <w:t>阅读</w:t>
      </w:r>
      <w:r>
        <w:rPr>
          <w:rStyle w:val="33"/>
          <w:rFonts w:hint="eastAsia" w:ascii="仿宋_GB2312" w:hAnsi="等线" w:eastAsia="仿宋_GB2312" w:cs="MS Mincho"/>
          <w:color w:val="333333"/>
          <w:spacing w:val="8"/>
          <w:sz w:val="32"/>
          <w:szCs w:val="32"/>
        </w:rPr>
        <w:t>有益于学生身心健康成</w:t>
      </w:r>
      <w:r>
        <w:rPr>
          <w:rStyle w:val="33"/>
          <w:rFonts w:hint="eastAsia" w:ascii="仿宋_GB2312" w:hAnsi="等线" w:eastAsia="仿宋_GB2312" w:cs="PMingLiU"/>
          <w:color w:val="333333"/>
          <w:spacing w:val="8"/>
          <w:sz w:val="32"/>
          <w:szCs w:val="32"/>
        </w:rPr>
        <w:t>长</w:t>
      </w:r>
      <w:r>
        <w:rPr>
          <w:rStyle w:val="33"/>
          <w:rFonts w:hint="eastAsia" w:ascii="仿宋_GB2312" w:hAnsi="等线" w:eastAsia="仿宋_GB2312" w:cs="MS Mincho"/>
          <w:color w:val="333333"/>
          <w:spacing w:val="8"/>
          <w:sz w:val="32"/>
          <w:szCs w:val="32"/>
        </w:rPr>
        <w:t>的</w:t>
      </w:r>
      <w:r>
        <w:rPr>
          <w:rStyle w:val="33"/>
          <w:rFonts w:hint="eastAsia" w:ascii="仿宋_GB2312" w:hAnsi="等线" w:eastAsia="仿宋_GB2312" w:cs="PMingLiU"/>
          <w:color w:val="333333"/>
          <w:spacing w:val="8"/>
          <w:sz w:val="32"/>
          <w:szCs w:val="32"/>
        </w:rPr>
        <w:t>书</w:t>
      </w:r>
      <w:r>
        <w:rPr>
          <w:rStyle w:val="33"/>
          <w:rFonts w:hint="eastAsia" w:ascii="仿宋_GB2312" w:hAnsi="等线" w:eastAsia="仿宋_GB2312" w:cs="MS Mincho"/>
          <w:color w:val="333333"/>
          <w:spacing w:val="8"/>
          <w:sz w:val="32"/>
          <w:szCs w:val="32"/>
        </w:rPr>
        <w:t>籍，丰富学生</w:t>
      </w:r>
      <w:r>
        <w:rPr>
          <w:rStyle w:val="33"/>
          <w:rFonts w:hint="eastAsia" w:ascii="仿宋_GB2312" w:hAnsi="等线" w:eastAsia="仿宋_GB2312" w:cs="PMingLiU"/>
          <w:color w:val="333333"/>
          <w:spacing w:val="8"/>
          <w:sz w:val="32"/>
          <w:szCs w:val="32"/>
        </w:rPr>
        <w:t>阅读</w:t>
      </w:r>
      <w:r>
        <w:rPr>
          <w:rStyle w:val="33"/>
          <w:rFonts w:hint="eastAsia" w:ascii="仿宋_GB2312" w:hAnsi="等线" w:eastAsia="仿宋_GB2312" w:cs="MS Mincho"/>
          <w:color w:val="333333"/>
          <w:spacing w:val="8"/>
          <w:sz w:val="32"/>
          <w:szCs w:val="32"/>
        </w:rPr>
        <w:t>内容，拓展</w:t>
      </w:r>
      <w:r>
        <w:rPr>
          <w:rStyle w:val="33"/>
          <w:rFonts w:hint="eastAsia" w:ascii="仿宋_GB2312" w:hAnsi="等线" w:eastAsia="仿宋_GB2312" w:cs="PMingLiU"/>
          <w:color w:val="333333"/>
          <w:spacing w:val="8"/>
          <w:sz w:val="32"/>
          <w:szCs w:val="32"/>
        </w:rPr>
        <w:t>阅读</w:t>
      </w:r>
      <w:r>
        <w:rPr>
          <w:rStyle w:val="33"/>
          <w:rFonts w:hint="eastAsia" w:ascii="仿宋_GB2312" w:hAnsi="等线" w:eastAsia="仿宋_GB2312" w:cs="MS Mincho"/>
          <w:color w:val="333333"/>
          <w:spacing w:val="8"/>
          <w:sz w:val="32"/>
          <w:szCs w:val="32"/>
        </w:rPr>
        <w:t>活</w:t>
      </w:r>
      <w:r>
        <w:rPr>
          <w:rStyle w:val="33"/>
          <w:rFonts w:hint="eastAsia" w:ascii="仿宋_GB2312" w:hAnsi="等线" w:eastAsia="仿宋_GB2312" w:cs="PMingLiU"/>
          <w:color w:val="333333"/>
          <w:spacing w:val="8"/>
          <w:sz w:val="32"/>
          <w:szCs w:val="32"/>
        </w:rPr>
        <w:t>动</w:t>
      </w:r>
      <w:r>
        <w:rPr>
          <w:rStyle w:val="33"/>
          <w:rFonts w:hint="eastAsia" w:ascii="仿宋_GB2312" w:hAnsi="等线" w:eastAsia="仿宋_GB2312" w:cs="MS Mincho"/>
          <w:color w:val="333333"/>
          <w:spacing w:val="8"/>
          <w:sz w:val="32"/>
          <w:szCs w:val="32"/>
        </w:rPr>
        <w:t>，</w:t>
      </w:r>
      <w:r>
        <w:rPr>
          <w:rStyle w:val="33"/>
          <w:rFonts w:hint="eastAsia" w:ascii="仿宋_GB2312" w:hAnsi="等线" w:eastAsia="仿宋_GB2312" w:cs="PMingLiU"/>
          <w:color w:val="333333"/>
          <w:spacing w:val="8"/>
          <w:sz w:val="32"/>
          <w:szCs w:val="32"/>
        </w:rPr>
        <w:t>让</w:t>
      </w:r>
      <w:r>
        <w:rPr>
          <w:rStyle w:val="33"/>
          <w:rFonts w:hint="eastAsia" w:ascii="仿宋_GB2312" w:hAnsi="等线" w:eastAsia="仿宋_GB2312" w:cs="MS Mincho"/>
          <w:color w:val="333333"/>
          <w:spacing w:val="8"/>
          <w:sz w:val="32"/>
          <w:szCs w:val="32"/>
        </w:rPr>
        <w:t>学生从喜</w:t>
      </w:r>
      <w:r>
        <w:rPr>
          <w:rStyle w:val="33"/>
          <w:rFonts w:hint="eastAsia" w:ascii="仿宋_GB2312" w:hAnsi="等线" w:eastAsia="仿宋_GB2312" w:cs="PMingLiU"/>
          <w:color w:val="333333"/>
          <w:spacing w:val="8"/>
          <w:sz w:val="32"/>
          <w:szCs w:val="32"/>
        </w:rPr>
        <w:t>爱</w:t>
      </w:r>
      <w:r>
        <w:rPr>
          <w:rStyle w:val="33"/>
          <w:rFonts w:hint="eastAsia" w:ascii="仿宋_GB2312" w:hAnsi="等线" w:eastAsia="仿宋_GB2312" w:cs="MS Mincho"/>
          <w:color w:val="333333"/>
          <w:spacing w:val="8"/>
          <w:sz w:val="32"/>
          <w:szCs w:val="32"/>
        </w:rPr>
        <w:t>看</w:t>
      </w:r>
      <w:r>
        <w:rPr>
          <w:rStyle w:val="33"/>
          <w:rFonts w:hint="eastAsia" w:ascii="仿宋_GB2312" w:hAnsi="等线" w:eastAsia="仿宋_GB2312" w:cs="PMingLiU"/>
          <w:color w:val="333333"/>
          <w:spacing w:val="8"/>
          <w:sz w:val="32"/>
          <w:szCs w:val="32"/>
        </w:rPr>
        <w:t>书</w:t>
      </w:r>
      <w:r>
        <w:rPr>
          <w:rStyle w:val="33"/>
          <w:rFonts w:hint="eastAsia" w:ascii="仿宋_GB2312" w:hAnsi="等线" w:eastAsia="仿宋_GB2312" w:cs="MS Mincho"/>
          <w:color w:val="333333"/>
          <w:spacing w:val="8"/>
          <w:sz w:val="32"/>
          <w:szCs w:val="32"/>
        </w:rPr>
        <w:t>入手，培养从小</w:t>
      </w:r>
      <w:r>
        <w:rPr>
          <w:rStyle w:val="33"/>
          <w:rFonts w:hint="eastAsia" w:ascii="仿宋_GB2312" w:hAnsi="等线" w:eastAsia="仿宋_GB2312" w:cs="PMingLiU"/>
          <w:color w:val="333333"/>
          <w:spacing w:val="8"/>
          <w:sz w:val="32"/>
          <w:szCs w:val="32"/>
        </w:rPr>
        <w:t>爱读书</w:t>
      </w:r>
      <w:r>
        <w:rPr>
          <w:rStyle w:val="33"/>
          <w:rFonts w:hint="eastAsia" w:ascii="仿宋_GB2312" w:hAnsi="等线" w:eastAsia="仿宋_GB2312" w:cs="MS Mincho"/>
          <w:color w:val="333333"/>
          <w:spacing w:val="8"/>
          <w:sz w:val="32"/>
          <w:szCs w:val="32"/>
        </w:rPr>
        <w:t>、勤</w:t>
      </w:r>
      <w:r>
        <w:rPr>
          <w:rStyle w:val="33"/>
          <w:rFonts w:hint="eastAsia" w:ascii="仿宋_GB2312" w:hAnsi="等线" w:eastAsia="仿宋_GB2312" w:cs="PMingLiU"/>
          <w:color w:val="333333"/>
          <w:spacing w:val="8"/>
          <w:sz w:val="32"/>
          <w:szCs w:val="32"/>
        </w:rPr>
        <w:t>读书</w:t>
      </w:r>
      <w:r>
        <w:rPr>
          <w:rStyle w:val="33"/>
          <w:rFonts w:hint="eastAsia" w:ascii="仿宋_GB2312" w:hAnsi="等线" w:eastAsia="仿宋_GB2312" w:cs="MS Mincho"/>
          <w:color w:val="333333"/>
          <w:spacing w:val="8"/>
          <w:sz w:val="32"/>
          <w:szCs w:val="32"/>
        </w:rPr>
        <w:t>的好</w:t>
      </w:r>
      <w:r>
        <w:rPr>
          <w:rStyle w:val="33"/>
          <w:rFonts w:hint="eastAsia" w:ascii="仿宋_GB2312" w:hAnsi="等线" w:eastAsia="仿宋_GB2312" w:cs="PMingLiU"/>
          <w:color w:val="333333"/>
          <w:spacing w:val="8"/>
          <w:sz w:val="32"/>
          <w:szCs w:val="32"/>
        </w:rPr>
        <w:t>习惯</w:t>
      </w:r>
      <w:r>
        <w:rPr>
          <w:rStyle w:val="33"/>
          <w:rFonts w:hint="eastAsia" w:ascii="仿宋_GB2312" w:hAnsi="等线" w:eastAsia="仿宋_GB2312" w:cs="MS Mincho"/>
          <w:color w:val="333333"/>
          <w:spacing w:val="8"/>
          <w:sz w:val="32"/>
          <w:szCs w:val="32"/>
        </w:rPr>
        <w:t>，</w:t>
      </w:r>
      <w:r>
        <w:rPr>
          <w:rStyle w:val="33"/>
          <w:rFonts w:hint="eastAsia" w:ascii="仿宋_GB2312" w:hAnsi="等线" w:eastAsia="仿宋_GB2312" w:cs="PMingLiU"/>
          <w:color w:val="333333"/>
          <w:spacing w:val="8"/>
          <w:sz w:val="32"/>
          <w:szCs w:val="32"/>
        </w:rPr>
        <w:t>记录读书过</w:t>
      </w:r>
      <w:r>
        <w:rPr>
          <w:rStyle w:val="33"/>
          <w:rFonts w:hint="eastAsia" w:ascii="仿宋_GB2312" w:hAnsi="等线" w:eastAsia="仿宋_GB2312" w:cs="MS Mincho"/>
          <w:color w:val="333333"/>
          <w:spacing w:val="8"/>
          <w:sz w:val="32"/>
          <w:szCs w:val="32"/>
        </w:rPr>
        <w:t>程中的点点滴滴，</w:t>
      </w:r>
      <w:r>
        <w:rPr>
          <w:rStyle w:val="33"/>
          <w:rFonts w:hint="eastAsia" w:ascii="仿宋_GB2312" w:hAnsi="等线" w:eastAsia="仿宋_GB2312" w:cs="PMingLiU"/>
          <w:color w:val="333333"/>
          <w:spacing w:val="8"/>
          <w:sz w:val="32"/>
          <w:szCs w:val="32"/>
        </w:rPr>
        <w:t>让</w:t>
      </w:r>
      <w:r>
        <w:rPr>
          <w:rStyle w:val="33"/>
          <w:rFonts w:hint="eastAsia" w:ascii="仿宋_GB2312" w:hAnsi="等线" w:eastAsia="仿宋_GB2312" w:cs="MS Mincho"/>
          <w:color w:val="333333"/>
          <w:spacing w:val="8"/>
          <w:sz w:val="32"/>
          <w:szCs w:val="32"/>
        </w:rPr>
        <w:t>学生从</w:t>
      </w:r>
      <w:r>
        <w:rPr>
          <w:rStyle w:val="33"/>
          <w:rFonts w:hint="eastAsia" w:ascii="仿宋_GB2312" w:hAnsi="等线" w:eastAsia="仿宋_GB2312" w:cs="PMingLiU"/>
          <w:color w:val="333333"/>
          <w:spacing w:val="8"/>
          <w:sz w:val="32"/>
          <w:szCs w:val="32"/>
        </w:rPr>
        <w:t>读</w:t>
      </w:r>
      <w:r>
        <w:rPr>
          <w:rStyle w:val="33"/>
          <w:rFonts w:hint="eastAsia" w:ascii="仿宋_GB2312" w:hAnsi="等线" w:eastAsia="仿宋_GB2312" w:cs="MS Mincho"/>
          <w:color w:val="333333"/>
          <w:spacing w:val="8"/>
          <w:sz w:val="32"/>
          <w:szCs w:val="32"/>
        </w:rPr>
        <w:t>本中汲取</w:t>
      </w:r>
      <w:r>
        <w:rPr>
          <w:rStyle w:val="33"/>
          <w:rFonts w:hint="eastAsia" w:ascii="仿宋_GB2312" w:hAnsi="等线" w:eastAsia="仿宋_GB2312" w:cs="PMingLiU"/>
          <w:color w:val="333333"/>
          <w:spacing w:val="8"/>
          <w:sz w:val="32"/>
          <w:szCs w:val="32"/>
        </w:rPr>
        <w:t>营</w:t>
      </w:r>
      <w:r>
        <w:rPr>
          <w:rStyle w:val="33"/>
          <w:rFonts w:hint="eastAsia" w:ascii="仿宋_GB2312" w:hAnsi="等线" w:eastAsia="仿宋_GB2312" w:cs="MS Mincho"/>
          <w:color w:val="333333"/>
          <w:spacing w:val="8"/>
          <w:sz w:val="32"/>
          <w:szCs w:val="32"/>
        </w:rPr>
        <w:t>养，在</w:t>
      </w:r>
      <w:r>
        <w:rPr>
          <w:rStyle w:val="33"/>
          <w:rFonts w:hint="eastAsia" w:ascii="仿宋_GB2312" w:hAnsi="等线" w:eastAsia="仿宋_GB2312" w:cs="PMingLiU"/>
          <w:color w:val="333333"/>
          <w:spacing w:val="8"/>
          <w:sz w:val="32"/>
          <w:szCs w:val="32"/>
        </w:rPr>
        <w:t>阅读</w:t>
      </w:r>
      <w:r>
        <w:rPr>
          <w:rStyle w:val="33"/>
          <w:rFonts w:hint="eastAsia" w:ascii="仿宋_GB2312" w:hAnsi="等线" w:eastAsia="仿宋_GB2312" w:cs="MS Mincho"/>
          <w:color w:val="333333"/>
          <w:spacing w:val="8"/>
          <w:sz w:val="32"/>
          <w:szCs w:val="32"/>
        </w:rPr>
        <w:t>中开阔视野、增</w:t>
      </w:r>
      <w:r>
        <w:rPr>
          <w:rStyle w:val="33"/>
          <w:rFonts w:hint="eastAsia" w:ascii="仿宋_GB2312" w:hAnsi="等线" w:eastAsia="仿宋_GB2312" w:cs="PMingLiU"/>
          <w:color w:val="333333"/>
          <w:spacing w:val="8"/>
          <w:sz w:val="32"/>
          <w:szCs w:val="32"/>
        </w:rPr>
        <w:t>长</w:t>
      </w:r>
      <w:r>
        <w:rPr>
          <w:rStyle w:val="33"/>
          <w:rFonts w:hint="eastAsia" w:ascii="仿宋_GB2312" w:hAnsi="等线" w:eastAsia="仿宋_GB2312" w:cs="MS Mincho"/>
          <w:color w:val="333333"/>
          <w:spacing w:val="8"/>
          <w:sz w:val="32"/>
          <w:szCs w:val="32"/>
        </w:rPr>
        <w:t>知</w:t>
      </w:r>
      <w:r>
        <w:rPr>
          <w:rStyle w:val="33"/>
          <w:rFonts w:hint="eastAsia" w:ascii="仿宋_GB2312" w:hAnsi="等线" w:eastAsia="仿宋_GB2312" w:cs="PMingLiU"/>
          <w:color w:val="333333"/>
          <w:spacing w:val="8"/>
          <w:sz w:val="32"/>
          <w:szCs w:val="32"/>
        </w:rPr>
        <w:t>识</w:t>
      </w:r>
      <w:r>
        <w:rPr>
          <w:rStyle w:val="33"/>
          <w:rFonts w:hint="eastAsia" w:ascii="仿宋_GB2312" w:hAnsi="等线" w:eastAsia="仿宋_GB2312" w:cs="MS Mincho"/>
          <w:color w:val="333333"/>
          <w:spacing w:val="8"/>
          <w:sz w:val="32"/>
          <w:szCs w:val="32"/>
        </w:rPr>
        <w:t>，提高</w:t>
      </w:r>
      <w:r>
        <w:rPr>
          <w:rStyle w:val="33"/>
          <w:rFonts w:hint="eastAsia" w:ascii="仿宋_GB2312" w:hAnsi="等线" w:eastAsia="仿宋_GB2312" w:cs="PMingLiU"/>
          <w:color w:val="333333"/>
          <w:spacing w:val="8"/>
          <w:sz w:val="32"/>
          <w:szCs w:val="32"/>
        </w:rPr>
        <w:t>阅读</w:t>
      </w:r>
      <w:r>
        <w:rPr>
          <w:rStyle w:val="33"/>
          <w:rFonts w:hint="eastAsia" w:ascii="仿宋_GB2312" w:hAnsi="等线" w:eastAsia="仿宋_GB2312" w:cs="MS Mincho"/>
          <w:color w:val="333333"/>
          <w:spacing w:val="8"/>
          <w:sz w:val="32"/>
          <w:szCs w:val="32"/>
        </w:rPr>
        <w:t>和写作能力，</w:t>
      </w:r>
      <w:r>
        <w:rPr>
          <w:rStyle w:val="33"/>
          <w:rFonts w:hint="eastAsia" w:ascii="仿宋_GB2312" w:hAnsi="等线" w:eastAsia="仿宋_GB2312" w:cs="PMingLiU"/>
          <w:color w:val="333333"/>
          <w:spacing w:val="8"/>
          <w:sz w:val="32"/>
          <w:szCs w:val="32"/>
        </w:rPr>
        <w:t>发挥课</w:t>
      </w:r>
      <w:r>
        <w:rPr>
          <w:rStyle w:val="33"/>
          <w:rFonts w:hint="eastAsia" w:ascii="仿宋_GB2312" w:hAnsi="等线" w:eastAsia="仿宋_GB2312" w:cs="MS Mincho"/>
          <w:color w:val="333333"/>
          <w:spacing w:val="8"/>
          <w:sz w:val="32"/>
          <w:szCs w:val="32"/>
        </w:rPr>
        <w:t>外</w:t>
      </w:r>
      <w:r>
        <w:rPr>
          <w:rStyle w:val="33"/>
          <w:rFonts w:hint="eastAsia" w:ascii="仿宋_GB2312" w:hAnsi="等线" w:eastAsia="仿宋_GB2312" w:cs="PMingLiU"/>
          <w:color w:val="333333"/>
          <w:spacing w:val="8"/>
          <w:sz w:val="32"/>
          <w:szCs w:val="32"/>
        </w:rPr>
        <w:t>读</w:t>
      </w:r>
      <w:r>
        <w:rPr>
          <w:rStyle w:val="33"/>
          <w:rFonts w:hint="eastAsia" w:ascii="仿宋_GB2312" w:hAnsi="等线" w:eastAsia="仿宋_GB2312" w:cs="MS Mincho"/>
          <w:color w:val="333333"/>
          <w:spacing w:val="8"/>
          <w:sz w:val="32"/>
          <w:szCs w:val="32"/>
        </w:rPr>
        <w:t>物育人功能。校园内未发现违规读物。</w:t>
      </w:r>
    </w:p>
    <w:p w14:paraId="26171AC8">
      <w:pPr>
        <w:pStyle w:val="34"/>
        <w:spacing w:line="360" w:lineRule="auto"/>
        <w:ind w:firstLine="672" w:firstLineChars="200"/>
        <w:jc w:val="both"/>
        <w:rPr>
          <w:rFonts w:ascii="仿宋_GB2312" w:hAnsi="等线" w:eastAsia="仿宋_GB2312" w:cs="Calibri"/>
          <w:color w:val="333333"/>
          <w:spacing w:val="8"/>
          <w:sz w:val="32"/>
          <w:szCs w:val="32"/>
        </w:rPr>
      </w:pPr>
      <w:r>
        <w:rPr>
          <w:rStyle w:val="33"/>
          <w:rFonts w:hint="eastAsia" w:ascii="仿宋_GB2312" w:hAnsi="等线" w:eastAsia="仿宋_GB2312" w:cs="MS Mincho"/>
          <w:color w:val="333333"/>
          <w:spacing w:val="8"/>
          <w:sz w:val="32"/>
          <w:szCs w:val="32"/>
        </w:rPr>
        <w:t>6</w:t>
      </w:r>
      <w:r>
        <w:rPr>
          <w:rStyle w:val="33"/>
          <w:rFonts w:ascii="仿宋_GB2312" w:hAnsi="等线" w:eastAsia="仿宋_GB2312" w:cs="MS Mincho"/>
          <w:color w:val="333333"/>
          <w:spacing w:val="8"/>
          <w:sz w:val="32"/>
          <w:szCs w:val="32"/>
        </w:rPr>
        <w:t>.</w:t>
      </w:r>
      <w:r>
        <w:rPr>
          <w:rStyle w:val="33"/>
          <w:rFonts w:hint="eastAsia" w:ascii="仿宋_GB2312" w:hAnsi="等线" w:eastAsia="仿宋_GB2312" w:cs="MS Mincho"/>
          <w:color w:val="333333"/>
          <w:spacing w:val="8"/>
          <w:sz w:val="32"/>
          <w:szCs w:val="32"/>
        </w:rPr>
        <w:t>加</w:t>
      </w:r>
      <w:r>
        <w:rPr>
          <w:rStyle w:val="33"/>
          <w:rFonts w:hint="eastAsia" w:ascii="仿宋_GB2312" w:hAnsi="等线" w:eastAsia="仿宋_GB2312" w:cs="PMingLiU"/>
          <w:color w:val="333333"/>
          <w:spacing w:val="8"/>
          <w:sz w:val="32"/>
          <w:szCs w:val="32"/>
        </w:rPr>
        <w:t>强</w:t>
      </w:r>
      <w:r>
        <w:rPr>
          <w:rStyle w:val="33"/>
          <w:rFonts w:hint="eastAsia" w:ascii="仿宋_GB2312" w:hAnsi="等线" w:eastAsia="仿宋_GB2312" w:cs="MS Mincho"/>
          <w:color w:val="333333"/>
          <w:spacing w:val="8"/>
          <w:sz w:val="32"/>
          <w:szCs w:val="32"/>
        </w:rPr>
        <w:t>体</w:t>
      </w:r>
      <w:r>
        <w:rPr>
          <w:rStyle w:val="33"/>
          <w:rFonts w:hint="eastAsia" w:ascii="仿宋_GB2312" w:hAnsi="等线" w:eastAsia="仿宋_GB2312" w:cs="PMingLiU"/>
          <w:color w:val="333333"/>
          <w:spacing w:val="8"/>
          <w:sz w:val="32"/>
          <w:szCs w:val="32"/>
        </w:rPr>
        <w:t>质</w:t>
      </w:r>
      <w:r>
        <w:rPr>
          <w:rStyle w:val="33"/>
          <w:rFonts w:hint="eastAsia" w:ascii="仿宋_GB2312" w:hAnsi="等线" w:eastAsia="仿宋_GB2312" w:cs="MS Mincho"/>
          <w:color w:val="333333"/>
          <w:spacing w:val="8"/>
          <w:sz w:val="32"/>
          <w:szCs w:val="32"/>
        </w:rPr>
        <w:t>管理，提高学生体</w:t>
      </w:r>
      <w:r>
        <w:rPr>
          <w:rStyle w:val="33"/>
          <w:rFonts w:hint="eastAsia" w:ascii="仿宋_GB2312" w:hAnsi="等线" w:eastAsia="仿宋_GB2312" w:cs="PMingLiU"/>
          <w:color w:val="333333"/>
          <w:spacing w:val="8"/>
          <w:sz w:val="32"/>
          <w:szCs w:val="32"/>
        </w:rPr>
        <w:t>质</w:t>
      </w:r>
      <w:r>
        <w:rPr>
          <w:rStyle w:val="33"/>
          <w:rFonts w:hint="eastAsia" w:ascii="仿宋_GB2312" w:hAnsi="等线" w:eastAsia="仿宋_GB2312" w:cs="MS Mincho"/>
          <w:color w:val="333333"/>
          <w:spacing w:val="8"/>
          <w:sz w:val="32"/>
          <w:szCs w:val="32"/>
        </w:rPr>
        <w:t>。</w:t>
      </w:r>
      <w:r>
        <w:rPr>
          <w:rStyle w:val="33"/>
          <w:rFonts w:hint="eastAsia" w:ascii="仿宋_GB2312" w:hAnsi="等线" w:eastAsia="仿宋_GB2312" w:cs="PMingLiU"/>
          <w:color w:val="333333"/>
          <w:spacing w:val="8"/>
          <w:sz w:val="32"/>
          <w:szCs w:val="32"/>
        </w:rPr>
        <w:t>坚</w:t>
      </w:r>
      <w:r>
        <w:rPr>
          <w:rStyle w:val="33"/>
          <w:rFonts w:hint="eastAsia" w:ascii="仿宋_GB2312" w:hAnsi="等线" w:eastAsia="仿宋_GB2312" w:cs="MS Mincho"/>
          <w:color w:val="333333"/>
          <w:spacing w:val="8"/>
          <w:sz w:val="32"/>
          <w:szCs w:val="32"/>
        </w:rPr>
        <w:t>持</w:t>
      </w:r>
      <w:r>
        <w:rPr>
          <w:rStyle w:val="33"/>
          <w:rFonts w:hint="eastAsia" w:ascii="仿宋_GB2312" w:hAnsi="等线" w:eastAsia="仿宋_GB2312" w:cs="Calibri"/>
          <w:color w:val="333333"/>
          <w:spacing w:val="8"/>
          <w:sz w:val="32"/>
          <w:szCs w:val="32"/>
        </w:rPr>
        <w:t>“</w:t>
      </w:r>
      <w:r>
        <w:rPr>
          <w:rStyle w:val="33"/>
          <w:rFonts w:hint="eastAsia" w:ascii="仿宋_GB2312" w:hAnsi="等线" w:eastAsia="仿宋_GB2312" w:cs="MS Mincho"/>
          <w:color w:val="333333"/>
          <w:spacing w:val="8"/>
          <w:sz w:val="32"/>
          <w:szCs w:val="32"/>
        </w:rPr>
        <w:t>健康第一</w:t>
      </w:r>
      <w:r>
        <w:rPr>
          <w:rStyle w:val="33"/>
          <w:rFonts w:hint="eastAsia" w:ascii="仿宋_GB2312" w:hAnsi="等线" w:eastAsia="仿宋_GB2312" w:cs="Calibri"/>
          <w:color w:val="333333"/>
          <w:spacing w:val="8"/>
          <w:sz w:val="32"/>
          <w:szCs w:val="32"/>
        </w:rPr>
        <w:t>”</w:t>
      </w:r>
      <w:r>
        <w:rPr>
          <w:rStyle w:val="33"/>
          <w:rFonts w:hint="eastAsia" w:ascii="仿宋_GB2312" w:hAnsi="等线" w:eastAsia="仿宋_GB2312" w:cs="MS Mincho"/>
          <w:color w:val="333333"/>
          <w:spacing w:val="8"/>
          <w:sz w:val="32"/>
          <w:szCs w:val="32"/>
        </w:rPr>
        <w:t>的思想，学校高度重</w:t>
      </w:r>
      <w:r>
        <w:rPr>
          <w:rStyle w:val="33"/>
          <w:rFonts w:hint="eastAsia" w:ascii="仿宋_GB2312" w:hAnsi="等线" w:eastAsia="仿宋_GB2312" w:cs="PMingLiU"/>
          <w:color w:val="333333"/>
          <w:spacing w:val="8"/>
          <w:sz w:val="32"/>
          <w:szCs w:val="32"/>
        </w:rPr>
        <w:t>视</w:t>
      </w:r>
      <w:r>
        <w:rPr>
          <w:rStyle w:val="33"/>
          <w:rFonts w:hint="eastAsia" w:ascii="仿宋_GB2312" w:hAnsi="等线" w:eastAsia="仿宋_GB2312" w:cs="MS Mincho"/>
          <w:color w:val="333333"/>
          <w:spacing w:val="8"/>
          <w:sz w:val="32"/>
          <w:szCs w:val="32"/>
        </w:rPr>
        <w:t>《学生体</w:t>
      </w:r>
      <w:r>
        <w:rPr>
          <w:rStyle w:val="33"/>
          <w:rFonts w:hint="eastAsia" w:ascii="仿宋_GB2312" w:hAnsi="等线" w:eastAsia="仿宋_GB2312" w:cs="PMingLiU"/>
          <w:color w:val="333333"/>
          <w:spacing w:val="8"/>
          <w:sz w:val="32"/>
          <w:szCs w:val="32"/>
        </w:rPr>
        <w:t>质</w:t>
      </w:r>
      <w:r>
        <w:rPr>
          <w:rStyle w:val="33"/>
          <w:rFonts w:hint="eastAsia" w:ascii="仿宋_GB2312" w:hAnsi="等线" w:eastAsia="仿宋_GB2312" w:cs="MS Mincho"/>
          <w:color w:val="333333"/>
          <w:spacing w:val="8"/>
          <w:sz w:val="32"/>
          <w:szCs w:val="32"/>
        </w:rPr>
        <w:t>健康</w:t>
      </w:r>
      <w:r>
        <w:rPr>
          <w:rStyle w:val="33"/>
          <w:rFonts w:hint="eastAsia" w:ascii="仿宋_GB2312" w:hAnsi="等线" w:eastAsia="仿宋_GB2312" w:cs="PMingLiU"/>
          <w:color w:val="333333"/>
          <w:spacing w:val="8"/>
          <w:sz w:val="32"/>
          <w:szCs w:val="32"/>
        </w:rPr>
        <w:t>标</w:t>
      </w:r>
      <w:r>
        <w:rPr>
          <w:rStyle w:val="33"/>
          <w:rFonts w:hint="eastAsia" w:ascii="仿宋_GB2312" w:hAnsi="等线" w:eastAsia="仿宋_GB2312" w:cs="MS Mincho"/>
          <w:color w:val="333333"/>
          <w:spacing w:val="8"/>
          <w:sz w:val="32"/>
          <w:szCs w:val="32"/>
        </w:rPr>
        <w:t>准》，通</w:t>
      </w:r>
      <w:r>
        <w:rPr>
          <w:rStyle w:val="33"/>
          <w:rFonts w:hint="eastAsia" w:ascii="仿宋_GB2312" w:hAnsi="等线" w:eastAsia="仿宋_GB2312" w:cs="PMingLiU"/>
          <w:color w:val="333333"/>
          <w:spacing w:val="8"/>
          <w:sz w:val="32"/>
          <w:szCs w:val="32"/>
        </w:rPr>
        <w:t>过</w:t>
      </w:r>
      <w:r>
        <w:rPr>
          <w:rStyle w:val="33"/>
          <w:rFonts w:hint="eastAsia" w:ascii="仿宋_GB2312" w:hAnsi="等线" w:eastAsia="仿宋_GB2312" w:cs="MS Mincho"/>
          <w:color w:val="333333"/>
          <w:spacing w:val="8"/>
          <w:sz w:val="32"/>
          <w:szCs w:val="32"/>
        </w:rPr>
        <w:t>开足开</w:t>
      </w:r>
      <w:r>
        <w:rPr>
          <w:rStyle w:val="33"/>
          <w:rFonts w:hint="eastAsia" w:ascii="仿宋_GB2312" w:hAnsi="等线" w:eastAsia="仿宋_GB2312" w:cs="PMingLiU"/>
          <w:color w:val="333333"/>
          <w:spacing w:val="8"/>
          <w:sz w:val="32"/>
          <w:szCs w:val="32"/>
        </w:rPr>
        <w:t>齐</w:t>
      </w:r>
      <w:r>
        <w:rPr>
          <w:rStyle w:val="33"/>
          <w:rFonts w:hint="eastAsia" w:ascii="仿宋_GB2312" w:hAnsi="等线" w:eastAsia="仿宋_GB2312" w:cs="MS Mincho"/>
          <w:color w:val="333333"/>
          <w:spacing w:val="8"/>
          <w:sz w:val="32"/>
          <w:szCs w:val="32"/>
        </w:rPr>
        <w:t>体育</w:t>
      </w:r>
      <w:r>
        <w:rPr>
          <w:rStyle w:val="33"/>
          <w:rFonts w:hint="eastAsia" w:ascii="仿宋_GB2312" w:hAnsi="等线" w:eastAsia="仿宋_GB2312" w:cs="PMingLiU"/>
          <w:color w:val="333333"/>
          <w:spacing w:val="8"/>
          <w:sz w:val="32"/>
          <w:szCs w:val="32"/>
        </w:rPr>
        <w:t>课</w:t>
      </w:r>
      <w:r>
        <w:rPr>
          <w:rStyle w:val="33"/>
          <w:rFonts w:hint="eastAsia" w:ascii="仿宋_GB2312" w:hAnsi="等线" w:eastAsia="仿宋_GB2312" w:cs="MS Mincho"/>
          <w:color w:val="333333"/>
          <w:spacing w:val="8"/>
          <w:sz w:val="32"/>
          <w:szCs w:val="32"/>
        </w:rPr>
        <w:t>、保</w:t>
      </w:r>
      <w:r>
        <w:rPr>
          <w:rStyle w:val="33"/>
          <w:rFonts w:hint="eastAsia" w:ascii="仿宋_GB2312" w:hAnsi="等线" w:eastAsia="仿宋_GB2312" w:cs="PMingLiU"/>
          <w:color w:val="333333"/>
          <w:spacing w:val="8"/>
          <w:sz w:val="32"/>
          <w:szCs w:val="32"/>
        </w:rPr>
        <w:t>证</w:t>
      </w:r>
      <w:r>
        <w:rPr>
          <w:rStyle w:val="33"/>
          <w:rFonts w:hint="eastAsia" w:ascii="仿宋_GB2312" w:hAnsi="等线" w:eastAsia="仿宋_GB2312" w:cs="MS Mincho"/>
          <w:color w:val="333333"/>
          <w:spacing w:val="8"/>
          <w:sz w:val="32"/>
          <w:szCs w:val="32"/>
        </w:rPr>
        <w:t>学生每天</w:t>
      </w:r>
      <w:r>
        <w:rPr>
          <w:rStyle w:val="33"/>
          <w:rFonts w:hint="eastAsia" w:ascii="仿宋_GB2312" w:hAnsi="等线" w:eastAsia="仿宋_GB2312" w:cs="PMingLiU"/>
          <w:color w:val="333333"/>
          <w:spacing w:val="8"/>
          <w:sz w:val="32"/>
          <w:szCs w:val="32"/>
        </w:rPr>
        <w:t>锻炼</w:t>
      </w:r>
      <w:r>
        <w:rPr>
          <w:rStyle w:val="33"/>
          <w:rFonts w:hint="eastAsia" w:ascii="仿宋_GB2312" w:hAnsi="等线" w:eastAsia="仿宋_GB2312" w:cs="MS Mincho"/>
          <w:color w:val="333333"/>
          <w:spacing w:val="8"/>
          <w:sz w:val="32"/>
          <w:szCs w:val="32"/>
        </w:rPr>
        <w:t>一小</w:t>
      </w:r>
      <w:r>
        <w:rPr>
          <w:rStyle w:val="33"/>
          <w:rFonts w:hint="eastAsia" w:ascii="仿宋_GB2312" w:hAnsi="等线" w:eastAsia="仿宋_GB2312" w:cs="PMingLiU"/>
          <w:color w:val="333333"/>
          <w:spacing w:val="8"/>
          <w:sz w:val="32"/>
          <w:szCs w:val="32"/>
        </w:rPr>
        <w:t>时</w:t>
      </w:r>
      <w:r>
        <w:rPr>
          <w:rStyle w:val="33"/>
          <w:rFonts w:hint="eastAsia" w:ascii="仿宋_GB2312" w:hAnsi="等线" w:eastAsia="仿宋_GB2312" w:cs="MS Mincho"/>
          <w:color w:val="333333"/>
          <w:spacing w:val="8"/>
          <w:sz w:val="32"/>
          <w:szCs w:val="32"/>
        </w:rPr>
        <w:t>，增</w:t>
      </w:r>
      <w:r>
        <w:rPr>
          <w:rStyle w:val="33"/>
          <w:rFonts w:hint="eastAsia" w:ascii="仿宋_GB2312" w:hAnsi="等线" w:eastAsia="仿宋_GB2312" w:cs="PMingLiU"/>
          <w:color w:val="333333"/>
          <w:spacing w:val="8"/>
          <w:sz w:val="32"/>
          <w:szCs w:val="32"/>
        </w:rPr>
        <w:t>强</w:t>
      </w:r>
      <w:r>
        <w:rPr>
          <w:rStyle w:val="33"/>
          <w:rFonts w:hint="eastAsia" w:ascii="仿宋_GB2312" w:hAnsi="等线" w:eastAsia="仿宋_GB2312" w:cs="MS Mincho"/>
          <w:color w:val="333333"/>
          <w:spacing w:val="8"/>
          <w:sz w:val="32"/>
          <w:szCs w:val="32"/>
        </w:rPr>
        <w:t>学生的健康体</w:t>
      </w:r>
      <w:r>
        <w:rPr>
          <w:rStyle w:val="33"/>
          <w:rFonts w:hint="eastAsia" w:ascii="仿宋_GB2312" w:hAnsi="等线" w:eastAsia="仿宋_GB2312" w:cs="PMingLiU"/>
          <w:color w:val="333333"/>
          <w:spacing w:val="8"/>
          <w:sz w:val="32"/>
          <w:szCs w:val="32"/>
        </w:rPr>
        <w:t>质</w:t>
      </w:r>
      <w:r>
        <w:rPr>
          <w:rStyle w:val="33"/>
          <w:rFonts w:hint="eastAsia" w:ascii="仿宋_GB2312" w:hAnsi="等线" w:eastAsia="仿宋_GB2312" w:cs="MS Mincho"/>
          <w:color w:val="333333"/>
          <w:spacing w:val="8"/>
          <w:sz w:val="32"/>
          <w:szCs w:val="32"/>
        </w:rPr>
        <w:t>，每年在全校范</w:t>
      </w:r>
      <w:r>
        <w:rPr>
          <w:rStyle w:val="33"/>
          <w:rFonts w:hint="eastAsia" w:ascii="仿宋_GB2312" w:hAnsi="等线" w:eastAsia="仿宋_GB2312" w:cs="PMingLiU"/>
          <w:color w:val="333333"/>
          <w:spacing w:val="8"/>
          <w:sz w:val="32"/>
          <w:szCs w:val="32"/>
        </w:rPr>
        <w:t>围</w:t>
      </w:r>
      <w:r>
        <w:rPr>
          <w:rStyle w:val="33"/>
          <w:rFonts w:hint="eastAsia" w:ascii="仿宋_GB2312" w:hAnsi="等线" w:eastAsia="仿宋_GB2312" w:cs="MS Mincho"/>
          <w:color w:val="333333"/>
          <w:spacing w:val="8"/>
          <w:sz w:val="32"/>
          <w:szCs w:val="32"/>
        </w:rPr>
        <w:t>开展学生体</w:t>
      </w:r>
      <w:r>
        <w:rPr>
          <w:rStyle w:val="33"/>
          <w:rFonts w:hint="eastAsia" w:ascii="仿宋_GB2312" w:hAnsi="等线" w:eastAsia="仿宋_GB2312" w:cs="PMingLiU"/>
          <w:color w:val="333333"/>
          <w:spacing w:val="8"/>
          <w:sz w:val="32"/>
          <w:szCs w:val="32"/>
        </w:rPr>
        <w:t>质</w:t>
      </w:r>
      <w:r>
        <w:rPr>
          <w:rStyle w:val="33"/>
          <w:rFonts w:hint="eastAsia" w:ascii="仿宋_GB2312" w:hAnsi="等线" w:eastAsia="仿宋_GB2312" w:cs="MS Mincho"/>
          <w:color w:val="333333"/>
          <w:spacing w:val="8"/>
          <w:sz w:val="32"/>
          <w:szCs w:val="32"/>
        </w:rPr>
        <w:t>健康</w:t>
      </w:r>
      <w:r>
        <w:rPr>
          <w:rStyle w:val="33"/>
          <w:rFonts w:hint="eastAsia" w:ascii="仿宋_GB2312" w:hAnsi="等线" w:eastAsia="仿宋_GB2312" w:cs="PMingLiU"/>
          <w:color w:val="333333"/>
          <w:spacing w:val="8"/>
          <w:sz w:val="32"/>
          <w:szCs w:val="32"/>
        </w:rPr>
        <w:t>测试</w:t>
      </w:r>
      <w:r>
        <w:rPr>
          <w:rStyle w:val="33"/>
          <w:rFonts w:hint="eastAsia" w:ascii="仿宋_GB2312" w:hAnsi="等线" w:eastAsia="仿宋_GB2312" w:cs="MS Mincho"/>
          <w:color w:val="333333"/>
          <w:spacing w:val="8"/>
          <w:sz w:val="32"/>
          <w:szCs w:val="32"/>
        </w:rPr>
        <w:t>，做好数据全面真</w:t>
      </w:r>
      <w:r>
        <w:rPr>
          <w:rStyle w:val="33"/>
          <w:rFonts w:hint="eastAsia" w:ascii="仿宋_GB2312" w:hAnsi="等线" w:eastAsia="仿宋_GB2312" w:cs="PMingLiU"/>
          <w:color w:val="333333"/>
          <w:spacing w:val="8"/>
          <w:sz w:val="32"/>
          <w:szCs w:val="32"/>
        </w:rPr>
        <w:t>实</w:t>
      </w:r>
      <w:r>
        <w:rPr>
          <w:rStyle w:val="33"/>
          <w:rFonts w:hint="eastAsia" w:ascii="仿宋_GB2312" w:hAnsi="等线" w:eastAsia="仿宋_GB2312" w:cs="MS Mincho"/>
          <w:color w:val="333333"/>
          <w:spacing w:val="8"/>
          <w:sz w:val="32"/>
          <w:szCs w:val="32"/>
        </w:rPr>
        <w:t>，并</w:t>
      </w:r>
      <w:r>
        <w:rPr>
          <w:rStyle w:val="33"/>
          <w:rFonts w:hint="eastAsia" w:ascii="仿宋_GB2312" w:hAnsi="等线" w:eastAsia="仿宋_GB2312" w:cs="PMingLiU"/>
          <w:color w:val="333333"/>
          <w:spacing w:val="8"/>
          <w:sz w:val="32"/>
          <w:szCs w:val="32"/>
        </w:rPr>
        <w:t>对</w:t>
      </w:r>
      <w:r>
        <w:rPr>
          <w:rStyle w:val="33"/>
          <w:rFonts w:hint="eastAsia" w:ascii="仿宋_GB2312" w:hAnsi="等线" w:eastAsia="仿宋_GB2312" w:cs="MS Mincho"/>
          <w:color w:val="333333"/>
          <w:spacing w:val="8"/>
          <w:sz w:val="32"/>
          <w:szCs w:val="32"/>
        </w:rPr>
        <w:t>各年</w:t>
      </w:r>
      <w:r>
        <w:rPr>
          <w:rStyle w:val="33"/>
          <w:rFonts w:hint="eastAsia" w:ascii="仿宋_GB2312" w:hAnsi="等线" w:eastAsia="仿宋_GB2312" w:cs="PMingLiU"/>
          <w:color w:val="333333"/>
          <w:spacing w:val="8"/>
          <w:sz w:val="32"/>
          <w:szCs w:val="32"/>
        </w:rPr>
        <w:t>级</w:t>
      </w:r>
      <w:r>
        <w:rPr>
          <w:rStyle w:val="33"/>
          <w:rFonts w:hint="eastAsia" w:ascii="仿宋_GB2312" w:hAnsi="等线" w:eastAsia="仿宋_GB2312" w:cs="MS Mincho"/>
          <w:color w:val="333333"/>
          <w:spacing w:val="8"/>
          <w:sz w:val="32"/>
          <w:szCs w:val="32"/>
        </w:rPr>
        <w:t>学生体</w:t>
      </w:r>
      <w:r>
        <w:rPr>
          <w:rStyle w:val="33"/>
          <w:rFonts w:hint="eastAsia" w:ascii="仿宋_GB2312" w:hAnsi="等线" w:eastAsia="仿宋_GB2312" w:cs="PMingLiU"/>
          <w:color w:val="333333"/>
          <w:spacing w:val="8"/>
          <w:sz w:val="32"/>
          <w:szCs w:val="32"/>
        </w:rPr>
        <w:t>质</w:t>
      </w:r>
      <w:r>
        <w:rPr>
          <w:rStyle w:val="33"/>
          <w:rFonts w:hint="eastAsia" w:ascii="仿宋_GB2312" w:hAnsi="等线" w:eastAsia="仿宋_GB2312" w:cs="MS Mincho"/>
          <w:color w:val="333333"/>
          <w:spacing w:val="8"/>
          <w:sz w:val="32"/>
          <w:szCs w:val="32"/>
        </w:rPr>
        <w:t>情况</w:t>
      </w:r>
      <w:r>
        <w:rPr>
          <w:rStyle w:val="33"/>
          <w:rFonts w:hint="eastAsia" w:ascii="仿宋_GB2312" w:hAnsi="等线" w:eastAsia="仿宋_GB2312" w:cs="PMingLiU"/>
          <w:color w:val="333333"/>
          <w:spacing w:val="8"/>
          <w:sz w:val="32"/>
          <w:szCs w:val="32"/>
        </w:rPr>
        <w:t>进</w:t>
      </w:r>
      <w:r>
        <w:rPr>
          <w:rStyle w:val="33"/>
          <w:rFonts w:hint="eastAsia" w:ascii="仿宋_GB2312" w:hAnsi="等线" w:eastAsia="仿宋_GB2312" w:cs="MS Mincho"/>
          <w:color w:val="333333"/>
          <w:spacing w:val="8"/>
          <w:sz w:val="32"/>
          <w:szCs w:val="32"/>
        </w:rPr>
        <w:t>行分析，通</w:t>
      </w:r>
      <w:r>
        <w:rPr>
          <w:rStyle w:val="33"/>
          <w:rFonts w:hint="eastAsia" w:ascii="仿宋_GB2312" w:hAnsi="等线" w:eastAsia="仿宋_GB2312" w:cs="PMingLiU"/>
          <w:color w:val="333333"/>
          <w:spacing w:val="8"/>
          <w:sz w:val="32"/>
          <w:szCs w:val="32"/>
        </w:rPr>
        <w:t>过</w:t>
      </w:r>
      <w:r>
        <w:rPr>
          <w:rStyle w:val="33"/>
          <w:rFonts w:hint="eastAsia" w:ascii="仿宋_GB2312" w:hAnsi="等线" w:eastAsia="仿宋_GB2312" w:cs="MS Mincho"/>
          <w:color w:val="333333"/>
          <w:spacing w:val="8"/>
          <w:sz w:val="32"/>
          <w:szCs w:val="32"/>
        </w:rPr>
        <w:t>采取</w:t>
      </w:r>
      <w:r>
        <w:rPr>
          <w:rStyle w:val="33"/>
          <w:rFonts w:hint="eastAsia" w:ascii="仿宋_GB2312" w:hAnsi="等线" w:eastAsia="仿宋_GB2312" w:cs="PMingLiU"/>
          <w:color w:val="333333"/>
          <w:spacing w:val="8"/>
          <w:sz w:val="32"/>
          <w:szCs w:val="32"/>
        </w:rPr>
        <w:t>针对</w:t>
      </w:r>
      <w:r>
        <w:rPr>
          <w:rStyle w:val="33"/>
          <w:rFonts w:hint="eastAsia" w:ascii="仿宋_GB2312" w:hAnsi="等线" w:eastAsia="仿宋_GB2312" w:cs="MS Mincho"/>
          <w:color w:val="333333"/>
          <w:spacing w:val="8"/>
          <w:sz w:val="32"/>
          <w:szCs w:val="32"/>
        </w:rPr>
        <w:t>性的</w:t>
      </w:r>
      <w:r>
        <w:rPr>
          <w:rStyle w:val="33"/>
          <w:rFonts w:hint="eastAsia" w:ascii="仿宋_GB2312" w:hAnsi="等线" w:eastAsia="仿宋_GB2312" w:cs="PMingLiU"/>
          <w:color w:val="333333"/>
          <w:spacing w:val="8"/>
          <w:sz w:val="32"/>
          <w:szCs w:val="32"/>
        </w:rPr>
        <w:t>训练</w:t>
      </w:r>
      <w:r>
        <w:rPr>
          <w:rStyle w:val="33"/>
          <w:rFonts w:hint="eastAsia" w:ascii="仿宋_GB2312" w:hAnsi="等线" w:eastAsia="仿宋_GB2312" w:cs="MS Mincho"/>
          <w:color w:val="333333"/>
          <w:spacing w:val="8"/>
          <w:sz w:val="32"/>
          <w:szCs w:val="32"/>
        </w:rPr>
        <w:t>方式，</w:t>
      </w:r>
      <w:r>
        <w:rPr>
          <w:rStyle w:val="33"/>
          <w:rFonts w:hint="eastAsia" w:ascii="仿宋_GB2312" w:hAnsi="等线" w:eastAsia="仿宋_GB2312" w:cs="PMingLiU"/>
          <w:color w:val="333333"/>
          <w:spacing w:val="8"/>
          <w:sz w:val="32"/>
          <w:szCs w:val="32"/>
        </w:rPr>
        <w:t>还</w:t>
      </w:r>
      <w:r>
        <w:rPr>
          <w:rStyle w:val="33"/>
          <w:rFonts w:hint="eastAsia" w:ascii="仿宋_GB2312" w:hAnsi="等线" w:eastAsia="仿宋_GB2312" w:cs="MS Mincho"/>
          <w:color w:val="333333"/>
          <w:spacing w:val="8"/>
          <w:sz w:val="32"/>
          <w:szCs w:val="32"/>
        </w:rPr>
        <w:t>及</w:t>
      </w:r>
      <w:r>
        <w:rPr>
          <w:rStyle w:val="33"/>
          <w:rFonts w:hint="eastAsia" w:ascii="仿宋_GB2312" w:hAnsi="等线" w:eastAsia="仿宋_GB2312" w:cs="PMingLiU"/>
          <w:color w:val="333333"/>
          <w:spacing w:val="8"/>
          <w:sz w:val="32"/>
          <w:szCs w:val="32"/>
        </w:rPr>
        <w:t>时</w:t>
      </w:r>
      <w:r>
        <w:rPr>
          <w:rStyle w:val="33"/>
          <w:rFonts w:hint="eastAsia" w:ascii="仿宋_GB2312" w:hAnsi="等线" w:eastAsia="仿宋_GB2312" w:cs="MS Mincho"/>
          <w:color w:val="333333"/>
          <w:spacing w:val="8"/>
          <w:sz w:val="32"/>
          <w:szCs w:val="32"/>
        </w:rPr>
        <w:t>向家</w:t>
      </w:r>
      <w:r>
        <w:rPr>
          <w:rStyle w:val="33"/>
          <w:rFonts w:hint="eastAsia" w:ascii="仿宋_GB2312" w:hAnsi="等线" w:eastAsia="仿宋_GB2312" w:cs="PMingLiU"/>
          <w:color w:val="333333"/>
          <w:spacing w:val="8"/>
          <w:sz w:val="32"/>
          <w:szCs w:val="32"/>
        </w:rPr>
        <w:t>长</w:t>
      </w:r>
      <w:r>
        <w:rPr>
          <w:rStyle w:val="33"/>
          <w:rFonts w:hint="eastAsia" w:ascii="仿宋_GB2312" w:hAnsi="等线" w:eastAsia="仿宋_GB2312" w:cs="MS Mincho"/>
          <w:color w:val="333333"/>
          <w:spacing w:val="8"/>
          <w:sz w:val="32"/>
          <w:szCs w:val="32"/>
        </w:rPr>
        <w:t>、学生反</w:t>
      </w:r>
      <w:r>
        <w:rPr>
          <w:rStyle w:val="33"/>
          <w:rFonts w:hint="eastAsia" w:ascii="仿宋_GB2312" w:hAnsi="等线" w:eastAsia="仿宋_GB2312" w:cs="PMingLiU"/>
          <w:color w:val="333333"/>
          <w:spacing w:val="8"/>
          <w:sz w:val="32"/>
          <w:szCs w:val="32"/>
        </w:rPr>
        <w:t>馈</w:t>
      </w:r>
      <w:r>
        <w:rPr>
          <w:rStyle w:val="33"/>
          <w:rFonts w:hint="eastAsia" w:ascii="仿宋_GB2312" w:hAnsi="等线" w:eastAsia="仿宋_GB2312" w:cs="MS Mincho"/>
          <w:color w:val="333333"/>
          <w:spacing w:val="8"/>
          <w:sz w:val="32"/>
          <w:szCs w:val="32"/>
        </w:rPr>
        <w:t>，通</w:t>
      </w:r>
      <w:r>
        <w:rPr>
          <w:rStyle w:val="33"/>
          <w:rFonts w:hint="eastAsia" w:ascii="仿宋_GB2312" w:hAnsi="等线" w:eastAsia="仿宋_GB2312" w:cs="PMingLiU"/>
          <w:color w:val="333333"/>
          <w:spacing w:val="8"/>
          <w:sz w:val="32"/>
          <w:szCs w:val="32"/>
        </w:rPr>
        <w:t>过锻炼</w:t>
      </w:r>
      <w:r>
        <w:rPr>
          <w:rStyle w:val="33"/>
          <w:rFonts w:hint="eastAsia" w:ascii="仿宋_GB2312" w:hAnsi="等线" w:eastAsia="仿宋_GB2312" w:cs="MS Mincho"/>
          <w:color w:val="333333"/>
          <w:spacing w:val="8"/>
          <w:sz w:val="32"/>
          <w:szCs w:val="32"/>
        </w:rPr>
        <w:t>和引</w:t>
      </w:r>
      <w:r>
        <w:rPr>
          <w:rStyle w:val="33"/>
          <w:rFonts w:hint="eastAsia" w:ascii="仿宋_GB2312" w:hAnsi="等线" w:eastAsia="仿宋_GB2312" w:cs="PMingLiU"/>
          <w:color w:val="333333"/>
          <w:spacing w:val="8"/>
          <w:sz w:val="32"/>
          <w:szCs w:val="32"/>
        </w:rPr>
        <w:t>导</w:t>
      </w:r>
      <w:r>
        <w:rPr>
          <w:rStyle w:val="33"/>
          <w:rFonts w:hint="eastAsia" w:ascii="仿宋_GB2312" w:hAnsi="等线" w:eastAsia="仿宋_GB2312" w:cs="MS Mincho"/>
          <w:color w:val="333333"/>
          <w:spacing w:val="8"/>
          <w:sz w:val="32"/>
          <w:szCs w:val="32"/>
        </w:rPr>
        <w:t>，不断改</w:t>
      </w:r>
      <w:r>
        <w:rPr>
          <w:rStyle w:val="33"/>
          <w:rFonts w:hint="eastAsia" w:ascii="仿宋_GB2312" w:hAnsi="等线" w:eastAsia="仿宋_GB2312" w:cs="PMingLiU"/>
          <w:color w:val="333333"/>
          <w:spacing w:val="8"/>
          <w:sz w:val="32"/>
          <w:szCs w:val="32"/>
        </w:rPr>
        <w:t>进</w:t>
      </w:r>
      <w:r>
        <w:rPr>
          <w:rStyle w:val="33"/>
          <w:rFonts w:hint="eastAsia" w:ascii="仿宋_GB2312" w:hAnsi="等线" w:eastAsia="仿宋_GB2312" w:cs="MS Mincho"/>
          <w:color w:val="333333"/>
          <w:spacing w:val="8"/>
          <w:sz w:val="32"/>
          <w:szCs w:val="32"/>
        </w:rPr>
        <w:t>学生的体</w:t>
      </w:r>
      <w:r>
        <w:rPr>
          <w:rStyle w:val="33"/>
          <w:rFonts w:hint="eastAsia" w:ascii="仿宋_GB2312" w:hAnsi="等线" w:eastAsia="仿宋_GB2312" w:cs="PMingLiU"/>
          <w:color w:val="333333"/>
          <w:spacing w:val="8"/>
          <w:sz w:val="32"/>
          <w:szCs w:val="32"/>
        </w:rPr>
        <w:t>质</w:t>
      </w:r>
      <w:r>
        <w:rPr>
          <w:rStyle w:val="33"/>
          <w:rFonts w:hint="eastAsia" w:ascii="仿宋_GB2312" w:hAnsi="等线" w:eastAsia="仿宋_GB2312" w:cs="MS Mincho"/>
          <w:color w:val="333333"/>
          <w:spacing w:val="8"/>
          <w:sz w:val="32"/>
          <w:szCs w:val="32"/>
        </w:rPr>
        <w:t>。同</w:t>
      </w:r>
      <w:r>
        <w:rPr>
          <w:rStyle w:val="33"/>
          <w:rFonts w:hint="eastAsia" w:ascii="仿宋_GB2312" w:hAnsi="等线" w:eastAsia="仿宋_GB2312" w:cs="PMingLiU"/>
          <w:color w:val="333333"/>
          <w:spacing w:val="8"/>
          <w:sz w:val="32"/>
          <w:szCs w:val="32"/>
        </w:rPr>
        <w:t>时</w:t>
      </w:r>
      <w:r>
        <w:rPr>
          <w:rStyle w:val="33"/>
          <w:rFonts w:hint="eastAsia" w:ascii="仿宋_GB2312" w:hAnsi="等线" w:eastAsia="仿宋_GB2312" w:cs="MS Mincho"/>
          <w:color w:val="333333"/>
          <w:spacing w:val="8"/>
          <w:sz w:val="32"/>
          <w:szCs w:val="32"/>
        </w:rPr>
        <w:t>学校</w:t>
      </w:r>
      <w:r>
        <w:rPr>
          <w:rStyle w:val="33"/>
          <w:rFonts w:hint="eastAsia" w:ascii="仿宋_GB2312" w:hAnsi="等线" w:eastAsia="仿宋_GB2312" w:cs="PMingLiU"/>
          <w:color w:val="333333"/>
          <w:spacing w:val="8"/>
          <w:sz w:val="32"/>
          <w:szCs w:val="32"/>
        </w:rPr>
        <w:t>还</w:t>
      </w:r>
      <w:r>
        <w:rPr>
          <w:rStyle w:val="33"/>
          <w:rFonts w:hint="eastAsia" w:ascii="仿宋_GB2312" w:hAnsi="等线" w:eastAsia="仿宋_GB2312" w:cs="MS Mincho"/>
          <w:color w:val="333333"/>
          <w:spacing w:val="8"/>
          <w:sz w:val="32"/>
          <w:szCs w:val="32"/>
        </w:rPr>
        <w:t>十分重</w:t>
      </w:r>
      <w:r>
        <w:rPr>
          <w:rStyle w:val="33"/>
          <w:rFonts w:hint="eastAsia" w:ascii="仿宋_GB2312" w:hAnsi="等线" w:eastAsia="仿宋_GB2312" w:cs="PMingLiU"/>
          <w:color w:val="333333"/>
          <w:spacing w:val="8"/>
          <w:sz w:val="32"/>
          <w:szCs w:val="32"/>
        </w:rPr>
        <w:t>视</w:t>
      </w:r>
      <w:r>
        <w:rPr>
          <w:rStyle w:val="33"/>
          <w:rFonts w:hint="eastAsia" w:ascii="仿宋_GB2312" w:hAnsi="等线" w:eastAsia="仿宋_GB2312" w:cs="MS Mincho"/>
          <w:color w:val="333333"/>
          <w:spacing w:val="8"/>
          <w:sz w:val="32"/>
          <w:szCs w:val="32"/>
        </w:rPr>
        <w:t>学生的</w:t>
      </w:r>
      <w:r>
        <w:rPr>
          <w:rStyle w:val="33"/>
          <w:rFonts w:hint="eastAsia" w:ascii="仿宋_GB2312" w:hAnsi="等线" w:eastAsia="仿宋_GB2312" w:cs="PMingLiU"/>
          <w:color w:val="333333"/>
          <w:spacing w:val="8"/>
          <w:sz w:val="32"/>
          <w:szCs w:val="32"/>
        </w:rPr>
        <w:t>爱</w:t>
      </w:r>
      <w:r>
        <w:rPr>
          <w:rStyle w:val="33"/>
          <w:rFonts w:hint="eastAsia" w:ascii="仿宋_GB2312" w:hAnsi="等线" w:eastAsia="仿宋_GB2312" w:cs="MS Mincho"/>
          <w:color w:val="333333"/>
          <w:spacing w:val="8"/>
          <w:sz w:val="32"/>
          <w:szCs w:val="32"/>
        </w:rPr>
        <w:t>眼</w:t>
      </w:r>
      <w:r>
        <w:rPr>
          <w:rStyle w:val="33"/>
          <w:rFonts w:hint="eastAsia" w:ascii="仿宋_GB2312" w:hAnsi="等线" w:eastAsia="仿宋_GB2312" w:cs="PMingLiU"/>
          <w:color w:val="333333"/>
          <w:spacing w:val="8"/>
          <w:sz w:val="32"/>
          <w:szCs w:val="32"/>
        </w:rPr>
        <w:t>护</w:t>
      </w:r>
      <w:r>
        <w:rPr>
          <w:rStyle w:val="33"/>
          <w:rFonts w:hint="eastAsia" w:ascii="仿宋_GB2312" w:hAnsi="等线" w:eastAsia="仿宋_GB2312" w:cs="MS Mincho"/>
          <w:color w:val="333333"/>
          <w:spacing w:val="8"/>
          <w:sz w:val="32"/>
          <w:szCs w:val="32"/>
        </w:rPr>
        <w:t>眼工作，通</w:t>
      </w:r>
      <w:r>
        <w:rPr>
          <w:rStyle w:val="33"/>
          <w:rFonts w:hint="eastAsia" w:ascii="仿宋_GB2312" w:hAnsi="等线" w:eastAsia="仿宋_GB2312" w:cs="PMingLiU"/>
          <w:color w:val="333333"/>
          <w:spacing w:val="8"/>
          <w:sz w:val="32"/>
          <w:szCs w:val="32"/>
        </w:rPr>
        <w:t>过</w:t>
      </w:r>
      <w:r>
        <w:rPr>
          <w:rStyle w:val="33"/>
          <w:rFonts w:hint="eastAsia" w:ascii="仿宋_GB2312" w:hAnsi="等线" w:eastAsia="仿宋_GB2312" w:cs="MS Mincho"/>
          <w:color w:val="333333"/>
          <w:spacing w:val="8"/>
          <w:sz w:val="32"/>
          <w:szCs w:val="32"/>
        </w:rPr>
        <w:t>主</w:t>
      </w:r>
      <w:r>
        <w:rPr>
          <w:rStyle w:val="33"/>
          <w:rFonts w:hint="eastAsia" w:ascii="仿宋_GB2312" w:hAnsi="等线" w:eastAsia="仿宋_GB2312" w:cs="PMingLiU"/>
          <w:color w:val="333333"/>
          <w:spacing w:val="8"/>
          <w:sz w:val="32"/>
          <w:szCs w:val="32"/>
        </w:rPr>
        <w:t>题</w:t>
      </w:r>
      <w:r>
        <w:rPr>
          <w:rStyle w:val="33"/>
          <w:rFonts w:hint="eastAsia" w:ascii="仿宋_GB2312" w:hAnsi="等线" w:eastAsia="仿宋_GB2312" w:cs="MS Mincho"/>
          <w:color w:val="333333"/>
          <w:spacing w:val="8"/>
          <w:sz w:val="32"/>
          <w:szCs w:val="32"/>
        </w:rPr>
        <w:t>班会宣</w:t>
      </w:r>
      <w:r>
        <w:rPr>
          <w:rStyle w:val="33"/>
          <w:rFonts w:hint="eastAsia" w:ascii="仿宋_GB2312" w:hAnsi="等线" w:eastAsia="仿宋_GB2312" w:cs="PMingLiU"/>
          <w:color w:val="333333"/>
          <w:spacing w:val="8"/>
          <w:sz w:val="32"/>
          <w:szCs w:val="32"/>
        </w:rPr>
        <w:t>讲</w:t>
      </w:r>
      <w:r>
        <w:rPr>
          <w:rStyle w:val="33"/>
          <w:rFonts w:hint="eastAsia" w:ascii="仿宋_GB2312" w:hAnsi="等线" w:eastAsia="仿宋_GB2312" w:cs="MS Mincho"/>
          <w:color w:val="333333"/>
          <w:spacing w:val="8"/>
          <w:sz w:val="32"/>
          <w:szCs w:val="32"/>
        </w:rPr>
        <w:t>，增强学生</w:t>
      </w:r>
      <w:r>
        <w:rPr>
          <w:rStyle w:val="33"/>
          <w:rFonts w:hint="eastAsia" w:ascii="仿宋_GB2312" w:hAnsi="等线" w:eastAsia="仿宋_GB2312" w:cs="PMingLiU"/>
          <w:color w:val="333333"/>
          <w:spacing w:val="8"/>
          <w:sz w:val="32"/>
          <w:szCs w:val="32"/>
        </w:rPr>
        <w:t>爱</w:t>
      </w:r>
      <w:r>
        <w:rPr>
          <w:rStyle w:val="33"/>
          <w:rFonts w:hint="eastAsia" w:ascii="仿宋_GB2312" w:hAnsi="等线" w:eastAsia="仿宋_GB2312" w:cs="MS Mincho"/>
          <w:color w:val="333333"/>
          <w:spacing w:val="8"/>
          <w:sz w:val="32"/>
          <w:szCs w:val="32"/>
        </w:rPr>
        <w:t>眼</w:t>
      </w:r>
      <w:r>
        <w:rPr>
          <w:rStyle w:val="33"/>
          <w:rFonts w:hint="eastAsia" w:ascii="仿宋_GB2312" w:hAnsi="等线" w:eastAsia="仿宋_GB2312" w:cs="PMingLiU"/>
          <w:color w:val="333333"/>
          <w:spacing w:val="8"/>
          <w:sz w:val="32"/>
          <w:szCs w:val="32"/>
        </w:rPr>
        <w:t>护</w:t>
      </w:r>
      <w:r>
        <w:rPr>
          <w:rStyle w:val="33"/>
          <w:rFonts w:hint="eastAsia" w:ascii="仿宋_GB2312" w:hAnsi="等线" w:eastAsia="仿宋_GB2312" w:cs="MS Mincho"/>
          <w:color w:val="333333"/>
          <w:spacing w:val="8"/>
          <w:sz w:val="32"/>
          <w:szCs w:val="32"/>
        </w:rPr>
        <w:t>眼的意</w:t>
      </w:r>
      <w:r>
        <w:rPr>
          <w:rStyle w:val="33"/>
          <w:rFonts w:hint="eastAsia" w:ascii="仿宋_GB2312" w:hAnsi="等线" w:eastAsia="仿宋_GB2312" w:cs="PMingLiU"/>
          <w:color w:val="333333"/>
          <w:spacing w:val="8"/>
          <w:sz w:val="32"/>
          <w:szCs w:val="32"/>
        </w:rPr>
        <w:t>识</w:t>
      </w:r>
      <w:r>
        <w:rPr>
          <w:rStyle w:val="33"/>
          <w:rFonts w:hint="eastAsia" w:ascii="仿宋_GB2312" w:hAnsi="等线" w:eastAsia="仿宋_GB2312" w:cs="MS Mincho"/>
          <w:color w:val="333333"/>
          <w:spacing w:val="8"/>
          <w:sz w:val="32"/>
          <w:szCs w:val="32"/>
        </w:rPr>
        <w:t>，并利用</w:t>
      </w:r>
      <w:r>
        <w:rPr>
          <w:rStyle w:val="33"/>
          <w:rFonts w:hint="eastAsia" w:ascii="仿宋_GB2312" w:hAnsi="等线" w:eastAsia="仿宋_GB2312" w:cs="PMingLiU"/>
          <w:color w:val="333333"/>
          <w:spacing w:val="8"/>
          <w:sz w:val="32"/>
          <w:szCs w:val="32"/>
        </w:rPr>
        <w:t>预备</w:t>
      </w:r>
      <w:r>
        <w:rPr>
          <w:rStyle w:val="33"/>
          <w:rFonts w:hint="eastAsia" w:ascii="仿宋_GB2312" w:hAnsi="等线" w:eastAsia="仿宋_GB2312" w:cs="MS Mincho"/>
          <w:color w:val="333333"/>
          <w:spacing w:val="8"/>
          <w:sz w:val="32"/>
          <w:szCs w:val="32"/>
        </w:rPr>
        <w:t>开展眼保健操，将学生眼保健操情况入班主任工作管理。</w:t>
      </w:r>
    </w:p>
    <w:p w14:paraId="49A2E4AC">
      <w:pPr>
        <w:pStyle w:val="13"/>
        <w:shd w:val="clear" w:color="auto" w:fill="FFFFFF"/>
        <w:spacing w:before="0" w:beforeAutospacing="0" w:after="0" w:afterAutospacing="0"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.认真落实“五项管理”“双减”工作，做到“五育并举”。学校通过校会、微信群、QQ群等方式组织教师学习和落实“五项管理”“双减”工作，并通过召开家长会，发放《告家长书》、宣传册等方式，将</w:t>
      </w:r>
      <w:r>
        <w:rPr>
          <w:rFonts w:ascii="仿宋_GB2312" w:hAnsi="仿宋_GB2312" w:eastAsia="仿宋_GB2312" w:cs="仿宋_GB2312"/>
          <w:sz w:val="32"/>
          <w:szCs w:val="32"/>
        </w:rPr>
        <w:t>教育部办公厅关于加强义务教育学校作业</w:t>
      </w:r>
      <w:r>
        <w:rPr>
          <w:rFonts w:hint="eastAsia" w:ascii="仿宋_GB2312" w:hAnsi="仿宋_GB2312" w:eastAsia="仿宋_GB2312" w:cs="仿宋_GB2312"/>
          <w:sz w:val="32"/>
          <w:szCs w:val="32"/>
        </w:rPr>
        <w:t>、手机、睡眠、读物、体质等五项</w:t>
      </w:r>
      <w:r>
        <w:rPr>
          <w:rFonts w:ascii="仿宋_GB2312" w:hAnsi="仿宋_GB2312" w:eastAsia="仿宋_GB2312" w:cs="仿宋_GB2312"/>
          <w:sz w:val="32"/>
          <w:szCs w:val="32"/>
        </w:rPr>
        <w:t>管理的通知</w:t>
      </w:r>
      <w:r>
        <w:rPr>
          <w:rFonts w:hint="eastAsia" w:ascii="仿宋_GB2312" w:hAnsi="仿宋_GB2312" w:eastAsia="仿宋_GB2312" w:cs="仿宋_GB2312"/>
          <w:sz w:val="32"/>
          <w:szCs w:val="32"/>
        </w:rPr>
        <w:t>精神，告知家长和校外培训机构，校内、校外配合，落实“五项管理”和减轻作业负担、减轻校外培训负担的“双减”工作，做到 “五育并举”，我校本学期无学生参加校外辅导机构。</w:t>
      </w:r>
    </w:p>
    <w:p w14:paraId="1F29C4E3">
      <w:pPr>
        <w:widowControl/>
        <w:spacing w:line="360" w:lineRule="auto"/>
        <w:ind w:firstLine="480" w:firstLineChars="150"/>
        <w:jc w:val="left"/>
        <w:outlineLvl w:val="0"/>
        <w:rPr>
          <w:rFonts w:ascii="楷体_GB2312" w:hAnsi="仿宋_GB2312" w:eastAsia="楷体_GB2312" w:cs="仿宋_GB2312"/>
          <w:sz w:val="32"/>
          <w:szCs w:val="32"/>
        </w:rPr>
      </w:pPr>
      <w:r>
        <w:rPr>
          <w:rFonts w:hint="eastAsia" w:ascii="楷体_GB2312" w:hAnsi="仿宋_GB2312" w:eastAsia="楷体_GB2312" w:cs="仿宋_GB2312"/>
          <w:sz w:val="32"/>
          <w:szCs w:val="32"/>
        </w:rPr>
        <w:t>（三）加强安防设备设施配备，做好疫情防控工作，落实安全责任，加强安全事故应急处置，防范校园欺凌，加强心理健康教育；认真做好安全隐患排查、检查及整改工作</w:t>
      </w:r>
    </w:p>
    <w:p w14:paraId="10BB9A01">
      <w:pPr>
        <w:widowControl/>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1.根据学校安全工作要求，“三防”防设备设施配备齐全；学校还建立专门的微型消防站。</w:t>
      </w:r>
    </w:p>
    <w:p w14:paraId="67C867D6">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按照上级最新版疫情防控指南，结合实际情况制定了《盐边县民族中学新冠肺炎疫情应急处置预案》《盐边县民族中学校新型冠状病毒疫情防控工作应急处置预案》《盐边县民族中学新冠肺炎疫情防控具体工作方案》，认真落实疫情防控工作。</w:t>
      </w:r>
    </w:p>
    <w:p w14:paraId="128054C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校高度重视安全工作，开展了安全教育和安全隐患大排查大整治活动。按照县教体局的要求狠抓校园安全常规工作，校园安全管理机制、制度建设、人员配备、责任落实、隐患排查等方面进一步得到加强。特别突出了校园欺凌、新生入学教育、食品安全及食堂管理、交通安全等重点内容，校园安全基本实现了规范化、科学化、常态化。</w:t>
      </w:r>
    </w:p>
    <w:p w14:paraId="07D79407">
      <w:pPr>
        <w:widowControl/>
        <w:spacing w:line="360" w:lineRule="auto"/>
        <w:ind w:firstLine="480" w:firstLineChars="150"/>
        <w:rPr>
          <w:rFonts w:ascii="楷体_GB2312" w:hAnsi="仿宋_GB2312" w:eastAsia="楷体_GB2312" w:cs="仿宋_GB2312"/>
          <w:sz w:val="32"/>
          <w:szCs w:val="32"/>
        </w:rPr>
      </w:pPr>
      <w:r>
        <w:rPr>
          <w:rFonts w:hint="eastAsia" w:ascii="楷体_GB2312" w:hAnsi="仿宋_GB2312" w:eastAsia="楷体_GB2312" w:cs="仿宋_GB2312"/>
          <w:sz w:val="32"/>
          <w:szCs w:val="32"/>
        </w:rPr>
        <w:t>（四）加强师德师风建设及教师培训，职称评聘规范，切实减轻中学教师负担，绩效工资发放管理符合要求</w:t>
      </w:r>
    </w:p>
    <w:p w14:paraId="483361C6">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1.学校利用校会和寒暑假校本培训时间，组织教师学习《未成年人保护法》《义务教育法》《教师法》等法律法规，加强师德师风教育，学校教师没有因为违反师德师风而受到处理。</w:t>
      </w:r>
    </w:p>
    <w:p w14:paraId="233EFE4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2.学校制定了《盐边县民族中学校关于教师职称评聘实施方案》《盐边县民族中学校奖励性绩效工资分配发放方案》，公平公正公开落实教师职称评定和绩效工资发放。</w:t>
      </w:r>
    </w:p>
    <w:p w14:paraId="33A5645F">
      <w:pPr>
        <w:widowControl/>
        <w:spacing w:line="360" w:lineRule="auto"/>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（五）教育教学常规、德育常规、艺、体、卫生管理规范，促进学前教育普及普惠发展，推进义务教育优质均衡发展，规范学校收费，加强农村义务教育学生营养餐改善工作计划</w:t>
      </w:r>
    </w:p>
    <w:p w14:paraId="486D4E7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1.完善各项制度，使学校</w:t>
      </w:r>
      <w:r>
        <w:rPr>
          <w:rFonts w:ascii="仿宋_GB2312" w:hAnsi="仿宋_GB2312" w:eastAsia="仿宋_GB2312" w:cs="仿宋_GB2312"/>
          <w:sz w:val="32"/>
          <w:szCs w:val="32"/>
        </w:rPr>
        <w:t>的管理更加科学</w:t>
      </w:r>
      <w:r>
        <w:rPr>
          <w:rFonts w:hint="eastAsia" w:ascii="仿宋_GB2312" w:hAnsi="仿宋_GB2312" w:eastAsia="仿宋_GB2312" w:cs="仿宋_GB2312"/>
          <w:sz w:val="32"/>
          <w:szCs w:val="32"/>
        </w:rPr>
        <w:t>化、</w:t>
      </w:r>
      <w:r>
        <w:rPr>
          <w:rFonts w:ascii="仿宋_GB2312" w:hAnsi="仿宋_GB2312" w:eastAsia="仿宋_GB2312" w:cs="仿宋_GB2312"/>
          <w:sz w:val="32"/>
          <w:szCs w:val="32"/>
        </w:rPr>
        <w:t>人性化</w:t>
      </w:r>
      <w:r>
        <w:rPr>
          <w:rFonts w:hint="eastAsia" w:ascii="仿宋_GB2312" w:hAnsi="仿宋_GB2312" w:eastAsia="仿宋_GB2312" w:cs="仿宋_GB2312"/>
          <w:sz w:val="32"/>
          <w:szCs w:val="32"/>
        </w:rPr>
        <w:t>；组织教师参加县教育主管部门组织的各种教师培训；积极组织教师参加“听评课”活动，切实开展教研活动；强化教学考评、监督工作，对全体教师的备课、上课、作业批改、成绩考核等业务开展多次检查，并记入档案，作为教师评优、评先的依据；学校领导不定期走进课堂，了解教学各方面的情况，加强监督与指导。</w:t>
      </w:r>
    </w:p>
    <w:p w14:paraId="1FC748B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2.按《中学生守则》《中小学生日常行为规范》，抓好德育常规工作，检查结果纳入期终班主任考核。</w:t>
      </w:r>
    </w:p>
    <w:p w14:paraId="0DF0CDD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3.禁止分优差班、快慢班，学校按照男女生、族别、居住地等均衡分班，班主任聘用任课教师，学校统筹安排。</w:t>
      </w:r>
    </w:p>
    <w:p w14:paraId="141D5D85">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4.规范收费行为，禁止教师乱收费，每期收费项目都要在校务公开栏进行公示。</w:t>
      </w:r>
    </w:p>
    <w:p w14:paraId="1218B0D5">
      <w:pPr>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5.积极落实惠民政策，让学生享受“三免两补”的同时，全面落实农村义务教育学生营养餐改善工作计划。2</w:t>
      </w:r>
      <w:r>
        <w:rPr>
          <w:rFonts w:ascii="仿宋_GB2312" w:hAnsi="仿宋_GB2312" w:eastAsia="仿宋_GB2312" w:cs="仿宋_GB2312"/>
          <w:sz w:val="32"/>
          <w:szCs w:val="32"/>
        </w:rPr>
        <w:t>020-2021</w:t>
      </w:r>
      <w:r>
        <w:rPr>
          <w:rFonts w:hint="eastAsia" w:ascii="仿宋_GB2312" w:hAnsi="仿宋_GB2312" w:eastAsia="仿宋_GB2312" w:cs="仿宋_GB2312"/>
          <w:sz w:val="32"/>
          <w:szCs w:val="32"/>
        </w:rPr>
        <w:t>学年度</w:t>
      </w:r>
      <w:r>
        <w:rPr>
          <w:rFonts w:hint="eastAsia" w:ascii="仿宋_GB2312" w:eastAsia="仿宋_GB2312"/>
          <w:sz w:val="32"/>
          <w:szCs w:val="32"/>
        </w:rPr>
        <w:t xml:space="preserve">农村义务教育学生享受国家营养改善计划，每周一至周四下午到食堂享受热食，支出约 </w:t>
      </w:r>
      <w:r>
        <w:rPr>
          <w:rFonts w:ascii="仿宋_GB2312" w:eastAsia="仿宋_GB2312"/>
          <w:sz w:val="32"/>
          <w:szCs w:val="32"/>
        </w:rPr>
        <w:t>39.23</w:t>
      </w:r>
      <w:r>
        <w:rPr>
          <w:rFonts w:hint="eastAsia" w:ascii="仿宋_GB2312" w:eastAsia="仿宋_GB2312"/>
          <w:sz w:val="32"/>
          <w:szCs w:val="32"/>
        </w:rPr>
        <w:t>万元；义务教育家庭经济困难寄宿生和非寄宿生享受生活补助累计</w:t>
      </w:r>
      <w:r>
        <w:rPr>
          <w:rFonts w:ascii="仿宋_GB2312" w:eastAsia="仿宋_GB2312"/>
          <w:sz w:val="32"/>
          <w:szCs w:val="32"/>
        </w:rPr>
        <w:t>777</w:t>
      </w:r>
      <w:r>
        <w:rPr>
          <w:rFonts w:hint="eastAsia" w:ascii="仿宋_GB2312" w:eastAsia="仿宋_GB2312"/>
          <w:sz w:val="32"/>
          <w:szCs w:val="32"/>
        </w:rPr>
        <w:t xml:space="preserve">人次，支出 </w:t>
      </w:r>
      <w:r>
        <w:rPr>
          <w:rFonts w:ascii="仿宋_GB2312" w:eastAsia="仿宋_GB2312"/>
          <w:sz w:val="32"/>
          <w:szCs w:val="32"/>
        </w:rPr>
        <w:t>44.96</w:t>
      </w:r>
      <w:r>
        <w:rPr>
          <w:rFonts w:hint="eastAsia" w:ascii="仿宋_GB2312" w:eastAsia="仿宋_GB2312"/>
          <w:sz w:val="32"/>
          <w:szCs w:val="32"/>
        </w:rPr>
        <w:t>万元；家庭困难学生享受国家肉食补贴累计</w:t>
      </w:r>
      <w:r>
        <w:rPr>
          <w:rFonts w:ascii="仿宋_GB2312" w:eastAsia="仿宋_GB2312"/>
          <w:sz w:val="32"/>
          <w:szCs w:val="32"/>
        </w:rPr>
        <w:t>1035</w:t>
      </w:r>
      <w:r>
        <w:rPr>
          <w:rFonts w:hint="eastAsia" w:ascii="仿宋_GB2312" w:eastAsia="仿宋_GB2312"/>
          <w:sz w:val="32"/>
          <w:szCs w:val="32"/>
        </w:rPr>
        <w:t>人次，支出</w:t>
      </w:r>
      <w:r>
        <w:rPr>
          <w:rFonts w:ascii="仿宋_GB2312" w:eastAsia="仿宋_GB2312"/>
          <w:sz w:val="32"/>
          <w:szCs w:val="32"/>
        </w:rPr>
        <w:t>14.43</w:t>
      </w:r>
      <w:r>
        <w:rPr>
          <w:rFonts w:hint="eastAsia" w:ascii="仿宋_GB2312" w:eastAsia="仿宋_GB2312"/>
          <w:sz w:val="32"/>
          <w:szCs w:val="32"/>
        </w:rPr>
        <w:t>万元。</w:t>
      </w:r>
    </w:p>
    <w:p w14:paraId="44EAC724">
      <w:pPr>
        <w:widowControl/>
        <w:spacing w:line="360" w:lineRule="auto"/>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（六）推进两项改革“后半篇”文章学校布局调整，校园环境净化美化，实验室、图书室、音体美劳卫生器材、多媒体教室等功能室管理符合要求</w:t>
      </w:r>
    </w:p>
    <w:p w14:paraId="05E6C9DA">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民族中学与盐边中学初中部整合得到推进，初一年级学生暂时在盐边中学就读由其代管，原民中所在地作为盐边县第一初级中学校新校址，正在规划之中。</w:t>
      </w:r>
    </w:p>
    <w:p w14:paraId="56D12754">
      <w:pPr>
        <w:widowControl/>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学校</w:t>
      </w:r>
      <w:r>
        <w:rPr>
          <w:rFonts w:hint="eastAsia" w:ascii="仿宋_GB2312" w:hAnsi="仿宋_GB2312" w:eastAsia="仿宋_GB2312" w:cs="仿宋_GB2312"/>
          <w:sz w:val="32"/>
          <w:szCs w:val="32"/>
        </w:rPr>
        <w:t>重视民族特色</w:t>
      </w:r>
      <w:r>
        <w:rPr>
          <w:rFonts w:ascii="仿宋_GB2312" w:hAnsi="仿宋_GB2312" w:eastAsia="仿宋_GB2312" w:cs="仿宋_GB2312"/>
          <w:sz w:val="32"/>
          <w:szCs w:val="32"/>
        </w:rPr>
        <w:t>校园环境</w:t>
      </w:r>
      <w:r>
        <w:rPr>
          <w:rFonts w:hint="eastAsia" w:ascii="仿宋_GB2312" w:hAnsi="仿宋_GB2312" w:eastAsia="仿宋_GB2312" w:cs="仿宋_GB2312"/>
          <w:sz w:val="32"/>
          <w:szCs w:val="32"/>
        </w:rPr>
        <w:t>打造</w:t>
      </w:r>
      <w:r>
        <w:rPr>
          <w:rFonts w:ascii="仿宋_GB2312" w:hAnsi="仿宋_GB2312" w:eastAsia="仿宋_GB2312" w:cs="仿宋_GB2312"/>
          <w:sz w:val="32"/>
          <w:szCs w:val="32"/>
        </w:rPr>
        <w:t>，文化氛围</w:t>
      </w:r>
      <w:r>
        <w:rPr>
          <w:rFonts w:hint="eastAsia" w:ascii="仿宋_GB2312" w:hAnsi="仿宋_GB2312" w:eastAsia="仿宋_GB2312" w:cs="仿宋_GB2312"/>
          <w:sz w:val="32"/>
          <w:szCs w:val="32"/>
        </w:rPr>
        <w:t>较</w:t>
      </w:r>
      <w:r>
        <w:rPr>
          <w:rFonts w:ascii="仿宋_GB2312" w:hAnsi="仿宋_GB2312" w:eastAsia="仿宋_GB2312" w:cs="仿宋_GB2312"/>
          <w:sz w:val="32"/>
          <w:szCs w:val="32"/>
        </w:rPr>
        <w:t>浓厚，功能室齐全。设有实验室、仪器室、图书室、多媒体教室、微机室</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。教辅人员的服务水平和功能室的育人</w:t>
      </w:r>
      <w:r>
        <w:rPr>
          <w:rFonts w:hint="eastAsia" w:ascii="仿宋_GB2312" w:hAnsi="仿宋_GB2312" w:eastAsia="仿宋_GB2312" w:cs="仿宋_GB2312"/>
          <w:sz w:val="32"/>
          <w:szCs w:val="32"/>
        </w:rPr>
        <w:t>作用不断提高</w:t>
      </w:r>
      <w:r>
        <w:rPr>
          <w:rFonts w:ascii="仿宋_GB2312" w:hAnsi="仿宋_GB2312" w:eastAsia="仿宋_GB2312" w:cs="仿宋_GB2312"/>
          <w:sz w:val="32"/>
          <w:szCs w:val="32"/>
        </w:rPr>
        <w:t>。学校专门</w:t>
      </w:r>
      <w:r>
        <w:rPr>
          <w:rFonts w:hint="eastAsia" w:ascii="仿宋_GB2312" w:hAnsi="仿宋_GB2312" w:eastAsia="仿宋_GB2312" w:cs="仿宋_GB2312"/>
          <w:sz w:val="32"/>
          <w:szCs w:val="32"/>
        </w:rPr>
        <w:t>指定教科室</w:t>
      </w:r>
      <w:r>
        <w:rPr>
          <w:rFonts w:ascii="仿宋_GB2312" w:hAnsi="仿宋_GB2312" w:eastAsia="仿宋_GB2312" w:cs="仿宋_GB2312"/>
          <w:sz w:val="32"/>
          <w:szCs w:val="32"/>
        </w:rPr>
        <w:t>进行教辅</w:t>
      </w:r>
      <w:r>
        <w:rPr>
          <w:rFonts w:hint="eastAsia" w:ascii="仿宋_GB2312" w:hAnsi="仿宋_GB2312" w:eastAsia="仿宋_GB2312" w:cs="仿宋_GB2312"/>
          <w:sz w:val="32"/>
          <w:szCs w:val="32"/>
        </w:rPr>
        <w:t>人员</w:t>
      </w:r>
      <w:r>
        <w:rPr>
          <w:rFonts w:ascii="仿宋_GB2312" w:hAnsi="仿宋_GB2312" w:eastAsia="仿宋_GB2312" w:cs="仿宋_GB2312"/>
          <w:sz w:val="32"/>
          <w:szCs w:val="32"/>
        </w:rPr>
        <w:t>管理，并制定了各</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室管理制度，使功能室</w:t>
      </w:r>
      <w:r>
        <w:rPr>
          <w:rFonts w:hint="eastAsia" w:ascii="仿宋_GB2312" w:hAnsi="仿宋_GB2312" w:eastAsia="仿宋_GB2312" w:cs="仿宋_GB2312"/>
          <w:sz w:val="32"/>
          <w:szCs w:val="32"/>
        </w:rPr>
        <w:t>更好地服务</w:t>
      </w:r>
      <w:r>
        <w:rPr>
          <w:rFonts w:ascii="仿宋_GB2312" w:hAnsi="仿宋_GB2312" w:eastAsia="仿宋_GB2312" w:cs="仿宋_GB2312"/>
          <w:sz w:val="32"/>
          <w:szCs w:val="32"/>
        </w:rPr>
        <w:t>于教育教学工作。</w:t>
      </w:r>
    </w:p>
    <w:p w14:paraId="19DEB64E">
      <w:pPr>
        <w:widowControl/>
        <w:spacing w:line="360" w:lineRule="auto"/>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（七）学校办学及校园文化有特色</w:t>
      </w:r>
    </w:p>
    <w:p w14:paraId="3395CB86">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学校本着“立德共生、开拓创新、彰显特色、和谐发展”的办学理念，以学生为本，紧紧围绕教育教学工作，全校师生员工奋力拼搏，办学效益不断提高，校容校貌有很大的改观，办学特色逐步彰显。</w:t>
      </w:r>
    </w:p>
    <w:p w14:paraId="6D721FC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1.领导带头抓，帮扶促招生</w:t>
      </w:r>
    </w:p>
    <w:p w14:paraId="27EBF5F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是学校的生命线，为了扩大我校七年级新生入口数量，提高七年级新生入口质量，学校成立招生工作领导小组，由校长担任组长，副校长和中层干部担任副组长，带领组员及部分教师到各个片区进行招生宣传，守规、有序、扎实、有效地搞好七年级新生的招生工作。还建立帮扶机制，成立以学校干部、党员为成员的帮扶小组，对优秀学生、困难家庭学生进行帮扶，校级干部每人帮扶二名学生，中层干部、党员每人帮扶一名学生。</w:t>
      </w:r>
    </w:p>
    <w:p w14:paraId="156969E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2.强化常规管理，做好教学工作</w:t>
      </w:r>
    </w:p>
    <w:p w14:paraId="1C654C9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补充和完善各项教育教学规章制度，以制度管理人和事，使学校管理走上科学化和规范化的道路。全体教师都认真执行和落实有关规定，认真做好教研、备课、上课、作业批改、辅导学生、教学监测等工作。</w:t>
      </w:r>
    </w:p>
    <w:p w14:paraId="2EB1AD1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3.加强教研工作，努力提高教研水平</w:t>
      </w:r>
    </w:p>
    <w:p w14:paraId="45E1722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全体教师都编排到各个教研备课组，定时间、定地点、定内容按时参加每周的教研活动。开展公开课的说课、上课、评课，每位教师每学期不得少于1节公开课。骨干教师、学科带头人还要加强对年轻教师的指导和培训。</w:t>
      </w:r>
    </w:p>
    <w:p w14:paraId="56825A1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学期都开展有特色的教学大比武活动，在大比武活动中还邀请县教研室的教研员参加，对教师进行打分、点评、指导，得到县教研室的一致好评。2020-2021学年共有60人次参加了学校大比武活动，并选派优秀的教师参加了市、县的教学大比武活动。通过教研活动提高教师们的业务水平。教师素养得到提升，教学质量稳步提高。</w:t>
      </w:r>
    </w:p>
    <w:p w14:paraId="6CB7B6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校进一步完善教学常规管理制度，制定领导干部、教研组长“推门听课”制度，主要针对每次质量检测靠后的班级及科目，随机推门听课后，当堂打分，将结果纳入教师年度绩效考核，并与任课教师进行交流，提出整改意见，同时要求任课教师根据意见进行整改，至合格为止。这一措施极大地促进我校教师的专业发展，教师的角色已由“讲师”变为学生学习的组织者、引导者，合作者，基本消除“满堂灌”的教学模式。本学年度共进行“推门听课”40次。</w:t>
      </w:r>
    </w:p>
    <w:p w14:paraId="2E40452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4.特色活动，提兴趣</w:t>
      </w:r>
    </w:p>
    <w:p w14:paraId="1B5ACB3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2020年9月起，周一至周五下午最后一节安排社团活动课程，学生自愿选择项目参加课外活动。利用周末时间针对留宿学生开设声乐、舞蹈、葫芦丝、非洲鼓、古筝、蹴球、吉他、篮球等十余项特色教育活动，既培养学生特长，又提高学生的学习兴趣。</w:t>
      </w:r>
    </w:p>
    <w:p w14:paraId="091E02C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5.科技创新，新突破</w:t>
      </w:r>
    </w:p>
    <w:p w14:paraId="0BE01C0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物理教师付召文担任科技创新辅导员，每周带领科技创新小组组员，利用社团活动时间开展生活小发明、小制作等活动，该教师论文《盐边县民族中学校学生科技实践活动方案》获攀枝花市第三十五届青少年科技创新大赛“科技辅导员创新成果二等奖”，其指导学生作品“声光地震报警器”“红外线声光报警器”“空气清新机”分别获学生科技创新成果二等奖。</w:t>
      </w:r>
    </w:p>
    <w:p w14:paraId="7FC8D4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6.蹴球运动，促发展</w:t>
      </w:r>
    </w:p>
    <w:p w14:paraId="70025D9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蹴球运动是少数民族传统体育项目， 2020年4月“四川省少数民族传统体育蹴球项目训练基地”挂牌我校，现正在筹划训练基地的建设事宜。学校在2019年完成蹴球校本教材的编写。通过民族体育品牌的打造，发展学生的特长，唤起民族学生的自尊心、自信心和民族自豪感，促进民族团结的同时，激发学习兴趣，提高学习动力。</w:t>
      </w:r>
      <w:r>
        <w:rPr>
          <w:rFonts w:ascii="仿宋_GB2312" w:hAnsi="仿宋_GB2312" w:eastAsia="仿宋_GB2312" w:cs="仿宋_GB2312"/>
          <w:sz w:val="32"/>
          <w:szCs w:val="32"/>
        </w:rPr>
        <w:t>盐边县民族中学校蹴球队在2021年7月15日至7月21日甘孜州举行的“川体集团杯”四川省第三届全民健身运动会暨“我要上全运”社区运动会蹴球比赛中喜获获得三金二银二铜的佳绩。</w:t>
      </w:r>
    </w:p>
    <w:p w14:paraId="3410CD1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7.特色课间，提质量</w:t>
      </w:r>
    </w:p>
    <w:p w14:paraId="726EC6D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自2017年9月起，充分利用大课间活动备战体育中考。首先，伴随欢快的音乐节奏，全校学生集体在运动场跑操。其次，对各班进行分组，每班轮换场地进行体考项目训练。每天班主任、体育教师和科任教师现场督导。这样的大课间改革，学生身体素质得到较大提升，体育中考成绩连续三年名列全县前茅，成为学校教育教学综合质量整体提升的“加速器”。</w:t>
      </w:r>
    </w:p>
    <w:p w14:paraId="215E55C6">
      <w:pPr>
        <w:widowControl/>
        <w:spacing w:line="360" w:lineRule="auto"/>
        <w:ind w:firstLine="480" w:firstLineChars="150"/>
        <w:rPr>
          <w:rFonts w:ascii="楷体_GB2312" w:hAnsi="仿宋_GB2312" w:eastAsia="楷体_GB2312" w:cs="仿宋_GB2312"/>
          <w:sz w:val="32"/>
          <w:szCs w:val="32"/>
        </w:rPr>
      </w:pPr>
      <w:r>
        <w:rPr>
          <w:rFonts w:hint="eastAsia" w:ascii="楷体_GB2312" w:hAnsi="仿宋_GB2312" w:eastAsia="楷体_GB2312" w:cs="仿宋_GB2312"/>
          <w:sz w:val="32"/>
          <w:szCs w:val="32"/>
        </w:rPr>
        <w:t>（八）积极推进国家通用语言文字教育，深入开展民族团结进步教育</w:t>
      </w:r>
    </w:p>
    <w:p w14:paraId="793673D7">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我校教师普通话达标率1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14:paraId="12B43EF3">
      <w:pPr>
        <w:widowControl/>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.要求教师校内尽量用普通话进行交流，上课必须讲普通话，积极推进国家通用语言文字教育。</w:t>
      </w:r>
    </w:p>
    <w:p w14:paraId="3734F763">
      <w:pPr>
        <w:widowControl/>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.全面落实民族团结工作。分班时各班均有少数民族学生；寝室内汉族和少数民族学生同住宿；学校宣传栏积极宣传国家民族团结政策，铸牢中华民族共同体意识！</w:t>
      </w:r>
    </w:p>
    <w:p w14:paraId="7CC3DFC1">
      <w:pPr>
        <w:widowControl/>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三、机构设置情况</w:t>
      </w:r>
    </w:p>
    <w:p w14:paraId="30BE1865">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盐边县民族中学校下属二级单位0个，其中行政单位0个，参照公务员发管理的事业单位0个，其他事业单位0个。</w:t>
      </w:r>
    </w:p>
    <w:p w14:paraId="131E0D6A">
      <w:pPr>
        <w:widowControl/>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58FD941F">
      <w:pPr>
        <w:pStyle w:val="3"/>
        <w:ind w:right="440"/>
        <w:jc w:val="right"/>
        <w:rPr>
          <w:rStyle w:val="18"/>
          <w:rFonts w:ascii="黑体" w:hAnsi="黑体" w:eastAsia="黑体"/>
          <w:b w:val="0"/>
          <w:bCs w:val="0"/>
        </w:rPr>
      </w:pPr>
      <w:bookmarkStart w:id="23" w:name="_Toc15377204"/>
      <w:bookmarkStart w:id="24" w:name="_Toc52180073"/>
      <w:bookmarkStart w:id="25" w:name="_Toc15396602"/>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8"/>
          <w:rFonts w:ascii="黑体" w:hAnsi="黑体" w:eastAsia="黑体" w:cs="黑体"/>
          <w:b w:val="0"/>
          <w:bCs w:val="0"/>
        </w:rPr>
        <w:t>20</w:t>
      </w:r>
      <w:r>
        <w:rPr>
          <w:rStyle w:val="18"/>
          <w:rFonts w:hint="eastAsia" w:ascii="黑体" w:hAnsi="黑体" w:eastAsia="黑体" w:cs="黑体"/>
          <w:b w:val="0"/>
          <w:bCs w:val="0"/>
        </w:rPr>
        <w:t>21年度单位决算情况说明</w:t>
      </w:r>
      <w:bookmarkEnd w:id="23"/>
      <w:bookmarkEnd w:id="24"/>
      <w:bookmarkEnd w:id="25"/>
    </w:p>
    <w:p w14:paraId="2F3C12D9"/>
    <w:p w14:paraId="08512F31">
      <w:pPr>
        <w:pStyle w:val="30"/>
        <w:numPr>
          <w:ilvl w:val="0"/>
          <w:numId w:val="1"/>
        </w:numPr>
        <w:spacing w:line="600" w:lineRule="exact"/>
        <w:ind w:firstLineChars="0"/>
        <w:outlineLvl w:val="1"/>
        <w:rPr>
          <w:rStyle w:val="19"/>
          <w:rFonts w:ascii="黑体" w:hAnsi="黑体" w:eastAsia="黑体" w:cs="Times New Roman"/>
          <w:b w:val="0"/>
          <w:bCs w:val="0"/>
        </w:rPr>
      </w:pPr>
      <w:bookmarkStart w:id="26" w:name="_Toc52180074"/>
      <w:bookmarkStart w:id="27" w:name="_Toc15396603"/>
      <w:bookmarkStart w:id="28" w:name="_Toc15377205"/>
      <w:r>
        <w:rPr>
          <w:rFonts w:hint="eastAsia" w:ascii="黑体" w:hAnsi="黑体" w:eastAsia="黑体" w:cs="黑体"/>
          <w:color w:val="000000"/>
          <w:sz w:val="32"/>
          <w:szCs w:val="32"/>
        </w:rPr>
        <w:t>收</w:t>
      </w:r>
      <w:r>
        <w:rPr>
          <w:rStyle w:val="19"/>
          <w:rFonts w:hint="eastAsia" w:ascii="黑体" w:hAnsi="黑体" w:eastAsia="黑体" w:cs="黑体"/>
          <w:b w:val="0"/>
          <w:bCs w:val="0"/>
        </w:rPr>
        <w:t>入支出决算总体情况说明</w:t>
      </w:r>
      <w:bookmarkEnd w:id="26"/>
      <w:bookmarkEnd w:id="27"/>
      <w:bookmarkEnd w:id="28"/>
    </w:p>
    <w:p w14:paraId="360C02FD">
      <w:pPr>
        <w:spacing w:line="600" w:lineRule="exact"/>
        <w:ind w:firstLine="640" w:firstLineChars="200"/>
        <w:rPr>
          <w:rFonts w:ascii="宋体"/>
          <w:color w:val="000000"/>
          <w:sz w:val="32"/>
          <w:szCs w:val="32"/>
        </w:rPr>
      </w:pPr>
      <w:r>
        <w:rPr>
          <w:rFonts w:ascii="宋体" w:hAnsi="宋体" w:cs="宋体"/>
          <w:color w:val="000000"/>
          <w:sz w:val="32"/>
          <w:szCs w:val="32"/>
        </w:rPr>
        <w:t>20</w:t>
      </w:r>
      <w:r>
        <w:rPr>
          <w:rFonts w:hint="eastAsia" w:ascii="宋体" w:hAnsi="宋体" w:cs="宋体"/>
          <w:color w:val="000000"/>
          <w:sz w:val="32"/>
          <w:szCs w:val="32"/>
        </w:rPr>
        <w:t>21年度收、支总计 1070.12万元。与</w:t>
      </w:r>
      <w:r>
        <w:rPr>
          <w:rFonts w:ascii="宋体" w:hAnsi="宋体" w:cs="宋体"/>
          <w:color w:val="000000"/>
          <w:sz w:val="32"/>
          <w:szCs w:val="32"/>
        </w:rPr>
        <w:t>20</w:t>
      </w:r>
      <w:r>
        <w:rPr>
          <w:rFonts w:hint="eastAsia" w:ascii="宋体" w:hAnsi="宋体" w:cs="宋体"/>
          <w:color w:val="000000"/>
          <w:sz w:val="32"/>
          <w:szCs w:val="32"/>
        </w:rPr>
        <w:t>20年度财政拨款收、支总计1029.16万元相比，财政拨款收、支总计增加40.96万元，增加3.98</w:t>
      </w:r>
      <w:r>
        <w:rPr>
          <w:rFonts w:ascii="宋体" w:hAnsi="宋体" w:cs="宋体"/>
          <w:color w:val="000000"/>
          <w:sz w:val="32"/>
          <w:szCs w:val="32"/>
        </w:rPr>
        <w:t>%</w:t>
      </w:r>
      <w:r>
        <w:rPr>
          <w:rFonts w:hint="eastAsia" w:ascii="宋体" w:hAnsi="宋体" w:cs="宋体"/>
          <w:color w:val="000000"/>
          <w:sz w:val="32"/>
          <w:szCs w:val="32"/>
        </w:rPr>
        <w:t>。主要原因为基本支出增加及年初结余结转资金增加。</w:t>
      </w:r>
    </w:p>
    <w:p w14:paraId="6ADF4A78">
      <w:pPr>
        <w:pStyle w:val="30"/>
        <w:numPr>
          <w:ilvl w:val="0"/>
          <w:numId w:val="1"/>
        </w:numPr>
        <w:spacing w:line="600" w:lineRule="exact"/>
        <w:ind w:firstLineChars="0"/>
        <w:outlineLvl w:val="1"/>
        <w:rPr>
          <w:rStyle w:val="19"/>
          <w:rFonts w:ascii="黑体" w:hAnsi="黑体" w:eastAsia="黑体" w:cs="Times New Roman"/>
          <w:b w:val="0"/>
          <w:bCs w:val="0"/>
        </w:rPr>
      </w:pPr>
      <w:bookmarkStart w:id="29" w:name="_Toc15396604"/>
      <w:bookmarkStart w:id="30" w:name="_Toc15377206"/>
      <w:bookmarkStart w:id="31" w:name="_Toc52180075"/>
      <w:r>
        <w:rPr>
          <w:rFonts w:hint="eastAsia" w:ascii="黑体" w:hAnsi="黑体" w:eastAsia="黑体" w:cs="黑体"/>
          <w:color w:val="000000"/>
          <w:sz w:val="32"/>
          <w:szCs w:val="32"/>
        </w:rPr>
        <w:t>收</w:t>
      </w:r>
      <w:r>
        <w:rPr>
          <w:rStyle w:val="19"/>
          <w:rFonts w:hint="eastAsia" w:ascii="黑体" w:hAnsi="黑体" w:eastAsia="黑体" w:cs="黑体"/>
          <w:b w:val="0"/>
          <w:bCs w:val="0"/>
        </w:rPr>
        <w:t>入决算情况说明</w:t>
      </w:r>
      <w:bookmarkEnd w:id="29"/>
      <w:bookmarkEnd w:id="30"/>
      <w:bookmarkEnd w:id="31"/>
    </w:p>
    <w:p w14:paraId="1F4AFA73">
      <w:pPr>
        <w:spacing w:line="600" w:lineRule="exact"/>
        <w:ind w:firstLine="640" w:firstLineChars="200"/>
        <w:outlineLvl w:val="1"/>
        <w:rPr>
          <w:rFonts w:ascii="仿宋" w:hAnsi="仿宋" w:eastAsia="仿宋" w:cs="仿宋"/>
          <w:color w:val="000000"/>
          <w:sz w:val="32"/>
          <w:szCs w:val="32"/>
        </w:rPr>
      </w:pPr>
      <w:bookmarkStart w:id="32" w:name="_Toc52180076"/>
      <w:r>
        <w:rPr>
          <w:rFonts w:hint="eastAsia" w:ascii="仿宋" w:hAnsi="仿宋" w:eastAsia="仿宋" w:cs="仿宋"/>
          <w:color w:val="000000"/>
          <w:sz w:val="32"/>
          <w:szCs w:val="32"/>
        </w:rPr>
        <w:t>2021年本年收入合计1048.48万元，其中：一般公共预算财政拨款收入1048.18万元，占97.98</w:t>
      </w:r>
      <w:r>
        <w:rPr>
          <w:rFonts w:ascii="仿宋" w:hAnsi="仿宋" w:eastAsia="仿宋" w:cs="仿宋"/>
          <w:color w:val="000000"/>
          <w:sz w:val="32"/>
          <w:szCs w:val="32"/>
        </w:rPr>
        <w:t>%</w:t>
      </w:r>
      <w:r>
        <w:rPr>
          <w:rFonts w:hint="eastAsia" w:ascii="仿宋" w:hAnsi="仿宋" w:eastAsia="仿宋" w:cs="仿宋"/>
          <w:color w:val="000000"/>
          <w:sz w:val="32"/>
          <w:szCs w:val="32"/>
        </w:rPr>
        <w:t>；政府性基金预算财政拨款收入0万元，占0</w:t>
      </w:r>
      <w:r>
        <w:rPr>
          <w:rFonts w:ascii="仿宋" w:hAnsi="仿宋" w:eastAsia="仿宋" w:cs="仿宋"/>
          <w:color w:val="000000"/>
          <w:sz w:val="32"/>
          <w:szCs w:val="32"/>
        </w:rPr>
        <w:t>%</w:t>
      </w:r>
      <w:r>
        <w:rPr>
          <w:rFonts w:hint="eastAsia" w:ascii="仿宋" w:hAnsi="仿宋" w:eastAsia="仿宋" w:cs="仿宋"/>
          <w:color w:val="000000"/>
          <w:sz w:val="32"/>
          <w:szCs w:val="32"/>
        </w:rPr>
        <w:t>；事业收入0万元，占0</w:t>
      </w:r>
      <w:r>
        <w:rPr>
          <w:rFonts w:ascii="仿宋" w:hAnsi="仿宋" w:eastAsia="仿宋" w:cs="仿宋"/>
          <w:color w:val="000000"/>
          <w:sz w:val="32"/>
          <w:szCs w:val="32"/>
        </w:rPr>
        <w:t>%</w:t>
      </w:r>
      <w:bookmarkEnd w:id="32"/>
      <w:bookmarkStart w:id="33" w:name="_Toc15396605"/>
      <w:bookmarkStart w:id="34" w:name="_Toc52180077"/>
      <w:bookmarkStart w:id="35" w:name="_Toc15377207"/>
      <w:r>
        <w:rPr>
          <w:rFonts w:hint="eastAsia" w:ascii="仿宋" w:hAnsi="仿宋" w:eastAsia="仿宋" w:cs="仿宋"/>
          <w:color w:val="000000"/>
          <w:sz w:val="32"/>
          <w:szCs w:val="32"/>
        </w:rPr>
        <w:t>。</w:t>
      </w:r>
    </w:p>
    <w:p w14:paraId="6F010963">
      <w:pPr>
        <w:spacing w:line="600" w:lineRule="exact"/>
        <w:ind w:firstLine="640" w:firstLineChars="200"/>
        <w:outlineLvl w:val="1"/>
        <w:rPr>
          <w:rFonts w:cs="黑体"/>
          <w:color w:val="000000"/>
        </w:rPr>
      </w:pPr>
      <w:r>
        <w:rPr>
          <w:rFonts w:hint="eastAsia" w:ascii="黑体" w:hAnsi="黑体" w:eastAsia="黑体" w:cs="黑体"/>
          <w:color w:val="000000"/>
          <w:sz w:val="32"/>
          <w:szCs w:val="32"/>
        </w:rPr>
        <w:t>三、</w:t>
      </w:r>
      <w:r>
        <w:rPr>
          <w:rStyle w:val="19"/>
          <w:rFonts w:hint="eastAsia" w:ascii="黑体" w:hAnsi="黑体" w:eastAsia="黑体" w:cs="黑体"/>
          <w:b w:val="0"/>
        </w:rPr>
        <w:t>支出决算情况说明</w:t>
      </w:r>
      <w:bookmarkEnd w:id="33"/>
      <w:bookmarkEnd w:id="34"/>
      <w:bookmarkEnd w:id="35"/>
    </w:p>
    <w:p w14:paraId="423284E3">
      <w:pPr>
        <w:ind w:firstLine="640" w:firstLineChars="200"/>
        <w:outlineLvl w:val="1"/>
        <w:rPr>
          <w:rStyle w:val="19"/>
          <w:rFonts w:ascii="黑体" w:hAnsi="黑体" w:eastAsia="黑体" w:cs="Times New Roman"/>
          <w:b w:val="0"/>
          <w:bCs w:val="0"/>
        </w:rPr>
      </w:pPr>
      <w:bookmarkStart w:id="36" w:name="_Toc52180078"/>
      <w:r>
        <w:rPr>
          <w:rFonts w:hint="eastAsia" w:ascii="仿宋" w:hAnsi="仿宋" w:eastAsia="仿宋" w:cs="仿宋"/>
          <w:color w:val="000000"/>
          <w:sz w:val="32"/>
          <w:szCs w:val="32"/>
        </w:rPr>
        <w:t>2021年本年支出合计1070.12万元，其中：基本支出966.12万元，占90.28</w:t>
      </w:r>
      <w:r>
        <w:rPr>
          <w:rFonts w:ascii="仿宋" w:hAnsi="仿宋" w:eastAsia="仿宋" w:cs="仿宋"/>
          <w:color w:val="000000"/>
          <w:sz w:val="32"/>
          <w:szCs w:val="32"/>
        </w:rPr>
        <w:t>%</w:t>
      </w:r>
      <w:r>
        <w:rPr>
          <w:rFonts w:hint="eastAsia" w:ascii="仿宋" w:hAnsi="仿宋" w:eastAsia="仿宋" w:cs="仿宋"/>
          <w:color w:val="000000"/>
          <w:sz w:val="32"/>
          <w:szCs w:val="32"/>
        </w:rPr>
        <w:t>；项目支出104.01万元，占9.72</w:t>
      </w:r>
      <w:r>
        <w:rPr>
          <w:rFonts w:ascii="仿宋" w:hAnsi="仿宋" w:eastAsia="仿宋" w:cs="仿宋"/>
          <w:color w:val="000000"/>
          <w:sz w:val="32"/>
          <w:szCs w:val="32"/>
        </w:rPr>
        <w:t>%</w:t>
      </w:r>
      <w:bookmarkEnd w:id="36"/>
      <w:bookmarkStart w:id="37" w:name="_Toc15396606"/>
      <w:bookmarkStart w:id="38" w:name="_Toc15377208"/>
      <w:bookmarkStart w:id="39" w:name="_Toc52180079"/>
      <w:r>
        <w:rPr>
          <w:rFonts w:hint="eastAsia" w:ascii="仿宋" w:hAnsi="仿宋" w:eastAsia="仿宋" w:cs="仿宋"/>
          <w:color w:val="000000"/>
          <w:sz w:val="32"/>
          <w:szCs w:val="32"/>
        </w:rPr>
        <w:t>。</w:t>
      </w:r>
      <w:r>
        <w:rPr>
          <w:rFonts w:ascii="仿宋" w:hAnsi="仿宋" w:eastAsia="仿宋" w:cs="仿宋"/>
          <w:color w:val="000000"/>
          <w:sz w:val="32"/>
          <w:szCs w:val="32"/>
        </w:rPr>
        <w:t xml:space="preserve">                 </w:t>
      </w:r>
      <w:r>
        <w:rPr>
          <w:rFonts w:hint="eastAsia" w:ascii="仿宋" w:hAnsi="仿宋" w:eastAsia="仿宋" w:cs="仿宋"/>
          <w:color w:val="000000"/>
          <w:sz w:val="32"/>
          <w:szCs w:val="32"/>
        </w:rPr>
        <w:t xml:space="preserve">           </w:t>
      </w:r>
      <w:r>
        <w:rPr>
          <w:rFonts w:hint="eastAsia" w:ascii="仿宋" w:hAnsi="仿宋" w:eastAsia="仿宋" w:cs="仿宋"/>
          <w:b/>
          <w:bCs/>
          <w:color w:val="000000"/>
          <w:sz w:val="36"/>
          <w:szCs w:val="36"/>
        </w:rPr>
        <w:t>四、</w:t>
      </w:r>
      <w:r>
        <w:rPr>
          <w:rFonts w:hint="eastAsia" w:ascii="黑体" w:hAnsi="黑体" w:eastAsia="黑体" w:cs="黑体"/>
          <w:color w:val="000000"/>
          <w:sz w:val="32"/>
          <w:szCs w:val="32"/>
        </w:rPr>
        <w:t>财</w:t>
      </w:r>
      <w:r>
        <w:rPr>
          <w:rStyle w:val="19"/>
          <w:rFonts w:hint="eastAsia" w:ascii="黑体" w:hAnsi="黑体" w:eastAsia="黑体" w:cs="黑体"/>
          <w:b w:val="0"/>
          <w:bCs w:val="0"/>
        </w:rPr>
        <w:t>政拨款收入支出决算总体情况说明</w:t>
      </w:r>
      <w:bookmarkEnd w:id="37"/>
      <w:bookmarkEnd w:id="38"/>
      <w:bookmarkEnd w:id="39"/>
    </w:p>
    <w:p w14:paraId="52D9280A">
      <w:pPr>
        <w:spacing w:line="600" w:lineRule="exact"/>
        <w:ind w:firstLine="640"/>
        <w:rPr>
          <w:rFonts w:ascii="仿宋" w:hAnsi="仿宋" w:eastAsia="仿宋"/>
          <w:b/>
          <w:bCs/>
          <w:color w:val="00B050"/>
          <w:sz w:val="32"/>
          <w:szCs w:val="32"/>
        </w:rPr>
      </w:pPr>
      <w:r>
        <w:rPr>
          <w:rFonts w:hint="eastAsia" w:ascii="仿宋" w:hAnsi="仿宋" w:eastAsia="仿宋" w:cs="仿宋"/>
          <w:color w:val="000000"/>
          <w:sz w:val="32"/>
          <w:szCs w:val="32"/>
        </w:rPr>
        <w:t>2021年财政拨款收、支总计1070.12万元。与</w:t>
      </w:r>
      <w:r>
        <w:rPr>
          <w:rFonts w:ascii="仿宋" w:hAnsi="仿宋" w:eastAsia="仿宋" w:cs="仿宋"/>
          <w:color w:val="000000"/>
          <w:sz w:val="32"/>
          <w:szCs w:val="32"/>
        </w:rPr>
        <w:t>20</w:t>
      </w:r>
      <w:r>
        <w:rPr>
          <w:rFonts w:hint="eastAsia" w:ascii="仿宋" w:hAnsi="仿宋" w:eastAsia="仿宋" w:cs="仿宋"/>
          <w:color w:val="000000"/>
          <w:sz w:val="32"/>
          <w:szCs w:val="32"/>
        </w:rPr>
        <w:t>20年相比，财政拨款收、支总计增加44万元，增加4.22</w:t>
      </w:r>
      <w:r>
        <w:rPr>
          <w:rFonts w:ascii="仿宋" w:hAnsi="仿宋" w:eastAsia="仿宋" w:cs="仿宋"/>
          <w:color w:val="000000"/>
          <w:sz w:val="32"/>
          <w:szCs w:val="32"/>
        </w:rPr>
        <w:t>%</w:t>
      </w:r>
      <w:r>
        <w:rPr>
          <w:rFonts w:hint="eastAsia" w:ascii="仿宋" w:hAnsi="仿宋" w:eastAsia="仿宋" w:cs="仿宋"/>
          <w:color w:val="000000"/>
          <w:sz w:val="32"/>
          <w:szCs w:val="32"/>
        </w:rPr>
        <w:t>。主要变动原因是一般公共预算财政拨款及年初结转结余资金增加。</w:t>
      </w:r>
    </w:p>
    <w:p w14:paraId="750E87F4">
      <w:pPr>
        <w:spacing w:line="600" w:lineRule="exact"/>
        <w:ind w:firstLine="640" w:firstLineChars="200"/>
        <w:outlineLvl w:val="1"/>
        <w:rPr>
          <w:rStyle w:val="19"/>
          <w:rFonts w:ascii="黑体" w:hAnsi="黑体" w:eastAsia="黑体" w:cs="Times New Roman"/>
          <w:b w:val="0"/>
          <w:bCs w:val="0"/>
        </w:rPr>
      </w:pPr>
      <w:bookmarkStart w:id="40" w:name="_Toc15396607"/>
      <w:bookmarkStart w:id="41" w:name="_Toc15377209"/>
      <w:bookmarkStart w:id="42" w:name="_Toc52180080"/>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9"/>
          <w:rFonts w:hint="eastAsia" w:ascii="黑体" w:hAnsi="黑体" w:eastAsia="黑体" w:cs="黑体"/>
          <w:b w:val="0"/>
          <w:bCs w:val="0"/>
        </w:rPr>
        <w:t>般公共预算财政拨款支出决算情况说明</w:t>
      </w:r>
      <w:bookmarkEnd w:id="40"/>
      <w:bookmarkEnd w:id="41"/>
      <w:bookmarkEnd w:id="42"/>
    </w:p>
    <w:p w14:paraId="5DCAB479">
      <w:pPr>
        <w:spacing w:line="600" w:lineRule="exact"/>
        <w:ind w:firstLine="643" w:firstLineChars="200"/>
        <w:outlineLvl w:val="2"/>
        <w:rPr>
          <w:rFonts w:ascii="仿宋" w:hAnsi="仿宋" w:eastAsia="仿宋"/>
          <w:b/>
          <w:bCs/>
          <w:color w:val="000000"/>
          <w:sz w:val="32"/>
          <w:szCs w:val="32"/>
        </w:rPr>
      </w:pPr>
      <w:bookmarkStart w:id="43" w:name="_Toc15377210"/>
      <w:bookmarkStart w:id="44" w:name="_Toc52180081"/>
      <w:r>
        <w:rPr>
          <w:rFonts w:hint="eastAsia" w:ascii="仿宋" w:hAnsi="仿宋" w:eastAsia="仿宋" w:cs="仿宋"/>
          <w:b/>
          <w:bCs/>
          <w:color w:val="000000"/>
          <w:sz w:val="32"/>
          <w:szCs w:val="32"/>
        </w:rPr>
        <w:t>（一）一般公共预算财政拨款支出决算总体情况</w:t>
      </w:r>
      <w:bookmarkEnd w:id="43"/>
      <w:bookmarkEnd w:id="44"/>
    </w:p>
    <w:p w14:paraId="7AC47676">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rPr>
        <w:t>20年一般公共预算财政拨款支出1065.5万元，占本年支出合计的99.57</w:t>
      </w:r>
      <w:r>
        <w:rPr>
          <w:rFonts w:ascii="仿宋" w:hAnsi="仿宋" w:eastAsia="仿宋" w:cs="仿宋"/>
          <w:color w:val="000000"/>
          <w:sz w:val="32"/>
          <w:szCs w:val="32"/>
        </w:rPr>
        <w:t>%</w:t>
      </w:r>
      <w:r>
        <w:rPr>
          <w:rFonts w:hint="eastAsia" w:ascii="仿宋" w:hAnsi="仿宋" w:eastAsia="仿宋" w:cs="仿宋"/>
          <w:color w:val="000000"/>
          <w:sz w:val="32"/>
          <w:szCs w:val="32"/>
        </w:rPr>
        <w:t>。与</w:t>
      </w:r>
      <w:r>
        <w:rPr>
          <w:rFonts w:ascii="仿宋" w:hAnsi="仿宋" w:eastAsia="仿宋" w:cs="仿宋"/>
          <w:color w:val="000000"/>
          <w:sz w:val="32"/>
          <w:szCs w:val="32"/>
        </w:rPr>
        <w:t>20</w:t>
      </w:r>
      <w:r>
        <w:rPr>
          <w:rFonts w:hint="eastAsia" w:ascii="仿宋" w:hAnsi="仿宋" w:eastAsia="仿宋" w:cs="仿宋"/>
          <w:color w:val="000000"/>
          <w:sz w:val="32"/>
          <w:szCs w:val="32"/>
        </w:rPr>
        <w:t>20年相比，一般公共预算财政拨款增加52.76万元增加5.21</w:t>
      </w:r>
      <w:r>
        <w:rPr>
          <w:rFonts w:ascii="仿宋" w:hAnsi="仿宋" w:eastAsia="仿宋" w:cs="仿宋"/>
          <w:color w:val="000000"/>
          <w:sz w:val="32"/>
          <w:szCs w:val="32"/>
        </w:rPr>
        <w:t>%</w:t>
      </w:r>
      <w:r>
        <w:rPr>
          <w:rFonts w:hint="eastAsia" w:ascii="仿宋" w:hAnsi="仿宋" w:eastAsia="仿宋" w:cs="仿宋"/>
          <w:color w:val="000000"/>
          <w:sz w:val="32"/>
          <w:szCs w:val="32"/>
        </w:rPr>
        <w:t>。主要变动原因是一般公共预算财政拨款基本支出增加。</w:t>
      </w:r>
    </w:p>
    <w:p w14:paraId="12E3B134">
      <w:pPr>
        <w:spacing w:line="600" w:lineRule="exact"/>
        <w:ind w:firstLine="643" w:firstLineChars="200"/>
        <w:outlineLvl w:val="2"/>
        <w:rPr>
          <w:rFonts w:ascii="仿宋" w:hAnsi="仿宋" w:eastAsia="仿宋"/>
          <w:b/>
          <w:bCs/>
          <w:color w:val="000000"/>
          <w:sz w:val="32"/>
          <w:szCs w:val="32"/>
        </w:rPr>
      </w:pPr>
      <w:bookmarkStart w:id="45" w:name="_Toc15377211"/>
      <w:bookmarkStart w:id="46" w:name="_Toc52180082"/>
      <w:r>
        <w:rPr>
          <w:rFonts w:hint="eastAsia" w:ascii="仿宋" w:hAnsi="仿宋" w:eastAsia="仿宋" w:cs="仿宋"/>
          <w:b/>
          <w:bCs/>
          <w:color w:val="000000"/>
          <w:sz w:val="32"/>
          <w:szCs w:val="32"/>
        </w:rPr>
        <w:t>（二）一般公共预算财政拨款支出决算结构情况</w:t>
      </w:r>
      <w:bookmarkEnd w:id="45"/>
      <w:bookmarkEnd w:id="46"/>
    </w:p>
    <w:p w14:paraId="006258DE">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2021年一般公共预算财政拨款支出1065.5万元，主要用于以下方面：</w:t>
      </w:r>
      <w:r>
        <w:rPr>
          <w:rFonts w:hint="eastAsia" w:ascii="仿宋" w:hAnsi="仿宋" w:eastAsia="仿宋" w:cs="仿宋"/>
          <w:b/>
          <w:bCs/>
          <w:color w:val="000000"/>
          <w:sz w:val="32"/>
          <w:szCs w:val="32"/>
        </w:rPr>
        <w:t>教育支出（类）877.11</w:t>
      </w:r>
      <w:r>
        <w:rPr>
          <w:rFonts w:hint="eastAsia" w:ascii="仿宋" w:hAnsi="仿宋" w:eastAsia="仿宋" w:cs="仿宋"/>
          <w:color w:val="000000"/>
          <w:sz w:val="32"/>
          <w:szCs w:val="32"/>
        </w:rPr>
        <w:t>万元，占82.32</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社会保障和就业（类）</w:t>
      </w:r>
      <w:r>
        <w:rPr>
          <w:rFonts w:hint="eastAsia" w:ascii="仿宋" w:hAnsi="仿宋" w:eastAsia="仿宋" w:cs="仿宋"/>
          <w:color w:val="000000"/>
          <w:sz w:val="32"/>
          <w:szCs w:val="32"/>
        </w:rPr>
        <w:t>支出99.95万元，占9.38</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w:t>
      </w:r>
      <w:r>
        <w:rPr>
          <w:rFonts w:hint="eastAsia" w:ascii="仿宋" w:hAnsi="仿宋" w:eastAsia="仿宋" w:cs="仿宋"/>
          <w:color w:val="000000"/>
          <w:sz w:val="32"/>
          <w:szCs w:val="32"/>
        </w:rPr>
        <w:t>支出88.44万元，占8.30</w:t>
      </w:r>
      <w:r>
        <w:rPr>
          <w:rFonts w:ascii="仿宋" w:hAnsi="仿宋" w:eastAsia="仿宋" w:cs="仿宋"/>
          <w:color w:val="000000"/>
          <w:sz w:val="32"/>
          <w:szCs w:val="32"/>
        </w:rPr>
        <w:t>%</w:t>
      </w:r>
      <w:r>
        <w:rPr>
          <w:rFonts w:hint="eastAsia" w:ascii="仿宋" w:hAnsi="仿宋" w:eastAsia="仿宋" w:cs="仿宋"/>
          <w:color w:val="000000"/>
          <w:sz w:val="32"/>
          <w:szCs w:val="32"/>
        </w:rPr>
        <w:t>；</w:t>
      </w:r>
    </w:p>
    <w:p w14:paraId="07D9D37F">
      <w:pPr>
        <w:spacing w:line="600" w:lineRule="exact"/>
        <w:ind w:firstLine="643" w:firstLineChars="200"/>
        <w:outlineLvl w:val="2"/>
        <w:rPr>
          <w:rFonts w:ascii="仿宋" w:hAnsi="仿宋" w:eastAsia="仿宋"/>
          <w:b/>
          <w:bCs/>
          <w:color w:val="000000"/>
          <w:sz w:val="32"/>
          <w:szCs w:val="32"/>
        </w:rPr>
      </w:pPr>
      <w:bookmarkStart w:id="47" w:name="_Toc15377212"/>
      <w:bookmarkStart w:id="48" w:name="_Toc52180083"/>
      <w:r>
        <w:rPr>
          <w:rFonts w:hint="eastAsia" w:ascii="仿宋" w:hAnsi="仿宋" w:eastAsia="仿宋" w:cs="仿宋"/>
          <w:b/>
          <w:bCs/>
          <w:color w:val="000000"/>
          <w:sz w:val="32"/>
          <w:szCs w:val="32"/>
        </w:rPr>
        <w:t>（三）一般公共预算财政拨款支出决算具体情况</w:t>
      </w:r>
      <w:bookmarkEnd w:id="47"/>
      <w:bookmarkEnd w:id="48"/>
    </w:p>
    <w:p w14:paraId="52CC79E8">
      <w:pPr>
        <w:spacing w:line="600" w:lineRule="exact"/>
        <w:ind w:firstLine="643" w:firstLineChars="200"/>
        <w:outlineLvl w:val="2"/>
        <w:rPr>
          <w:rFonts w:ascii="仿宋" w:hAnsi="仿宋" w:eastAsia="仿宋"/>
          <w:color w:val="FF0000"/>
          <w:sz w:val="32"/>
          <w:szCs w:val="32"/>
        </w:rPr>
      </w:pPr>
      <w:bookmarkStart w:id="49" w:name="_Toc15377444"/>
      <w:bookmarkStart w:id="50" w:name="_Toc52180084"/>
      <w:bookmarkStart w:id="51" w:name="_Toc15378460"/>
      <w:bookmarkStart w:id="52" w:name="_Toc15377213"/>
      <w:r>
        <w:rPr>
          <w:rFonts w:hint="eastAsia" w:ascii="仿宋" w:hAnsi="仿宋" w:eastAsia="仿宋" w:cs="仿宋"/>
          <w:b/>
          <w:bCs/>
          <w:color w:val="000000"/>
          <w:sz w:val="32"/>
          <w:szCs w:val="32"/>
        </w:rPr>
        <w:t>2021年度公共预算支出决算数为1065.5万元</w:t>
      </w:r>
      <w:r>
        <w:rPr>
          <w:rFonts w:hint="eastAsia" w:ascii="仿宋" w:hAnsi="仿宋" w:eastAsia="仿宋" w:cs="仿宋"/>
          <w:color w:val="000000"/>
          <w:sz w:val="32"/>
          <w:szCs w:val="32"/>
        </w:rPr>
        <w:t>，</w:t>
      </w:r>
      <w:r>
        <w:rPr>
          <w:rStyle w:val="16"/>
          <w:rFonts w:hint="eastAsia" w:ascii="仿宋" w:hAnsi="仿宋" w:eastAsia="仿宋" w:cs="仿宋"/>
          <w:color w:val="000000"/>
          <w:sz w:val="32"/>
          <w:szCs w:val="32"/>
        </w:rPr>
        <w:t>完成预算</w:t>
      </w:r>
      <w:r>
        <w:rPr>
          <w:rStyle w:val="16"/>
          <w:rFonts w:ascii="仿宋" w:hAnsi="仿宋" w:eastAsia="仿宋" w:cs="仿宋"/>
          <w:color w:val="000000"/>
          <w:sz w:val="32"/>
          <w:szCs w:val="32"/>
        </w:rPr>
        <w:t>100%</w:t>
      </w:r>
      <w:r>
        <w:rPr>
          <w:rStyle w:val="16"/>
          <w:rFonts w:hint="eastAsia" w:ascii="仿宋" w:hAnsi="仿宋" w:eastAsia="仿宋" w:cs="仿宋"/>
          <w:color w:val="000000"/>
          <w:sz w:val="32"/>
          <w:szCs w:val="32"/>
        </w:rPr>
        <w:t>。其中：</w:t>
      </w:r>
      <w:bookmarkEnd w:id="49"/>
      <w:bookmarkEnd w:id="50"/>
      <w:bookmarkEnd w:id="51"/>
      <w:bookmarkEnd w:id="52"/>
    </w:p>
    <w:p w14:paraId="3D3E6507">
      <w:pPr>
        <w:spacing w:line="600" w:lineRule="exact"/>
        <w:ind w:firstLine="643" w:firstLineChars="200"/>
        <w:rPr>
          <w:rStyle w:val="16"/>
          <w:rFonts w:ascii="仿宋" w:hAnsi="仿宋" w:eastAsia="仿宋"/>
          <w:b w:val="0"/>
          <w:bCs w:val="0"/>
          <w:color w:val="000000"/>
          <w:sz w:val="32"/>
          <w:szCs w:val="32"/>
        </w:rPr>
      </w:pPr>
      <w:r>
        <w:rPr>
          <w:rStyle w:val="16"/>
          <w:rFonts w:ascii="仿宋" w:hAnsi="仿宋" w:eastAsia="仿宋" w:cs="仿宋"/>
          <w:color w:val="000000"/>
          <w:sz w:val="32"/>
          <w:szCs w:val="32"/>
        </w:rPr>
        <w:t>1.</w:t>
      </w:r>
      <w:r>
        <w:rPr>
          <w:rStyle w:val="16"/>
          <w:rFonts w:hint="eastAsia" w:ascii="仿宋" w:hAnsi="仿宋" w:eastAsia="仿宋" w:cs="仿宋"/>
          <w:color w:val="000000"/>
          <w:sz w:val="32"/>
          <w:szCs w:val="32"/>
        </w:rPr>
        <w:t>教育</w:t>
      </w:r>
      <w:r>
        <w:rPr>
          <w:rStyle w:val="16"/>
          <w:rFonts w:ascii="仿宋" w:hAnsi="仿宋" w:eastAsia="仿宋" w:cs="仿宋"/>
          <w:color w:val="000000"/>
          <w:sz w:val="32"/>
          <w:szCs w:val="32"/>
        </w:rPr>
        <w:t>205</w:t>
      </w:r>
      <w:r>
        <w:rPr>
          <w:rStyle w:val="16"/>
          <w:rFonts w:hint="eastAsia" w:ascii="仿宋" w:hAnsi="仿宋" w:eastAsia="仿宋" w:cs="仿宋"/>
          <w:color w:val="000000"/>
          <w:sz w:val="32"/>
          <w:szCs w:val="32"/>
        </w:rPr>
        <w:t>（类）</w:t>
      </w:r>
      <w:r>
        <w:rPr>
          <w:rStyle w:val="16"/>
          <w:rFonts w:ascii="仿宋" w:hAnsi="仿宋" w:eastAsia="仿宋" w:cs="仿宋"/>
          <w:color w:val="000000"/>
          <w:sz w:val="32"/>
          <w:szCs w:val="32"/>
        </w:rPr>
        <w:t>02</w:t>
      </w:r>
      <w:r>
        <w:rPr>
          <w:rStyle w:val="16"/>
          <w:rFonts w:hint="eastAsia" w:ascii="仿宋" w:hAnsi="仿宋" w:eastAsia="仿宋" w:cs="仿宋"/>
          <w:color w:val="000000"/>
          <w:sz w:val="32"/>
          <w:szCs w:val="32"/>
        </w:rPr>
        <w:t>（款）</w:t>
      </w:r>
      <w:r>
        <w:rPr>
          <w:rStyle w:val="16"/>
          <w:rFonts w:ascii="仿宋" w:hAnsi="仿宋" w:eastAsia="仿宋" w:cs="仿宋"/>
          <w:color w:val="000000"/>
          <w:sz w:val="32"/>
          <w:szCs w:val="32"/>
        </w:rPr>
        <w:t>03</w:t>
      </w:r>
      <w:r>
        <w:rPr>
          <w:rStyle w:val="16"/>
          <w:rFonts w:hint="eastAsia" w:ascii="仿宋" w:hAnsi="仿宋" w:eastAsia="仿宋" w:cs="仿宋"/>
          <w:color w:val="000000"/>
          <w:sz w:val="32"/>
          <w:szCs w:val="32"/>
        </w:rPr>
        <w:t>（项）</w:t>
      </w:r>
      <w:r>
        <w:rPr>
          <w:rStyle w:val="16"/>
          <w:rFonts w:ascii="仿宋" w:hAnsi="仿宋" w:eastAsia="仿宋" w:cs="仿宋"/>
          <w:color w:val="000000"/>
          <w:sz w:val="32"/>
          <w:szCs w:val="32"/>
        </w:rPr>
        <w:t>:</w:t>
      </w:r>
      <w:r>
        <w:rPr>
          <w:rStyle w:val="16"/>
          <w:rFonts w:ascii="仿宋" w:hAnsi="仿宋" w:eastAsia="仿宋" w:cs="仿宋"/>
          <w:b w:val="0"/>
          <w:bCs w:val="0"/>
          <w:color w:val="000000"/>
          <w:sz w:val="32"/>
          <w:szCs w:val="32"/>
        </w:rPr>
        <w:t xml:space="preserve"> </w:t>
      </w:r>
      <w:r>
        <w:rPr>
          <w:rStyle w:val="16"/>
          <w:rFonts w:hint="eastAsia" w:ascii="仿宋" w:hAnsi="仿宋" w:eastAsia="仿宋" w:cs="仿宋"/>
          <w:b w:val="0"/>
          <w:bCs w:val="0"/>
          <w:color w:val="000000"/>
          <w:sz w:val="32"/>
          <w:szCs w:val="32"/>
        </w:rPr>
        <w:t>支出决算为877.11万元，完成预算</w:t>
      </w:r>
      <w:r>
        <w:rPr>
          <w:rStyle w:val="16"/>
          <w:rFonts w:ascii="仿宋" w:hAnsi="仿宋" w:eastAsia="仿宋" w:cs="仿宋"/>
          <w:b w:val="0"/>
          <w:bCs w:val="0"/>
          <w:color w:val="000000"/>
          <w:sz w:val="32"/>
          <w:szCs w:val="32"/>
        </w:rPr>
        <w:t>100%</w:t>
      </w:r>
      <w:r>
        <w:rPr>
          <w:rStyle w:val="16"/>
          <w:rFonts w:hint="eastAsia" w:ascii="仿宋" w:hAnsi="仿宋" w:eastAsia="仿宋" w:cs="仿宋"/>
          <w:b w:val="0"/>
          <w:bCs w:val="0"/>
          <w:color w:val="000000"/>
          <w:sz w:val="32"/>
          <w:szCs w:val="32"/>
        </w:rPr>
        <w:t>。</w:t>
      </w:r>
    </w:p>
    <w:p w14:paraId="5540E877">
      <w:pPr>
        <w:spacing w:line="600" w:lineRule="exact"/>
        <w:ind w:firstLine="643" w:firstLineChars="200"/>
        <w:rPr>
          <w:rStyle w:val="16"/>
          <w:rFonts w:ascii="仿宋" w:hAnsi="仿宋" w:eastAsia="仿宋" w:cs="仿宋"/>
          <w:b w:val="0"/>
          <w:bCs w:val="0"/>
          <w:color w:val="000000"/>
          <w:sz w:val="32"/>
          <w:szCs w:val="32"/>
        </w:rPr>
      </w:pPr>
      <w:r>
        <w:rPr>
          <w:rStyle w:val="16"/>
          <w:rFonts w:ascii="仿宋" w:hAnsi="仿宋" w:eastAsia="仿宋" w:cs="仿宋"/>
          <w:color w:val="000000"/>
          <w:sz w:val="32"/>
          <w:szCs w:val="32"/>
        </w:rPr>
        <w:t>2.</w:t>
      </w:r>
      <w:r>
        <w:rPr>
          <w:rStyle w:val="16"/>
          <w:rFonts w:hint="eastAsia" w:ascii="仿宋" w:hAnsi="仿宋" w:eastAsia="仿宋" w:cs="仿宋"/>
          <w:color w:val="000000"/>
          <w:sz w:val="32"/>
          <w:szCs w:val="32"/>
        </w:rPr>
        <w:t>社会保障和就业</w:t>
      </w:r>
      <w:r>
        <w:rPr>
          <w:rStyle w:val="16"/>
          <w:rFonts w:ascii="仿宋" w:hAnsi="仿宋" w:eastAsia="仿宋" w:cs="仿宋"/>
          <w:color w:val="000000"/>
          <w:sz w:val="32"/>
          <w:szCs w:val="32"/>
        </w:rPr>
        <w:t>208</w:t>
      </w:r>
      <w:r>
        <w:rPr>
          <w:rStyle w:val="16"/>
          <w:rFonts w:hint="eastAsia" w:ascii="仿宋" w:hAnsi="仿宋" w:eastAsia="仿宋" w:cs="仿宋"/>
          <w:color w:val="000000"/>
          <w:sz w:val="32"/>
          <w:szCs w:val="32"/>
        </w:rPr>
        <w:t>（类）</w:t>
      </w:r>
      <w:r>
        <w:rPr>
          <w:rStyle w:val="16"/>
          <w:rFonts w:ascii="仿宋" w:hAnsi="仿宋" w:eastAsia="仿宋" w:cs="仿宋"/>
          <w:color w:val="000000"/>
          <w:sz w:val="32"/>
          <w:szCs w:val="32"/>
        </w:rPr>
        <w:t>05</w:t>
      </w:r>
      <w:r>
        <w:rPr>
          <w:rStyle w:val="16"/>
          <w:rFonts w:hint="eastAsia" w:ascii="仿宋" w:hAnsi="仿宋" w:eastAsia="仿宋" w:cs="仿宋"/>
          <w:color w:val="000000"/>
          <w:sz w:val="32"/>
          <w:szCs w:val="32"/>
        </w:rPr>
        <w:t>（款）</w:t>
      </w:r>
      <w:r>
        <w:rPr>
          <w:rStyle w:val="16"/>
          <w:rFonts w:ascii="仿宋" w:hAnsi="仿宋" w:eastAsia="仿宋" w:cs="仿宋"/>
          <w:color w:val="000000"/>
          <w:sz w:val="32"/>
          <w:szCs w:val="32"/>
        </w:rPr>
        <w:t>05</w:t>
      </w:r>
      <w:r>
        <w:rPr>
          <w:rStyle w:val="16"/>
          <w:rFonts w:hint="eastAsia" w:ascii="仿宋" w:hAnsi="仿宋" w:eastAsia="仿宋" w:cs="仿宋"/>
          <w:color w:val="000000"/>
          <w:sz w:val="32"/>
          <w:szCs w:val="32"/>
        </w:rPr>
        <w:t>（项）</w:t>
      </w:r>
      <w:r>
        <w:rPr>
          <w:rStyle w:val="16"/>
          <w:rFonts w:ascii="仿宋" w:hAnsi="仿宋" w:eastAsia="仿宋" w:cs="仿宋"/>
          <w:color w:val="000000"/>
          <w:sz w:val="32"/>
          <w:szCs w:val="32"/>
        </w:rPr>
        <w:t>:</w:t>
      </w:r>
      <w:r>
        <w:rPr>
          <w:rStyle w:val="16"/>
          <w:rFonts w:ascii="仿宋" w:hAnsi="仿宋" w:eastAsia="仿宋" w:cs="仿宋"/>
          <w:b w:val="0"/>
          <w:bCs w:val="0"/>
          <w:color w:val="000000"/>
          <w:sz w:val="32"/>
          <w:szCs w:val="32"/>
        </w:rPr>
        <w:t xml:space="preserve"> </w:t>
      </w:r>
      <w:r>
        <w:rPr>
          <w:rStyle w:val="16"/>
          <w:rFonts w:hint="eastAsia" w:ascii="仿宋" w:hAnsi="仿宋" w:eastAsia="仿宋" w:cs="仿宋"/>
          <w:b w:val="0"/>
          <w:bCs w:val="0"/>
          <w:color w:val="000000"/>
          <w:sz w:val="32"/>
          <w:szCs w:val="32"/>
        </w:rPr>
        <w:t>支出决算为99.95万元，完成预算</w:t>
      </w:r>
      <w:r>
        <w:rPr>
          <w:rStyle w:val="16"/>
          <w:rFonts w:ascii="仿宋" w:hAnsi="仿宋" w:eastAsia="仿宋" w:cs="仿宋"/>
          <w:b w:val="0"/>
          <w:bCs w:val="0"/>
          <w:color w:val="000000"/>
          <w:sz w:val="32"/>
          <w:szCs w:val="32"/>
        </w:rPr>
        <w:t>100%</w:t>
      </w:r>
      <w:r>
        <w:rPr>
          <w:rStyle w:val="16"/>
          <w:rFonts w:hint="eastAsia" w:ascii="仿宋" w:hAnsi="仿宋" w:eastAsia="仿宋" w:cs="仿宋"/>
          <w:b w:val="0"/>
          <w:bCs w:val="0"/>
          <w:color w:val="000000"/>
          <w:sz w:val="32"/>
          <w:szCs w:val="32"/>
        </w:rPr>
        <w:t>。</w:t>
      </w:r>
    </w:p>
    <w:p w14:paraId="4A1255E7">
      <w:pPr>
        <w:pStyle w:val="2"/>
        <w:spacing w:before="93"/>
        <w:ind w:firstLine="643" w:firstLineChars="200"/>
      </w:pPr>
      <w:r>
        <w:rPr>
          <w:rStyle w:val="16"/>
          <w:rFonts w:hint="eastAsia" w:ascii="仿宋" w:hAnsi="仿宋" w:eastAsia="仿宋" w:cs="仿宋"/>
          <w:color w:val="000000"/>
          <w:sz w:val="32"/>
          <w:szCs w:val="32"/>
        </w:rPr>
        <w:t>3.社会保障和就业</w:t>
      </w:r>
      <w:r>
        <w:rPr>
          <w:rStyle w:val="16"/>
          <w:rFonts w:ascii="仿宋" w:hAnsi="仿宋" w:eastAsia="仿宋" w:cs="仿宋"/>
          <w:color w:val="000000"/>
          <w:sz w:val="32"/>
          <w:szCs w:val="32"/>
        </w:rPr>
        <w:t>208</w:t>
      </w:r>
      <w:r>
        <w:rPr>
          <w:rStyle w:val="16"/>
          <w:rFonts w:hint="eastAsia" w:ascii="仿宋" w:hAnsi="仿宋" w:eastAsia="仿宋" w:cs="仿宋"/>
          <w:color w:val="000000"/>
          <w:sz w:val="32"/>
          <w:szCs w:val="32"/>
        </w:rPr>
        <w:t>（类）</w:t>
      </w:r>
      <w:r>
        <w:rPr>
          <w:rStyle w:val="16"/>
          <w:rFonts w:ascii="仿宋" w:hAnsi="仿宋" w:eastAsia="仿宋" w:cs="仿宋"/>
          <w:color w:val="000000"/>
          <w:sz w:val="32"/>
          <w:szCs w:val="32"/>
        </w:rPr>
        <w:t>05</w:t>
      </w:r>
      <w:r>
        <w:rPr>
          <w:rStyle w:val="16"/>
          <w:rFonts w:hint="eastAsia" w:ascii="仿宋" w:hAnsi="仿宋" w:eastAsia="仿宋" w:cs="仿宋"/>
          <w:color w:val="000000"/>
          <w:sz w:val="32"/>
          <w:szCs w:val="32"/>
        </w:rPr>
        <w:t>（款）</w:t>
      </w:r>
      <w:r>
        <w:rPr>
          <w:rStyle w:val="16"/>
          <w:rFonts w:ascii="仿宋" w:hAnsi="仿宋" w:eastAsia="仿宋" w:cs="仿宋"/>
          <w:color w:val="000000"/>
          <w:sz w:val="32"/>
          <w:szCs w:val="32"/>
        </w:rPr>
        <w:t>0</w:t>
      </w:r>
      <w:r>
        <w:rPr>
          <w:rStyle w:val="16"/>
          <w:rFonts w:hint="eastAsia" w:ascii="仿宋" w:hAnsi="仿宋" w:eastAsia="仿宋" w:cs="仿宋"/>
          <w:color w:val="000000"/>
          <w:sz w:val="32"/>
          <w:szCs w:val="32"/>
        </w:rPr>
        <w:t>6（项）</w:t>
      </w:r>
      <w:r>
        <w:rPr>
          <w:rStyle w:val="16"/>
          <w:rFonts w:ascii="仿宋" w:hAnsi="仿宋" w:eastAsia="仿宋" w:cs="仿宋"/>
          <w:color w:val="000000"/>
          <w:sz w:val="32"/>
          <w:szCs w:val="32"/>
        </w:rPr>
        <w:t>:</w:t>
      </w:r>
      <w:r>
        <w:rPr>
          <w:rStyle w:val="16"/>
          <w:rFonts w:ascii="仿宋" w:hAnsi="仿宋" w:eastAsia="仿宋" w:cs="仿宋"/>
          <w:b w:val="0"/>
          <w:bCs w:val="0"/>
          <w:color w:val="000000"/>
          <w:sz w:val="32"/>
          <w:szCs w:val="32"/>
        </w:rPr>
        <w:t xml:space="preserve"> </w:t>
      </w:r>
      <w:r>
        <w:rPr>
          <w:rStyle w:val="16"/>
          <w:rFonts w:hint="eastAsia" w:ascii="仿宋" w:hAnsi="仿宋" w:eastAsia="仿宋" w:cs="仿宋"/>
          <w:b w:val="0"/>
          <w:bCs w:val="0"/>
          <w:color w:val="000000"/>
          <w:sz w:val="32"/>
          <w:szCs w:val="32"/>
        </w:rPr>
        <w:t>支出决算为10.28万元，完成预算</w:t>
      </w:r>
      <w:r>
        <w:rPr>
          <w:rStyle w:val="16"/>
          <w:rFonts w:ascii="仿宋" w:hAnsi="仿宋" w:eastAsia="仿宋" w:cs="仿宋"/>
          <w:b w:val="0"/>
          <w:bCs w:val="0"/>
          <w:color w:val="000000"/>
          <w:sz w:val="32"/>
          <w:szCs w:val="32"/>
        </w:rPr>
        <w:t>100%</w:t>
      </w:r>
      <w:r>
        <w:rPr>
          <w:rStyle w:val="16"/>
          <w:rFonts w:hint="eastAsia" w:ascii="仿宋" w:hAnsi="仿宋" w:eastAsia="仿宋" w:cs="仿宋"/>
          <w:b w:val="0"/>
          <w:bCs w:val="0"/>
          <w:color w:val="000000"/>
          <w:sz w:val="32"/>
          <w:szCs w:val="32"/>
        </w:rPr>
        <w:t>。</w:t>
      </w:r>
    </w:p>
    <w:p w14:paraId="303EFB0F">
      <w:pPr>
        <w:spacing w:line="600" w:lineRule="exact"/>
        <w:ind w:firstLine="643" w:firstLineChars="200"/>
        <w:rPr>
          <w:rStyle w:val="16"/>
          <w:rFonts w:ascii="仿宋" w:hAnsi="仿宋" w:eastAsia="仿宋" w:cs="仿宋"/>
          <w:b w:val="0"/>
          <w:bCs w:val="0"/>
          <w:color w:val="000000"/>
          <w:sz w:val="32"/>
          <w:szCs w:val="32"/>
        </w:rPr>
      </w:pPr>
      <w:r>
        <w:rPr>
          <w:rStyle w:val="16"/>
          <w:rFonts w:hint="eastAsia" w:ascii="仿宋" w:hAnsi="仿宋" w:eastAsia="仿宋" w:cs="仿宋"/>
          <w:color w:val="000000"/>
          <w:sz w:val="32"/>
          <w:szCs w:val="32"/>
        </w:rPr>
        <w:t>4</w:t>
      </w:r>
      <w:r>
        <w:rPr>
          <w:rStyle w:val="16"/>
          <w:rFonts w:ascii="仿宋" w:hAnsi="仿宋" w:eastAsia="仿宋" w:cs="仿宋"/>
          <w:color w:val="000000"/>
          <w:sz w:val="32"/>
          <w:szCs w:val="32"/>
        </w:rPr>
        <w:t>.</w:t>
      </w:r>
      <w:r>
        <w:rPr>
          <w:rStyle w:val="16"/>
          <w:rFonts w:hint="eastAsia" w:ascii="仿宋" w:hAnsi="仿宋" w:eastAsia="仿宋" w:cs="仿宋"/>
          <w:color w:val="000000"/>
          <w:sz w:val="32"/>
          <w:szCs w:val="32"/>
        </w:rPr>
        <w:t>住房保障221（类）02（款）01（项）：</w:t>
      </w:r>
      <w:r>
        <w:rPr>
          <w:rStyle w:val="16"/>
          <w:rFonts w:hint="eastAsia" w:ascii="仿宋" w:hAnsi="仿宋" w:eastAsia="仿宋" w:cs="仿宋"/>
          <w:b w:val="0"/>
          <w:bCs w:val="0"/>
          <w:color w:val="000000"/>
          <w:sz w:val="32"/>
          <w:szCs w:val="32"/>
        </w:rPr>
        <w:t>支出决算数88.44万元，完成预算数100%。</w:t>
      </w:r>
    </w:p>
    <w:p w14:paraId="67FA1049">
      <w:pPr>
        <w:spacing w:line="600" w:lineRule="exact"/>
        <w:ind w:firstLine="643" w:firstLineChars="200"/>
        <w:rPr>
          <w:rFonts w:ascii="仿宋" w:hAnsi="仿宋" w:eastAsia="仿宋" w:cs="仿宋"/>
          <w:color w:val="000000"/>
          <w:sz w:val="32"/>
          <w:szCs w:val="32"/>
        </w:rPr>
      </w:pPr>
      <w:r>
        <w:rPr>
          <w:rStyle w:val="16"/>
          <w:rFonts w:hint="eastAsia" w:ascii="仿宋" w:hAnsi="仿宋" w:eastAsia="仿宋" w:cs="仿宋"/>
          <w:color w:val="000000"/>
          <w:sz w:val="32"/>
          <w:szCs w:val="32"/>
        </w:rPr>
        <w:t>5. 住房保障221（类）02（款）03（项）：</w:t>
      </w:r>
      <w:r>
        <w:rPr>
          <w:rStyle w:val="16"/>
          <w:rFonts w:hint="eastAsia" w:ascii="仿宋" w:hAnsi="仿宋" w:eastAsia="仿宋" w:cs="仿宋"/>
          <w:b w:val="0"/>
          <w:bCs w:val="0"/>
          <w:color w:val="000000"/>
          <w:sz w:val="32"/>
          <w:szCs w:val="32"/>
        </w:rPr>
        <w:t>支出决算数2.04万元，完成预算数100%。</w:t>
      </w:r>
    </w:p>
    <w:p w14:paraId="2411B829">
      <w:pPr>
        <w:tabs>
          <w:tab w:val="right" w:pos="8306"/>
        </w:tabs>
        <w:spacing w:line="600" w:lineRule="exact"/>
        <w:ind w:firstLine="640"/>
        <w:outlineLvl w:val="1"/>
        <w:rPr>
          <w:rStyle w:val="19"/>
        </w:rPr>
      </w:pPr>
      <w:bookmarkStart w:id="53" w:name="_Toc15377214"/>
      <w:bookmarkStart w:id="54" w:name="_Toc52180085"/>
      <w:bookmarkStart w:id="55"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9"/>
          <w:rFonts w:hint="eastAsia" w:ascii="黑体" w:hAnsi="黑体" w:eastAsia="黑体" w:cs="黑体"/>
          <w:b w:val="0"/>
          <w:bCs w:val="0"/>
        </w:rPr>
        <w:t>般公共预算财政拨款基本支出决算情况说明</w:t>
      </w:r>
      <w:bookmarkEnd w:id="53"/>
      <w:bookmarkEnd w:id="54"/>
      <w:bookmarkEnd w:id="55"/>
      <w:r>
        <w:rPr>
          <w:rStyle w:val="19"/>
          <w:rFonts w:ascii="黑体" w:hAnsi="黑体" w:eastAsia="黑体" w:cs="Times New Roman"/>
          <w:b w:val="0"/>
          <w:bCs w:val="0"/>
        </w:rPr>
        <w:tab/>
      </w:r>
    </w:p>
    <w:p w14:paraId="6D1476F1">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2021年一般公共预算财政拨款基本支出966.12万元，其中：</w:t>
      </w:r>
    </w:p>
    <w:p w14:paraId="5C944E7D">
      <w:pPr>
        <w:spacing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人员经费944.89万元，主要包括：基本工资、津贴补贴、奖金、伙食补助费、绩效工资、机关事业单位基本养老保险缴费、职业年金缴费、其他社会保障缴费、其他工资福利支出、退休费、抚恤金、生活补助、医疗费补助、奖励金、住房公积金、其他对个人和家庭的补助支出等。</w:t>
      </w:r>
    </w:p>
    <w:p w14:paraId="5F3F7CAB">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日常公用经费21.23万元，主要包括：办公费、印刷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BDA3230">
      <w:pPr>
        <w:spacing w:line="600" w:lineRule="exact"/>
        <w:ind w:firstLine="640"/>
        <w:outlineLvl w:val="1"/>
        <w:rPr>
          <w:rStyle w:val="19"/>
          <w:rFonts w:ascii="黑体" w:hAnsi="黑体" w:eastAsia="黑体" w:cs="Times New Roman"/>
          <w:b w:val="0"/>
          <w:bCs w:val="0"/>
        </w:rPr>
      </w:pPr>
      <w:bookmarkStart w:id="56" w:name="_Toc15377215"/>
      <w:bookmarkStart w:id="57" w:name="_Toc52180086"/>
      <w:bookmarkStart w:id="58" w:name="_Toc15396609"/>
      <w:r>
        <w:rPr>
          <w:rFonts w:hint="eastAsia" w:ascii="黑体" w:eastAsia="黑体" w:cs="黑体"/>
          <w:color w:val="000000"/>
          <w:sz w:val="32"/>
          <w:szCs w:val="32"/>
        </w:rPr>
        <w:t>七、</w:t>
      </w:r>
      <w:r>
        <w:rPr>
          <w:rStyle w:val="19"/>
          <w:rFonts w:hint="eastAsia" w:ascii="黑体" w:hAnsi="黑体" w:eastAsia="黑体" w:cs="黑体"/>
        </w:rPr>
        <w:t>“</w:t>
      </w:r>
      <w:r>
        <w:rPr>
          <w:rStyle w:val="19"/>
          <w:rFonts w:hint="eastAsia" w:ascii="黑体" w:hAnsi="黑体" w:eastAsia="黑体" w:cs="黑体"/>
          <w:b w:val="0"/>
          <w:bCs w:val="0"/>
        </w:rPr>
        <w:t>三公”经费财政拨款支出决算情况说明</w:t>
      </w:r>
      <w:bookmarkEnd w:id="56"/>
      <w:bookmarkEnd w:id="57"/>
      <w:bookmarkEnd w:id="58"/>
    </w:p>
    <w:p w14:paraId="65558350">
      <w:pPr>
        <w:spacing w:line="600" w:lineRule="exact"/>
        <w:ind w:firstLine="640"/>
        <w:outlineLvl w:val="2"/>
        <w:rPr>
          <w:rFonts w:ascii="仿宋" w:hAnsi="仿宋" w:eastAsia="仿宋"/>
          <w:b/>
          <w:bCs/>
          <w:color w:val="000000"/>
          <w:sz w:val="32"/>
          <w:szCs w:val="32"/>
        </w:rPr>
      </w:pPr>
      <w:bookmarkStart w:id="59" w:name="_Toc52180087"/>
      <w:bookmarkStart w:id="60" w:name="_Toc15377216"/>
      <w:r>
        <w:rPr>
          <w:rFonts w:hint="eastAsia" w:ascii="仿宋" w:hAnsi="仿宋" w:eastAsia="仿宋" w:cs="仿宋"/>
          <w:b/>
          <w:bCs/>
          <w:color w:val="000000"/>
          <w:sz w:val="32"/>
          <w:szCs w:val="32"/>
        </w:rPr>
        <w:t>（一）“三公”经费财政拨款支出决算总体情况说明</w:t>
      </w:r>
      <w:bookmarkEnd w:id="59"/>
      <w:bookmarkEnd w:id="60"/>
    </w:p>
    <w:p w14:paraId="47695E19">
      <w:pPr>
        <w:spacing w:line="600" w:lineRule="exact"/>
        <w:ind w:firstLine="640"/>
        <w:rPr>
          <w:rFonts w:ascii="仿宋" w:hAnsi="仿宋" w:eastAsia="仿宋"/>
          <w:b/>
          <w:bCs/>
          <w:color w:val="FF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rPr>
        <w:t>21年“三公”经费财政拨款支出决算为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14:paraId="09C6554F">
      <w:pPr>
        <w:spacing w:line="600" w:lineRule="exact"/>
        <w:ind w:firstLine="640"/>
        <w:outlineLvl w:val="2"/>
        <w:rPr>
          <w:rFonts w:ascii="仿宋" w:hAnsi="仿宋" w:eastAsia="仿宋"/>
          <w:b/>
          <w:bCs/>
          <w:color w:val="000000"/>
          <w:sz w:val="32"/>
          <w:szCs w:val="32"/>
        </w:rPr>
      </w:pPr>
      <w:bookmarkStart w:id="61" w:name="_Toc15377217"/>
      <w:bookmarkStart w:id="62" w:name="_Toc52180088"/>
      <w:r>
        <w:rPr>
          <w:rFonts w:hint="eastAsia" w:ascii="仿宋" w:hAnsi="仿宋" w:eastAsia="仿宋" w:cs="仿宋"/>
          <w:b/>
          <w:bCs/>
          <w:color w:val="000000"/>
          <w:sz w:val="32"/>
          <w:szCs w:val="32"/>
        </w:rPr>
        <w:t>（二）“三公”经费财政拨款支出决算具体情况说明</w:t>
      </w:r>
      <w:bookmarkEnd w:id="61"/>
      <w:bookmarkEnd w:id="62"/>
    </w:p>
    <w:p w14:paraId="2A9A33B9">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rPr>
        <w:t>21年“三公”经费财政拨款支出决算中，因公出国（境）费支出决算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；公务用车购置及运行维护费支出决算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；公务接待费支出决算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14:paraId="607E5CB4">
      <w:pPr>
        <w:spacing w:line="600" w:lineRule="exact"/>
        <w:ind w:firstLine="640"/>
        <w:outlineLvl w:val="1"/>
        <w:rPr>
          <w:rStyle w:val="19"/>
          <w:rFonts w:ascii="黑体" w:hAnsi="黑体" w:eastAsia="黑体" w:cs="Times New Roman"/>
        </w:rPr>
      </w:pPr>
      <w:bookmarkStart w:id="63" w:name="_Toc15377218"/>
      <w:bookmarkStart w:id="64" w:name="_Toc15396610"/>
      <w:bookmarkStart w:id="65" w:name="_Toc52180089"/>
      <w:r>
        <w:rPr>
          <w:rFonts w:hint="eastAsia" w:ascii="黑体" w:eastAsia="黑体" w:cs="黑体"/>
          <w:color w:val="000000"/>
          <w:sz w:val="32"/>
          <w:szCs w:val="32"/>
        </w:rPr>
        <w:t>八、</w:t>
      </w:r>
      <w:r>
        <w:rPr>
          <w:rStyle w:val="19"/>
          <w:rFonts w:hint="eastAsia" w:ascii="黑体" w:hAnsi="黑体" w:eastAsia="黑体" w:cs="黑体"/>
          <w:b w:val="0"/>
          <w:bCs w:val="0"/>
        </w:rPr>
        <w:t>政府性基金预算支出决算情况说明</w:t>
      </w:r>
      <w:bookmarkEnd w:id="63"/>
      <w:bookmarkEnd w:id="64"/>
      <w:bookmarkEnd w:id="65"/>
    </w:p>
    <w:p w14:paraId="1899DE55">
      <w:pPr>
        <w:spacing w:line="600" w:lineRule="exact"/>
        <w:ind w:firstLine="640"/>
        <w:rPr>
          <w:rFonts w:ascii="宋体"/>
          <w:color w:val="000000"/>
          <w:sz w:val="32"/>
          <w:szCs w:val="32"/>
        </w:rPr>
      </w:pPr>
      <w:r>
        <w:rPr>
          <w:rFonts w:ascii="宋体" w:hAnsi="宋体" w:cs="宋体"/>
          <w:color w:val="000000"/>
          <w:sz w:val="32"/>
          <w:szCs w:val="32"/>
        </w:rPr>
        <w:t>20</w:t>
      </w:r>
      <w:r>
        <w:rPr>
          <w:rFonts w:hint="eastAsia" w:ascii="宋体" w:hAnsi="宋体" w:cs="宋体"/>
          <w:color w:val="000000"/>
          <w:sz w:val="32"/>
          <w:szCs w:val="32"/>
        </w:rPr>
        <w:t>21年政府性基金预算拨款支出4.62万元。</w:t>
      </w:r>
    </w:p>
    <w:p w14:paraId="03E51EC8">
      <w:pPr>
        <w:numPr>
          <w:ilvl w:val="0"/>
          <w:numId w:val="2"/>
        </w:numPr>
        <w:spacing w:line="600" w:lineRule="exact"/>
        <w:ind w:firstLine="640"/>
        <w:outlineLvl w:val="1"/>
        <w:rPr>
          <w:rStyle w:val="19"/>
          <w:rFonts w:ascii="黑体" w:hAnsi="黑体" w:eastAsia="黑体" w:cs="Times New Roman"/>
          <w:b w:val="0"/>
          <w:bCs w:val="0"/>
        </w:rPr>
      </w:pPr>
      <w:bookmarkStart w:id="66" w:name="_Toc52180090"/>
      <w:bookmarkStart w:id="67" w:name="_Toc15377219"/>
      <w:bookmarkStart w:id="68" w:name="_Toc15396611"/>
      <w:r>
        <w:rPr>
          <w:rStyle w:val="19"/>
          <w:rFonts w:hint="eastAsia" w:ascii="黑体" w:hAnsi="黑体" w:eastAsia="黑体" w:cs="黑体"/>
          <w:b w:val="0"/>
          <w:bCs w:val="0"/>
        </w:rPr>
        <w:t>国有资本经营预算支出决算情况说明</w:t>
      </w:r>
      <w:bookmarkEnd w:id="66"/>
      <w:bookmarkEnd w:id="67"/>
      <w:bookmarkEnd w:id="68"/>
    </w:p>
    <w:p w14:paraId="2FA85A6B">
      <w:pPr>
        <w:spacing w:line="600" w:lineRule="exact"/>
        <w:ind w:firstLine="640"/>
        <w:rPr>
          <w:rFonts w:ascii="宋体"/>
          <w:sz w:val="44"/>
          <w:szCs w:val="44"/>
        </w:rPr>
      </w:pPr>
      <w:r>
        <w:rPr>
          <w:rFonts w:ascii="宋体" w:hAnsi="宋体" w:cs="宋体"/>
          <w:color w:val="000000"/>
          <w:sz w:val="32"/>
          <w:szCs w:val="32"/>
        </w:rPr>
        <w:t>20</w:t>
      </w:r>
      <w:r>
        <w:rPr>
          <w:rFonts w:hint="eastAsia" w:ascii="宋体" w:hAnsi="宋体" w:cs="宋体"/>
          <w:color w:val="000000"/>
          <w:sz w:val="32"/>
          <w:szCs w:val="32"/>
        </w:rPr>
        <w:t>21年国有资本经营预算拨款支出</w:t>
      </w:r>
      <w:r>
        <w:rPr>
          <w:rFonts w:ascii="宋体" w:cs="宋体"/>
          <w:color w:val="000000"/>
          <w:sz w:val="32"/>
          <w:szCs w:val="32"/>
        </w:rPr>
        <w:t>0</w:t>
      </w:r>
      <w:r>
        <w:rPr>
          <w:rFonts w:hint="eastAsia" w:ascii="宋体" w:hAnsi="宋体" w:cs="宋体"/>
          <w:color w:val="000000"/>
          <w:sz w:val="32"/>
          <w:szCs w:val="32"/>
        </w:rPr>
        <w:t>万元。</w:t>
      </w:r>
    </w:p>
    <w:p w14:paraId="68CBB1E4">
      <w:pPr>
        <w:spacing w:line="600" w:lineRule="exact"/>
        <w:ind w:firstLine="800" w:firstLineChars="250"/>
        <w:outlineLvl w:val="1"/>
        <w:rPr>
          <w:rStyle w:val="19"/>
          <w:rFonts w:ascii="黑体" w:hAnsi="黑体" w:eastAsia="黑体" w:cs="Times New Roman"/>
        </w:rPr>
      </w:pPr>
      <w:bookmarkStart w:id="69" w:name="_Toc52180091"/>
      <w:bookmarkStart w:id="70" w:name="_Toc15377221"/>
      <w:bookmarkStart w:id="71" w:name="_Toc15396612"/>
      <w:r>
        <w:rPr>
          <w:rFonts w:hint="eastAsia" w:ascii="黑体" w:hAnsi="黑体" w:eastAsia="黑体" w:cs="黑体"/>
          <w:color w:val="000000"/>
          <w:sz w:val="32"/>
          <w:szCs w:val="32"/>
        </w:rPr>
        <w:t>十</w:t>
      </w:r>
      <w:r>
        <w:rPr>
          <w:rStyle w:val="19"/>
          <w:rFonts w:hint="eastAsia" w:ascii="黑体" w:hAnsi="黑体" w:eastAsia="黑体" w:cs="黑体"/>
        </w:rPr>
        <w:t>、</w:t>
      </w:r>
      <w:r>
        <w:rPr>
          <w:rStyle w:val="19"/>
          <w:rFonts w:hint="eastAsia" w:ascii="黑体" w:hAnsi="黑体" w:eastAsia="黑体" w:cs="黑体"/>
          <w:b w:val="0"/>
          <w:bCs w:val="0"/>
        </w:rPr>
        <w:t>其他重要事项的情况说明</w:t>
      </w:r>
      <w:bookmarkEnd w:id="69"/>
      <w:bookmarkEnd w:id="70"/>
      <w:bookmarkEnd w:id="71"/>
    </w:p>
    <w:p w14:paraId="02855588">
      <w:pPr>
        <w:spacing w:line="600" w:lineRule="exact"/>
        <w:ind w:firstLine="643" w:firstLineChars="200"/>
        <w:outlineLvl w:val="2"/>
        <w:rPr>
          <w:rFonts w:ascii="仿宋" w:hAnsi="仿宋" w:eastAsia="仿宋"/>
          <w:color w:val="000000"/>
          <w:sz w:val="32"/>
          <w:szCs w:val="32"/>
        </w:rPr>
      </w:pPr>
      <w:bookmarkStart w:id="72" w:name="_Toc15377222"/>
      <w:bookmarkStart w:id="73" w:name="_Toc52180092"/>
      <w:r>
        <w:rPr>
          <w:rFonts w:hint="eastAsia" w:ascii="仿宋" w:hAnsi="仿宋" w:eastAsia="仿宋" w:cs="仿宋"/>
          <w:b/>
          <w:bCs/>
          <w:color w:val="000000"/>
          <w:sz w:val="32"/>
          <w:szCs w:val="32"/>
        </w:rPr>
        <w:t>（一）业务运行经费支出情况</w:t>
      </w:r>
      <w:bookmarkEnd w:id="72"/>
      <w:bookmarkEnd w:id="73"/>
    </w:p>
    <w:p w14:paraId="22067A91">
      <w:pPr>
        <w:spacing w:line="600" w:lineRule="exact"/>
        <w:ind w:firstLine="640" w:firstLineChars="200"/>
        <w:rPr>
          <w:rFonts w:ascii="宋体"/>
          <w:color w:val="000000"/>
          <w:sz w:val="32"/>
          <w:szCs w:val="32"/>
        </w:rPr>
      </w:pPr>
      <w:r>
        <w:rPr>
          <w:rFonts w:ascii="宋体" w:hAnsi="宋体" w:cs="宋体"/>
          <w:color w:val="000000"/>
          <w:sz w:val="32"/>
          <w:szCs w:val="32"/>
        </w:rPr>
        <w:t>20</w:t>
      </w:r>
      <w:r>
        <w:rPr>
          <w:rFonts w:hint="eastAsia" w:ascii="宋体" w:hAnsi="宋体" w:cs="宋体"/>
          <w:color w:val="000000"/>
          <w:sz w:val="32"/>
          <w:szCs w:val="32"/>
        </w:rPr>
        <w:t>21年，民族中学校机关运行经费支出21.23万元，较2020年减少1.82万元，下降7.9%，主要原因是学生人数减少，支出减少。</w:t>
      </w:r>
    </w:p>
    <w:p w14:paraId="65F55CBE">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74" w:name="_Toc15377223"/>
      <w:bookmarkStart w:id="75" w:name="_Toc52180093"/>
      <w:r>
        <w:rPr>
          <w:rFonts w:hint="eastAsia" w:ascii="仿宋" w:hAnsi="仿宋" w:eastAsia="仿宋" w:cs="仿宋"/>
          <w:b/>
          <w:bCs/>
          <w:color w:val="000000"/>
          <w:sz w:val="32"/>
          <w:szCs w:val="32"/>
        </w:rPr>
        <w:t>（二）政府采购支出情况</w:t>
      </w:r>
      <w:bookmarkEnd w:id="74"/>
      <w:bookmarkEnd w:id="75"/>
    </w:p>
    <w:p w14:paraId="5D51DEB3">
      <w:pPr>
        <w:spacing w:line="600" w:lineRule="exact"/>
        <w:ind w:firstLine="640" w:firstLineChars="200"/>
        <w:rPr>
          <w:rFonts w:ascii="宋体"/>
          <w:b/>
          <w:bCs/>
          <w:color w:val="FF0000"/>
          <w:sz w:val="32"/>
          <w:szCs w:val="32"/>
        </w:rPr>
      </w:pPr>
      <w:r>
        <w:rPr>
          <w:rFonts w:ascii="宋体" w:hAnsi="宋体" w:cs="宋体"/>
          <w:color w:val="000000"/>
          <w:sz w:val="32"/>
          <w:szCs w:val="32"/>
        </w:rPr>
        <w:t>20</w:t>
      </w:r>
      <w:r>
        <w:rPr>
          <w:rFonts w:hint="eastAsia" w:ascii="宋体" w:hAnsi="宋体" w:cs="宋体"/>
          <w:color w:val="000000"/>
          <w:sz w:val="32"/>
          <w:szCs w:val="32"/>
        </w:rPr>
        <w:t>21年，民族中学校政府采购支出总额</w:t>
      </w:r>
      <w:r>
        <w:rPr>
          <w:rFonts w:ascii="宋体" w:cs="宋体"/>
          <w:color w:val="000000"/>
          <w:sz w:val="32"/>
          <w:szCs w:val="32"/>
        </w:rPr>
        <w:t>0</w:t>
      </w:r>
      <w:r>
        <w:rPr>
          <w:rFonts w:hint="eastAsia" w:ascii="宋体" w:hAnsi="宋体" w:cs="宋体"/>
          <w:color w:val="000000"/>
          <w:sz w:val="32"/>
          <w:szCs w:val="32"/>
        </w:rPr>
        <w:t>万元。</w:t>
      </w:r>
    </w:p>
    <w:p w14:paraId="49F63142">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76" w:name="_Toc52180094"/>
      <w:bookmarkStart w:id="77" w:name="_Toc15377224"/>
      <w:r>
        <w:rPr>
          <w:rFonts w:hint="eastAsia" w:ascii="仿宋" w:hAnsi="仿宋" w:eastAsia="仿宋" w:cs="仿宋"/>
          <w:b/>
          <w:bCs/>
          <w:color w:val="000000"/>
          <w:sz w:val="32"/>
          <w:szCs w:val="32"/>
        </w:rPr>
        <w:t>（三）国有资产占有使用情况</w:t>
      </w:r>
      <w:bookmarkEnd w:id="76"/>
      <w:bookmarkEnd w:id="77"/>
    </w:p>
    <w:p w14:paraId="46EEE29B">
      <w:pPr>
        <w:autoSpaceDE w:val="0"/>
        <w:autoSpaceDN w:val="0"/>
        <w:adjustRightInd w:val="0"/>
        <w:spacing w:line="600" w:lineRule="exact"/>
        <w:ind w:firstLine="640" w:firstLineChars="200"/>
        <w:jc w:val="left"/>
        <w:rPr>
          <w:rFonts w:ascii="宋体"/>
          <w:b/>
          <w:bCs/>
          <w:color w:val="FF0000"/>
          <w:sz w:val="32"/>
          <w:szCs w:val="32"/>
        </w:rPr>
      </w:pPr>
      <w:r>
        <w:rPr>
          <w:rFonts w:hint="eastAsia" w:ascii="宋体" w:hAnsi="宋体" w:cs="宋体"/>
          <w:color w:val="000000"/>
          <w:sz w:val="32"/>
          <w:szCs w:val="32"/>
        </w:rPr>
        <w:t>截至</w:t>
      </w:r>
      <w:r>
        <w:rPr>
          <w:rFonts w:ascii="宋体" w:hAnsi="宋体" w:cs="宋体"/>
          <w:color w:val="000000"/>
          <w:sz w:val="32"/>
          <w:szCs w:val="32"/>
        </w:rPr>
        <w:t>20</w:t>
      </w:r>
      <w:r>
        <w:rPr>
          <w:rFonts w:hint="eastAsia" w:ascii="宋体" w:hAnsi="宋体" w:cs="宋体"/>
          <w:color w:val="000000"/>
          <w:sz w:val="32"/>
          <w:szCs w:val="32"/>
        </w:rPr>
        <w:t>21年</w:t>
      </w:r>
      <w:r>
        <w:rPr>
          <w:rFonts w:ascii="宋体" w:hAnsi="宋体" w:cs="宋体"/>
          <w:color w:val="000000"/>
          <w:sz w:val="32"/>
          <w:szCs w:val="32"/>
        </w:rPr>
        <w:t>12</w:t>
      </w:r>
      <w:r>
        <w:rPr>
          <w:rFonts w:hint="eastAsia" w:ascii="宋体" w:hAnsi="宋体" w:cs="宋体"/>
          <w:color w:val="000000"/>
          <w:sz w:val="32"/>
          <w:szCs w:val="32"/>
        </w:rPr>
        <w:t>月</w:t>
      </w:r>
      <w:r>
        <w:rPr>
          <w:rFonts w:ascii="宋体" w:hAnsi="宋体" w:cs="宋体"/>
          <w:color w:val="000000"/>
          <w:sz w:val="32"/>
          <w:szCs w:val="32"/>
        </w:rPr>
        <w:t>31</w:t>
      </w:r>
      <w:r>
        <w:rPr>
          <w:rFonts w:hint="eastAsia" w:ascii="宋体" w:hAnsi="宋体" w:cs="宋体"/>
          <w:color w:val="000000"/>
          <w:sz w:val="32"/>
          <w:szCs w:val="32"/>
        </w:rPr>
        <w:t>日，民族中学共有车辆</w:t>
      </w:r>
      <w:r>
        <w:rPr>
          <w:rFonts w:ascii="宋体" w:cs="宋体"/>
          <w:color w:val="000000"/>
          <w:sz w:val="32"/>
          <w:szCs w:val="32"/>
        </w:rPr>
        <w:t>0</w:t>
      </w:r>
      <w:r>
        <w:rPr>
          <w:rFonts w:hint="eastAsia" w:ascii="宋体" w:hAnsi="宋体" w:cs="宋体"/>
          <w:color w:val="000000"/>
          <w:sz w:val="32"/>
          <w:szCs w:val="32"/>
        </w:rPr>
        <w:t>辆。</w:t>
      </w:r>
    </w:p>
    <w:p w14:paraId="020A4199">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78" w:name="_Toc52180095"/>
      <w:r>
        <w:rPr>
          <w:rFonts w:hint="eastAsia" w:ascii="仿宋" w:hAnsi="仿宋" w:eastAsia="仿宋" w:cs="仿宋"/>
          <w:b/>
          <w:bCs/>
          <w:color w:val="000000"/>
          <w:sz w:val="32"/>
          <w:szCs w:val="32"/>
        </w:rPr>
        <w:t>（四）预算绩效管理情况。</w:t>
      </w:r>
      <w:bookmarkEnd w:id="78"/>
    </w:p>
    <w:p w14:paraId="2294C58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学校综合楼背后围墙改造项目开展了预算事前绩效评估，编制了绩效目标，预算执行过程中，选取学校综合楼背后围墙改造项目开展绩效监控，年终执行完毕后，该项目开展了绩效自评。同时，本部门对2021年部门整体开展绩效自评，《2021年盐边县民族中学校部门整体绩效评价报告》见附件（第四部分）。</w:t>
      </w:r>
    </w:p>
    <w:p w14:paraId="2160741B">
      <w:pPr>
        <w:spacing w:line="580" w:lineRule="exact"/>
        <w:ind w:firstLine="640" w:firstLineChars="200"/>
        <w:rPr>
          <w:rFonts w:ascii="宋体" w:hAnsi="宋体" w:cs="宋体"/>
          <w:sz w:val="32"/>
          <w:szCs w:val="32"/>
        </w:rPr>
      </w:pPr>
    </w:p>
    <w:p w14:paraId="3E1B453D">
      <w:pPr>
        <w:widowControl/>
        <w:jc w:val="left"/>
        <w:rPr>
          <w:rFonts w:ascii="宋体"/>
          <w:sz w:val="32"/>
          <w:szCs w:val="32"/>
        </w:rPr>
      </w:pPr>
    </w:p>
    <w:p w14:paraId="0C9EE97C">
      <w:pPr>
        <w:widowControl/>
        <w:jc w:val="left"/>
        <w:rPr>
          <w:rFonts w:ascii="宋体"/>
          <w:sz w:val="32"/>
          <w:szCs w:val="32"/>
        </w:rPr>
      </w:pPr>
    </w:p>
    <w:p w14:paraId="757D9ADF">
      <w:pPr>
        <w:widowControl/>
        <w:jc w:val="left"/>
        <w:rPr>
          <w:rFonts w:ascii="宋体"/>
          <w:sz w:val="32"/>
          <w:szCs w:val="32"/>
        </w:rPr>
      </w:pPr>
    </w:p>
    <w:p w14:paraId="5623229B">
      <w:pPr>
        <w:widowControl/>
        <w:jc w:val="left"/>
        <w:rPr>
          <w:rFonts w:ascii="宋体"/>
          <w:sz w:val="32"/>
          <w:szCs w:val="32"/>
        </w:rPr>
      </w:pPr>
    </w:p>
    <w:p w14:paraId="69149593">
      <w:pPr>
        <w:numPr>
          <w:ilvl w:val="0"/>
          <w:numId w:val="3"/>
        </w:numPr>
        <w:spacing w:line="600" w:lineRule="exact"/>
        <w:ind w:firstLine="660"/>
        <w:jc w:val="center"/>
        <w:outlineLvl w:val="0"/>
        <w:rPr>
          <w:rStyle w:val="18"/>
          <w:rFonts w:ascii="黑体" w:hAnsi="黑体" w:eastAsia="黑体"/>
          <w:b w:val="0"/>
          <w:bCs w:val="0"/>
        </w:rPr>
      </w:pPr>
      <w:bookmarkStart w:id="79" w:name="_Toc15377225"/>
      <w:bookmarkStart w:id="80" w:name="_Toc52180096"/>
      <w:bookmarkStart w:id="81" w:name="_Toc15396613"/>
      <w:r>
        <w:rPr>
          <w:rFonts w:hint="eastAsia" w:ascii="黑体" w:hAnsi="黑体" w:eastAsia="黑体" w:cs="黑体"/>
          <w:color w:val="000000"/>
          <w:sz w:val="44"/>
          <w:szCs w:val="44"/>
        </w:rPr>
        <w:t>名</w:t>
      </w:r>
      <w:r>
        <w:rPr>
          <w:rStyle w:val="18"/>
          <w:rFonts w:hint="eastAsia" w:ascii="黑体" w:hAnsi="黑体" w:eastAsia="黑体" w:cs="黑体"/>
          <w:b w:val="0"/>
          <w:bCs w:val="0"/>
        </w:rPr>
        <w:t>词解释</w:t>
      </w:r>
      <w:bookmarkEnd w:id="79"/>
      <w:bookmarkEnd w:id="80"/>
      <w:bookmarkEnd w:id="81"/>
    </w:p>
    <w:p w14:paraId="36A3D4E6">
      <w:pPr>
        <w:spacing w:line="600" w:lineRule="exact"/>
        <w:jc w:val="left"/>
        <w:rPr>
          <w:rFonts w:ascii="宋体"/>
          <w:b/>
          <w:bCs/>
          <w:color w:val="000000"/>
          <w:sz w:val="44"/>
          <w:szCs w:val="44"/>
        </w:rPr>
      </w:pPr>
    </w:p>
    <w:p w14:paraId="7CE19090">
      <w:pPr>
        <w:pStyle w:val="29"/>
        <w:spacing w:line="560" w:lineRule="exact"/>
        <w:ind w:firstLine="640" w:firstLineChars="20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财政拨款收入：指单位从同级财政部门取得的财政预算资金。</w:t>
      </w:r>
    </w:p>
    <w:p w14:paraId="1022BA70">
      <w:pPr>
        <w:pStyle w:val="29"/>
        <w:spacing w:line="560" w:lineRule="exact"/>
        <w:ind w:firstLine="640" w:firstLineChars="200"/>
        <w:rPr>
          <w:rFonts w:ascii="宋体" w:hAnsi="宋体" w:eastAsia="宋体" w:cs="Times New Roman"/>
          <w:sz w:val="32"/>
          <w:szCs w:val="32"/>
        </w:rPr>
      </w:pPr>
      <w:r>
        <w:rPr>
          <w:rFonts w:ascii="宋体" w:hAnsi="宋体" w:eastAsia="宋体" w:cs="宋体"/>
          <w:sz w:val="32"/>
          <w:szCs w:val="32"/>
        </w:rPr>
        <w:t xml:space="preserve">2. </w:t>
      </w:r>
      <w:r>
        <w:rPr>
          <w:rFonts w:hint="eastAsia" w:ascii="宋体" w:hAnsi="宋体" w:eastAsia="宋体" w:cs="宋体"/>
          <w:sz w:val="32"/>
          <w:szCs w:val="32"/>
        </w:rPr>
        <w:t>事业收入：指事业单位开展专业业务活动及辅助活动所取得的收入。（主要是初高中学校、幼儿园收取的中、高考报名费、学杂费、保教费上缴财政专户后，财政拨付各学校使用的资金）。</w:t>
      </w:r>
    </w:p>
    <w:p w14:paraId="6D014386">
      <w:pPr>
        <w:pStyle w:val="29"/>
        <w:spacing w:line="560" w:lineRule="exact"/>
        <w:ind w:firstLine="640" w:firstLineChars="200"/>
        <w:rPr>
          <w:rFonts w:ascii="宋体" w:hAnsi="宋体" w:eastAsia="宋体" w:cs="Times New Roman"/>
          <w:sz w:val="32"/>
          <w:szCs w:val="32"/>
        </w:rPr>
      </w:pPr>
      <w:r>
        <w:rPr>
          <w:rFonts w:ascii="宋体" w:hAnsi="宋体" w:eastAsia="宋体" w:cs="宋体"/>
          <w:sz w:val="32"/>
          <w:szCs w:val="32"/>
        </w:rPr>
        <w:t xml:space="preserve">3. </w:t>
      </w:r>
      <w:r>
        <w:rPr>
          <w:rFonts w:hint="eastAsia" w:ascii="宋体" w:hAnsi="宋体" w:eastAsia="宋体" w:cs="宋体"/>
          <w:sz w:val="32"/>
          <w:szCs w:val="32"/>
        </w:rPr>
        <w:t>经营收入：指事业单位在专业业务活动及其辅助活动之外开展非独立核算经营活动取得的收入。（主要是各学校经营收入、房屋出租出入）。</w:t>
      </w:r>
    </w:p>
    <w:p w14:paraId="64DBDB8A">
      <w:pPr>
        <w:pStyle w:val="29"/>
        <w:spacing w:line="560" w:lineRule="exact"/>
        <w:ind w:firstLine="640" w:firstLineChars="200"/>
        <w:rPr>
          <w:rFonts w:ascii="宋体" w:hAnsi="宋体" w:eastAsia="宋体" w:cs="宋体"/>
          <w:sz w:val="32"/>
          <w:szCs w:val="32"/>
        </w:rPr>
      </w:pPr>
      <w:r>
        <w:rPr>
          <w:rFonts w:ascii="宋体" w:hAnsi="宋体" w:eastAsia="宋体" w:cs="宋体"/>
          <w:sz w:val="32"/>
          <w:szCs w:val="32"/>
        </w:rPr>
        <w:t xml:space="preserve">4. </w:t>
      </w:r>
      <w:r>
        <w:rPr>
          <w:rFonts w:hint="eastAsia" w:ascii="宋体" w:hAnsi="宋体" w:eastAsia="宋体" w:cs="宋体"/>
          <w:sz w:val="32"/>
          <w:szCs w:val="32"/>
        </w:rPr>
        <w:t>其他收入：指除上述“财政拨款收入”“事业收入”“经营收入”等以外的收入。主要是银行存款结息收入。</w:t>
      </w:r>
      <w:r>
        <w:rPr>
          <w:rFonts w:ascii="宋体" w:hAnsi="宋体" w:eastAsia="宋体" w:cs="宋体"/>
          <w:sz w:val="32"/>
          <w:szCs w:val="32"/>
        </w:rPr>
        <w:t xml:space="preserve"> </w:t>
      </w:r>
    </w:p>
    <w:p w14:paraId="0C8E2F76">
      <w:pPr>
        <w:pStyle w:val="29"/>
        <w:spacing w:line="560" w:lineRule="exact"/>
        <w:ind w:firstLine="640" w:firstLineChars="200"/>
        <w:rPr>
          <w:rFonts w:ascii="宋体" w:hAnsi="宋体" w:eastAsia="宋体" w:cs="Times New Roman"/>
          <w:sz w:val="32"/>
          <w:szCs w:val="32"/>
        </w:rPr>
      </w:pPr>
      <w:r>
        <w:rPr>
          <w:rFonts w:ascii="宋体" w:hAnsi="宋体" w:eastAsia="宋体" w:cs="宋体"/>
          <w:sz w:val="32"/>
          <w:szCs w:val="32"/>
        </w:rPr>
        <w:t xml:space="preserve">5. </w:t>
      </w:r>
      <w:r>
        <w:rPr>
          <w:rFonts w:hint="eastAsia" w:ascii="宋体" w:hAnsi="宋体" w:eastAsia="宋体" w:cs="宋体"/>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CEF1567">
      <w:pPr>
        <w:pStyle w:val="29"/>
        <w:spacing w:line="560" w:lineRule="exact"/>
        <w:ind w:firstLine="640" w:firstLineChars="200"/>
        <w:rPr>
          <w:rFonts w:ascii="宋体" w:hAnsi="宋体" w:eastAsia="宋体" w:cs="宋体"/>
          <w:sz w:val="32"/>
          <w:szCs w:val="32"/>
        </w:rPr>
      </w:pPr>
      <w:r>
        <w:rPr>
          <w:rFonts w:ascii="宋体" w:hAnsi="宋体" w:eastAsia="宋体" w:cs="宋体"/>
          <w:sz w:val="32"/>
          <w:szCs w:val="32"/>
        </w:rPr>
        <w:t>6.</w:t>
      </w:r>
      <w:r>
        <w:rPr>
          <w:rFonts w:hint="eastAsia" w:ascii="宋体" w:hAnsi="宋体" w:eastAsia="宋体" w:cs="宋体"/>
          <w:sz w:val="32"/>
          <w:szCs w:val="32"/>
        </w:rPr>
        <w:t>年初结转和结余：指以前年度尚未完成、结转到本年按有关规定继续使用的资金。</w:t>
      </w:r>
      <w:r>
        <w:rPr>
          <w:rFonts w:ascii="宋体" w:hAnsi="宋体" w:eastAsia="宋体" w:cs="宋体"/>
          <w:sz w:val="32"/>
          <w:szCs w:val="32"/>
        </w:rPr>
        <w:t xml:space="preserve"> </w:t>
      </w:r>
    </w:p>
    <w:p w14:paraId="36F290A8">
      <w:pPr>
        <w:pStyle w:val="29"/>
        <w:spacing w:line="560" w:lineRule="exact"/>
        <w:ind w:firstLine="640" w:firstLineChars="200"/>
        <w:rPr>
          <w:rFonts w:ascii="宋体" w:hAnsi="宋体" w:eastAsia="宋体" w:cs="Times New Roman"/>
          <w:sz w:val="32"/>
          <w:szCs w:val="32"/>
        </w:rPr>
      </w:pPr>
      <w:r>
        <w:rPr>
          <w:rFonts w:ascii="宋体" w:hAnsi="宋体" w:eastAsia="宋体" w:cs="宋体"/>
          <w:sz w:val="32"/>
          <w:szCs w:val="32"/>
        </w:rPr>
        <w:t xml:space="preserve">7. </w:t>
      </w:r>
      <w:r>
        <w:rPr>
          <w:rFonts w:hint="eastAsia" w:ascii="宋体" w:hAnsi="宋体" w:eastAsia="宋体" w:cs="宋体"/>
          <w:sz w:val="32"/>
          <w:szCs w:val="32"/>
        </w:rPr>
        <w:t>结余分配：指事业单位按照事业单位会计制度的规定从非财政补助结余中分配的事业基金和职工福利基金等。</w:t>
      </w:r>
    </w:p>
    <w:p w14:paraId="72F4F66A">
      <w:pPr>
        <w:pStyle w:val="29"/>
        <w:spacing w:line="560" w:lineRule="exact"/>
        <w:ind w:firstLine="640" w:firstLineChars="200"/>
        <w:rPr>
          <w:rFonts w:ascii="宋体" w:hAnsi="宋体" w:eastAsia="宋体" w:cs="Times New Roman"/>
          <w:sz w:val="32"/>
          <w:szCs w:val="32"/>
        </w:rPr>
      </w:pPr>
      <w:r>
        <w:rPr>
          <w:rFonts w:ascii="宋体" w:hAnsi="宋体" w:eastAsia="宋体" w:cs="宋体"/>
          <w:sz w:val="32"/>
          <w:szCs w:val="32"/>
        </w:rPr>
        <w:t>8</w:t>
      </w:r>
      <w:r>
        <w:rPr>
          <w:rFonts w:hint="eastAsia" w:ascii="宋体" w:hAnsi="宋体" w:eastAsia="宋体" w:cs="宋体"/>
          <w:sz w:val="32"/>
          <w:szCs w:val="32"/>
        </w:rPr>
        <w:t>、年末结转和结余：指单位按有关规定结转到下年或以后年度继续使用的资金。</w:t>
      </w:r>
    </w:p>
    <w:p w14:paraId="2E6273DB">
      <w:pPr>
        <w:pStyle w:val="29"/>
        <w:spacing w:line="560" w:lineRule="exact"/>
        <w:ind w:firstLine="640" w:firstLineChars="200"/>
        <w:rPr>
          <w:rFonts w:eastAsia="仿宋_GB2312"/>
          <w:color w:val="auto"/>
          <w:sz w:val="32"/>
          <w:szCs w:val="32"/>
        </w:rPr>
      </w:pPr>
      <w:r>
        <w:rPr>
          <w:rFonts w:ascii="宋体" w:hAnsi="宋体" w:cs="宋体"/>
          <w:sz w:val="32"/>
          <w:szCs w:val="32"/>
        </w:rPr>
        <w:t xml:space="preserve">9. </w:t>
      </w:r>
      <w:r>
        <w:rPr>
          <w:rFonts w:hint="eastAsia" w:eastAsia="仿宋_GB2312"/>
          <w:sz w:val="32"/>
          <w:szCs w:val="32"/>
        </w:rPr>
        <w:t>教</w:t>
      </w:r>
      <w:r>
        <w:rPr>
          <w:rFonts w:hint="eastAsia" w:eastAsia="仿宋_GB2312"/>
          <w:color w:val="auto"/>
          <w:sz w:val="32"/>
          <w:szCs w:val="32"/>
        </w:rPr>
        <w:t>育支出（205类）普通教育（02款）初中教育（03项）：反映各部门举办的初中教育支出。政府各部门对社会组织等举办的初中的资助，如捐赠、补贴等，也在本科目中反映。</w:t>
      </w:r>
    </w:p>
    <w:p w14:paraId="73027D0B">
      <w:pPr>
        <w:spacing w:line="600" w:lineRule="exact"/>
        <w:ind w:firstLine="640" w:firstLineChars="200"/>
        <w:rPr>
          <w:rFonts w:eastAsia="仿宋_GB2312"/>
          <w:color w:val="000000"/>
          <w:kern w:val="0"/>
          <w:sz w:val="32"/>
          <w:szCs w:val="32"/>
        </w:rPr>
      </w:pPr>
      <w:r>
        <w:rPr>
          <w:rFonts w:ascii="宋体" w:hAnsi="宋体" w:cs="宋体"/>
          <w:color w:val="000000"/>
          <w:sz w:val="32"/>
          <w:szCs w:val="32"/>
        </w:rPr>
        <w:t>10.</w:t>
      </w:r>
      <w:r>
        <w:rPr>
          <w:rStyle w:val="16"/>
          <w:rFonts w:ascii="宋体" w:hAnsi="宋体" w:cs="宋体"/>
          <w:color w:val="000000"/>
          <w:sz w:val="32"/>
          <w:szCs w:val="32"/>
        </w:rPr>
        <w:t xml:space="preserve"> </w:t>
      </w:r>
      <w:r>
        <w:rPr>
          <w:rFonts w:hint="eastAsia" w:eastAsia="仿宋_GB2312"/>
          <w:color w:val="000000"/>
          <w:kern w:val="0"/>
          <w:sz w:val="32"/>
          <w:szCs w:val="32"/>
        </w:rPr>
        <w:t>社会保障和就业支出（208类）行政事业单位养老支出（05款）机关事业单位基本养老保险缴费支出（05项）：指反映机关事业单位实施养老保险制度由单位实际缴纳的基本养老保险费支出。</w:t>
      </w:r>
    </w:p>
    <w:p w14:paraId="329D520B">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11.社会保障和就业支出（208类）行政事业单位养老支出（05款）机关事业单位职业年金缴费支出（06项）：反映机关事业单位实施养老保险制度由单位实际缴纳的职业年金支出。</w:t>
      </w:r>
    </w:p>
    <w:p w14:paraId="619C478A">
      <w:pPr>
        <w:spacing w:line="600" w:lineRule="exact"/>
        <w:ind w:firstLine="640" w:firstLineChars="200"/>
        <w:rPr>
          <w:rFonts w:eastAsia="仿宋_GB2312"/>
          <w:color w:val="000000"/>
          <w:kern w:val="0"/>
          <w:sz w:val="32"/>
          <w:szCs w:val="32"/>
        </w:rPr>
      </w:pPr>
      <w:r>
        <w:rPr>
          <w:rFonts w:ascii="宋体" w:hAnsi="宋体" w:cs="宋体"/>
          <w:color w:val="000000"/>
          <w:sz w:val="32"/>
          <w:szCs w:val="32"/>
        </w:rPr>
        <w:t>1</w:t>
      </w:r>
      <w:r>
        <w:rPr>
          <w:rFonts w:hint="eastAsia" w:ascii="宋体" w:hAnsi="宋体" w:cs="宋体"/>
          <w:color w:val="000000"/>
          <w:sz w:val="32"/>
          <w:szCs w:val="32"/>
        </w:rPr>
        <w:t>2</w:t>
      </w:r>
      <w:r>
        <w:rPr>
          <w:rFonts w:ascii="宋体" w:hAnsi="宋体" w:cs="宋体"/>
          <w:color w:val="000000"/>
          <w:sz w:val="32"/>
          <w:szCs w:val="32"/>
        </w:rPr>
        <w:t>.</w:t>
      </w:r>
      <w:r>
        <w:rPr>
          <w:rStyle w:val="16"/>
          <w:rFonts w:ascii="宋体" w:hAnsi="宋体" w:cs="宋体"/>
          <w:color w:val="000000"/>
          <w:sz w:val="32"/>
          <w:szCs w:val="32"/>
        </w:rPr>
        <w:t xml:space="preserve"> </w:t>
      </w:r>
      <w:r>
        <w:rPr>
          <w:rFonts w:hint="eastAsia" w:eastAsia="仿宋_GB2312"/>
          <w:color w:val="000000"/>
          <w:kern w:val="0"/>
          <w:sz w:val="32"/>
          <w:szCs w:val="32"/>
        </w:rPr>
        <w:t>住房保障支出（221类）住房改革支出（02款）住房公积金（01项）：指反映行政事业单位按照人力资源和社会保障部、财政部规定的基本工资和津贴补贴以及规定比例为职工缴纳的住房公积金。</w:t>
      </w:r>
    </w:p>
    <w:p w14:paraId="5F2DAA0F">
      <w:pPr>
        <w:pStyle w:val="2"/>
        <w:spacing w:before="93"/>
        <w:ind w:firstLine="640" w:firstLineChars="200"/>
        <w:rPr>
          <w:color w:val="000000"/>
          <w:sz w:val="32"/>
          <w:szCs w:val="32"/>
        </w:rPr>
      </w:pPr>
      <w:r>
        <w:rPr>
          <w:rFonts w:hint="eastAsia"/>
          <w:color w:val="000000"/>
          <w:sz w:val="32"/>
          <w:szCs w:val="32"/>
        </w:rPr>
        <w:t>13.住房保障支出（221类）住房改革支出（02款）购房补贴（03项）：反映房改政策规定，行政事业单位向符合条件职工（含离退休人员）、军队（含武警）向转役复员离退休人员发放的用于购买住房的补贴。</w:t>
      </w:r>
    </w:p>
    <w:p w14:paraId="58C50AF0">
      <w:pPr>
        <w:ind w:firstLine="640" w:firstLineChars="200"/>
        <w:rPr>
          <w:rFonts w:ascii="宋体"/>
          <w:color w:val="000000"/>
          <w:sz w:val="32"/>
          <w:szCs w:val="32"/>
        </w:rPr>
      </w:pPr>
      <w:r>
        <w:rPr>
          <w:rFonts w:ascii="宋体" w:hAnsi="宋体" w:cs="宋体"/>
          <w:color w:val="000000"/>
          <w:sz w:val="32"/>
          <w:szCs w:val="32"/>
        </w:rPr>
        <w:t>1</w:t>
      </w:r>
      <w:r>
        <w:rPr>
          <w:rFonts w:hint="eastAsia" w:ascii="宋体" w:hAnsi="宋体" w:cs="宋体"/>
          <w:color w:val="000000"/>
          <w:sz w:val="32"/>
          <w:szCs w:val="32"/>
        </w:rPr>
        <w:t>4</w:t>
      </w:r>
      <w:r>
        <w:rPr>
          <w:rFonts w:ascii="宋体" w:hAnsi="宋体" w:cs="宋体"/>
          <w:color w:val="000000"/>
          <w:sz w:val="32"/>
          <w:szCs w:val="32"/>
        </w:rPr>
        <w:t>.</w:t>
      </w:r>
      <w:r>
        <w:rPr>
          <w:rFonts w:hint="eastAsia" w:ascii="宋体" w:hAnsi="宋体" w:cs="宋体"/>
          <w:color w:val="000000"/>
          <w:sz w:val="32"/>
          <w:szCs w:val="32"/>
        </w:rPr>
        <w:t>基本支出：指为保障机构正常运转、完成日常工作任务而发生的人员支出和公用支出。</w:t>
      </w:r>
    </w:p>
    <w:p w14:paraId="04128255">
      <w:pPr>
        <w:ind w:firstLine="640" w:firstLineChars="200"/>
        <w:rPr>
          <w:rFonts w:ascii="宋体" w:hAnsi="宋体" w:cs="宋体"/>
          <w:color w:val="000000"/>
          <w:sz w:val="32"/>
          <w:szCs w:val="32"/>
        </w:rPr>
      </w:pPr>
      <w:r>
        <w:rPr>
          <w:rFonts w:ascii="宋体" w:hAnsi="宋体" w:cs="宋体"/>
          <w:color w:val="000000"/>
          <w:sz w:val="32"/>
          <w:szCs w:val="32"/>
        </w:rPr>
        <w:t>1</w:t>
      </w:r>
      <w:r>
        <w:rPr>
          <w:rFonts w:hint="eastAsia" w:ascii="宋体" w:hAnsi="宋体" w:cs="宋体"/>
          <w:color w:val="000000"/>
          <w:sz w:val="32"/>
          <w:szCs w:val="32"/>
        </w:rPr>
        <w:t>5</w:t>
      </w:r>
      <w:r>
        <w:rPr>
          <w:rFonts w:ascii="宋体" w:hAnsi="宋体" w:cs="宋体"/>
          <w:color w:val="000000"/>
          <w:sz w:val="32"/>
          <w:szCs w:val="32"/>
        </w:rPr>
        <w:t>.</w:t>
      </w:r>
      <w:r>
        <w:rPr>
          <w:rFonts w:hint="eastAsia" w:ascii="宋体" w:hAnsi="宋体" w:cs="宋体"/>
          <w:color w:val="000000"/>
          <w:sz w:val="32"/>
          <w:szCs w:val="32"/>
        </w:rPr>
        <w:t>项目支出：指在基本支出之外为完成特定行政任务和事业发展目标所发生的支出。</w:t>
      </w:r>
      <w:r>
        <w:rPr>
          <w:rFonts w:ascii="宋体" w:hAnsi="宋体" w:cs="宋体"/>
          <w:color w:val="000000"/>
          <w:sz w:val="32"/>
          <w:szCs w:val="32"/>
        </w:rPr>
        <w:t xml:space="preserve"> </w:t>
      </w:r>
    </w:p>
    <w:p w14:paraId="38C32B5A">
      <w:pPr>
        <w:ind w:firstLine="640" w:firstLineChars="200"/>
        <w:rPr>
          <w:rFonts w:ascii="宋体"/>
          <w:color w:val="000000"/>
          <w:sz w:val="32"/>
          <w:szCs w:val="32"/>
        </w:rPr>
      </w:pPr>
      <w:r>
        <w:rPr>
          <w:rFonts w:hint="eastAsia" w:ascii="宋体" w:hAnsi="宋体" w:cs="宋体"/>
          <w:color w:val="000000"/>
          <w:sz w:val="32"/>
          <w:szCs w:val="32"/>
        </w:rPr>
        <w:t>16</w:t>
      </w:r>
      <w:r>
        <w:rPr>
          <w:rFonts w:ascii="宋体" w:hAnsi="宋体" w:cs="宋体"/>
          <w:color w:val="000000"/>
          <w:sz w:val="32"/>
          <w:szCs w:val="32"/>
        </w:rPr>
        <w:t>.</w:t>
      </w:r>
      <w:r>
        <w:rPr>
          <w:rFonts w:hint="eastAsia" w:ascii="宋体" w:hAnsi="宋体" w:cs="宋体"/>
          <w:color w:val="000000"/>
          <w:sz w:val="32"/>
          <w:szCs w:val="32"/>
        </w:rPr>
        <w:t>经营支出：指事业单位在专业业务活动及其辅助活动之外开展非独立核算经营活动发生的支出。</w:t>
      </w:r>
    </w:p>
    <w:p w14:paraId="58D49497">
      <w:pPr>
        <w:spacing w:line="600" w:lineRule="exact"/>
        <w:ind w:firstLine="640" w:firstLineChars="200"/>
        <w:rPr>
          <w:rFonts w:eastAsia="仿宋_GB2312"/>
          <w:color w:val="000000"/>
          <w:kern w:val="0"/>
          <w:sz w:val="32"/>
          <w:szCs w:val="32"/>
        </w:rPr>
      </w:pPr>
      <w:r>
        <w:rPr>
          <w:rFonts w:ascii="宋体" w:hAnsi="宋体" w:cs="宋体"/>
          <w:sz w:val="32"/>
          <w:szCs w:val="32"/>
        </w:rPr>
        <w:t>1</w:t>
      </w:r>
      <w:r>
        <w:rPr>
          <w:rFonts w:hint="eastAsia" w:ascii="宋体" w:hAnsi="宋体" w:cs="宋体"/>
          <w:sz w:val="32"/>
          <w:szCs w:val="32"/>
        </w:rPr>
        <w:t>7</w:t>
      </w:r>
      <w:r>
        <w:rPr>
          <w:rFonts w:ascii="宋体" w:hAnsi="宋体" w:cs="宋体"/>
          <w:sz w:val="32"/>
          <w:szCs w:val="32"/>
        </w:rPr>
        <w:t>.</w:t>
      </w:r>
      <w:r>
        <w:rPr>
          <w:rFonts w:eastAsia="仿宋_GB2312"/>
          <w:color w:val="000000"/>
          <w:kern w:val="0"/>
          <w:sz w:val="32"/>
          <w:szCs w:val="32"/>
        </w:rPr>
        <w:t xml:space="preserve"> “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3E9C45F">
      <w:pPr>
        <w:pStyle w:val="29"/>
        <w:spacing w:line="560" w:lineRule="exact"/>
        <w:ind w:firstLine="640" w:firstLineChars="200"/>
        <w:rPr>
          <w:rFonts w:eastAsia="仿宋_GB2312"/>
          <w:sz w:val="32"/>
          <w:szCs w:val="32"/>
        </w:rPr>
      </w:pPr>
      <w:r>
        <w:rPr>
          <w:rFonts w:ascii="宋体" w:hAnsi="宋体" w:eastAsia="宋体" w:cs="宋体"/>
          <w:sz w:val="32"/>
          <w:szCs w:val="32"/>
        </w:rPr>
        <w:t>1</w:t>
      </w:r>
      <w:r>
        <w:rPr>
          <w:rFonts w:hint="eastAsia" w:ascii="宋体" w:hAnsi="宋体" w:eastAsia="宋体" w:cs="宋体"/>
          <w:sz w:val="32"/>
          <w:szCs w:val="32"/>
        </w:rPr>
        <w:t>8</w:t>
      </w:r>
      <w:r>
        <w:rPr>
          <w:rFonts w:ascii="宋体" w:hAnsi="宋体" w:eastAsia="宋体" w:cs="宋体"/>
          <w:sz w:val="32"/>
          <w:szCs w:val="32"/>
        </w:rPr>
        <w:t>.</w:t>
      </w:r>
      <w:r>
        <w:rPr>
          <w:rFonts w:eastAsia="仿宋_GB2312"/>
          <w:sz w:val="32"/>
          <w:szCs w:val="32"/>
        </w:rPr>
        <w:t xml:space="preserve"> 业务运行经费：为保障事业单位运行用于购买货物和服务的各项资金。包括办公及办公费、水费、电费、印刷费、邮电费、差旅费、会议费等费用开支。</w:t>
      </w:r>
    </w:p>
    <w:p w14:paraId="2612DD07">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19.其他支出（229类）彩票公益金安排的支出（60款）  用于教育事业的彩票公益金支出（04项）：指用于教育事业的彩票公益金支出。</w:t>
      </w:r>
    </w:p>
    <w:p w14:paraId="52B2224A">
      <w:pPr>
        <w:pStyle w:val="29"/>
        <w:spacing w:line="560" w:lineRule="exact"/>
        <w:ind w:firstLine="640" w:firstLineChars="200"/>
        <w:rPr>
          <w:rFonts w:ascii="仿宋_GB2312" w:eastAsia="仿宋_GB2312" w:cs="Times New Roman"/>
          <w:sz w:val="32"/>
          <w:szCs w:val="32"/>
        </w:rPr>
      </w:pPr>
    </w:p>
    <w:p w14:paraId="103C4745">
      <w:pPr>
        <w:pStyle w:val="29"/>
        <w:spacing w:line="560" w:lineRule="exact"/>
        <w:rPr>
          <w:rFonts w:ascii="仿宋_GB2312" w:eastAsia="仿宋_GB2312" w:cs="Times New Roman"/>
          <w:sz w:val="32"/>
          <w:szCs w:val="32"/>
        </w:rPr>
      </w:pPr>
    </w:p>
    <w:p w14:paraId="614910DB">
      <w:pPr>
        <w:pStyle w:val="29"/>
        <w:spacing w:line="560" w:lineRule="exact"/>
        <w:rPr>
          <w:rFonts w:ascii="仿宋_GB2312" w:eastAsia="仿宋_GB2312" w:cs="Times New Roman"/>
          <w:sz w:val="32"/>
          <w:szCs w:val="32"/>
        </w:rPr>
      </w:pPr>
    </w:p>
    <w:p w14:paraId="0F5610E0">
      <w:pPr>
        <w:pStyle w:val="29"/>
        <w:spacing w:line="560" w:lineRule="exact"/>
        <w:rPr>
          <w:rFonts w:ascii="仿宋_GB2312" w:eastAsia="仿宋_GB2312" w:cs="Times New Roman"/>
          <w:sz w:val="32"/>
          <w:szCs w:val="32"/>
        </w:rPr>
      </w:pPr>
    </w:p>
    <w:p w14:paraId="2C85EAAB">
      <w:pPr>
        <w:pStyle w:val="29"/>
        <w:spacing w:line="560" w:lineRule="exact"/>
        <w:rPr>
          <w:rFonts w:ascii="仿宋_GB2312" w:eastAsia="仿宋_GB2312" w:cs="Times New Roman"/>
          <w:sz w:val="32"/>
          <w:szCs w:val="32"/>
        </w:rPr>
      </w:pPr>
    </w:p>
    <w:p w14:paraId="3FB63353">
      <w:pPr>
        <w:pStyle w:val="29"/>
        <w:spacing w:line="560" w:lineRule="exact"/>
        <w:rPr>
          <w:rFonts w:hint="eastAsia" w:ascii="仿宋_GB2312" w:eastAsia="仿宋_GB2312" w:cs="Times New Roman"/>
          <w:sz w:val="32"/>
          <w:szCs w:val="32"/>
        </w:rPr>
      </w:pPr>
    </w:p>
    <w:p w14:paraId="503774D8">
      <w:pPr>
        <w:numPr>
          <w:ilvl w:val="0"/>
          <w:numId w:val="3"/>
        </w:numPr>
        <w:ind w:firstLine="660"/>
        <w:jc w:val="center"/>
        <w:rPr>
          <w:rStyle w:val="18"/>
          <w:rFonts w:ascii="黑体" w:hAnsi="黑体" w:eastAsia="黑体" w:cs="黑体"/>
          <w:b w:val="0"/>
          <w:bCs w:val="0"/>
        </w:rPr>
      </w:pPr>
      <w:bookmarkStart w:id="82" w:name="_Toc52180097"/>
      <w:bookmarkStart w:id="83" w:name="_Toc15396614"/>
      <w:bookmarkStart w:id="84" w:name="_Toc15377226"/>
      <w:r>
        <w:rPr>
          <w:rStyle w:val="18"/>
          <w:rFonts w:hint="eastAsia" w:ascii="黑体" w:hAnsi="黑体" w:eastAsia="黑体" w:cs="黑体"/>
          <w:b w:val="0"/>
          <w:bCs w:val="0"/>
        </w:rPr>
        <w:t>附件</w:t>
      </w:r>
      <w:bookmarkEnd w:id="82"/>
      <w:bookmarkEnd w:id="83"/>
    </w:p>
    <w:p w14:paraId="63AC7F41">
      <w:pPr>
        <w:pStyle w:val="2"/>
        <w:spacing w:before="93"/>
        <w:ind w:left="315" w:leftChars="150"/>
      </w:pPr>
      <w:r>
        <w:rPr>
          <w:rFonts w:hint="eastAsia"/>
          <w:sz w:val="32"/>
          <w:szCs w:val="32"/>
        </w:rPr>
        <w:t>附件1</w:t>
      </w:r>
    </w:p>
    <w:p w14:paraId="6D8D7134">
      <w:pPr>
        <w:spacing w:line="64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1</w:t>
      </w:r>
      <w:r>
        <w:rPr>
          <w:rFonts w:eastAsia="方正小标宋_GBK"/>
          <w:sz w:val="44"/>
          <w:szCs w:val="44"/>
        </w:rPr>
        <w:t>年</w:t>
      </w:r>
      <w:r>
        <w:rPr>
          <w:rFonts w:hint="eastAsia" w:eastAsia="方正小标宋_GBK"/>
          <w:sz w:val="44"/>
          <w:szCs w:val="44"/>
        </w:rPr>
        <w:t>盐边县民族中学校</w:t>
      </w:r>
      <w:r>
        <w:rPr>
          <w:rFonts w:eastAsia="方正小标宋_GBK"/>
          <w:sz w:val="44"/>
          <w:szCs w:val="44"/>
        </w:rPr>
        <w:t>整体支出绩效</w:t>
      </w:r>
    </w:p>
    <w:p w14:paraId="49063811">
      <w:pPr>
        <w:spacing w:line="640" w:lineRule="exact"/>
        <w:jc w:val="center"/>
        <w:rPr>
          <w:rFonts w:eastAsia="方正小标宋_GBK"/>
          <w:sz w:val="44"/>
          <w:szCs w:val="44"/>
        </w:rPr>
      </w:pPr>
      <w:r>
        <w:rPr>
          <w:rFonts w:eastAsia="方正小标宋_GBK"/>
          <w:sz w:val="44"/>
          <w:szCs w:val="44"/>
        </w:rPr>
        <w:t>评价报告</w:t>
      </w:r>
    </w:p>
    <w:p w14:paraId="09D2410C"/>
    <w:p w14:paraId="4A4258D7">
      <w:pPr>
        <w:numPr>
          <w:ilvl w:val="0"/>
          <w:numId w:val="4"/>
        </w:numPr>
        <w:spacing w:line="560" w:lineRule="exact"/>
        <w:ind w:firstLine="640" w:firstLineChars="200"/>
        <w:rPr>
          <w:rFonts w:eastAsia="仿宋_GB2312"/>
          <w:sz w:val="32"/>
          <w:szCs w:val="32"/>
        </w:rPr>
      </w:pPr>
      <w:r>
        <w:rPr>
          <w:rFonts w:eastAsia="黑体"/>
          <w:sz w:val="32"/>
          <w:szCs w:val="32"/>
        </w:rPr>
        <w:t>部门概况。</w:t>
      </w:r>
    </w:p>
    <w:p w14:paraId="0CCFFF60">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（一）机构组成：财政全额拨款事业单位</w:t>
      </w:r>
      <w:r>
        <w:rPr>
          <w:rFonts w:hint="eastAsia" w:ascii="仿宋" w:hAnsi="仿宋" w:eastAsia="仿宋" w:cs="仿宋"/>
          <w:sz w:val="32"/>
          <w:szCs w:val="32"/>
        </w:rPr>
        <w:t>1个</w:t>
      </w:r>
      <w:r>
        <w:rPr>
          <w:rFonts w:hint="eastAsia" w:ascii="仿宋" w:hAnsi="仿宋" w:eastAsia="仿宋" w:cs="仿宋"/>
          <w:sz w:val="32"/>
          <w:szCs w:val="32"/>
          <w:lang w:val="zh-CN"/>
        </w:rPr>
        <w:t>。</w:t>
      </w:r>
    </w:p>
    <w:p w14:paraId="41B4ABF5">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（二）机构职能</w:t>
      </w:r>
    </w:p>
    <w:p w14:paraId="67A5818A">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实施初中义务教育，促进基础教育发展，初中学历教育。</w:t>
      </w:r>
    </w:p>
    <w:p w14:paraId="171501C9">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（三）人员概况：</w:t>
      </w:r>
    </w:p>
    <w:p w14:paraId="3BEA1DCD">
      <w:pPr>
        <w:widowControl/>
        <w:shd w:val="clear" w:color="auto" w:fill="FFFFFF"/>
        <w:spacing w:line="540" w:lineRule="atLeast"/>
        <w:ind w:firstLine="720"/>
        <w:jc w:val="left"/>
        <w:rPr>
          <w:rFonts w:eastAsia="仿宋_GB2312"/>
          <w:sz w:val="32"/>
          <w:szCs w:val="32"/>
        </w:rPr>
      </w:pPr>
      <w:r>
        <w:rPr>
          <w:rFonts w:hint="eastAsia" w:ascii="仿宋" w:hAnsi="仿宋" w:eastAsia="仿宋" w:cs="仿宋"/>
          <w:sz w:val="32"/>
          <w:szCs w:val="32"/>
        </w:rPr>
        <w:t>2021年度本单位人员编制数65人、实有在职职工57人、离退休职工23人，学校现有14个教学班，在校学生650人；本科学历48人，大专学历14人，中专及以下学历1人。</w:t>
      </w:r>
    </w:p>
    <w:p w14:paraId="78B21BE2">
      <w:pPr>
        <w:spacing w:line="560" w:lineRule="exact"/>
        <w:ind w:firstLine="640" w:firstLineChars="200"/>
        <w:rPr>
          <w:rFonts w:eastAsia="黑体"/>
          <w:sz w:val="32"/>
          <w:szCs w:val="32"/>
        </w:rPr>
      </w:pPr>
      <w:r>
        <w:rPr>
          <w:rFonts w:hint="eastAsia" w:eastAsia="黑体"/>
          <w:sz w:val="32"/>
          <w:szCs w:val="32"/>
        </w:rPr>
        <w:t>二</w:t>
      </w:r>
      <w:r>
        <w:rPr>
          <w:rFonts w:eastAsia="黑体"/>
          <w:sz w:val="32"/>
          <w:szCs w:val="32"/>
        </w:rPr>
        <w:t>、部门资金基本情况</w:t>
      </w:r>
    </w:p>
    <w:p w14:paraId="1278B67B">
      <w:pPr>
        <w:spacing w:line="560" w:lineRule="exact"/>
        <w:ind w:firstLine="640" w:firstLineChars="200"/>
        <w:rPr>
          <w:rFonts w:eastAsia="楷体_GB2312"/>
          <w:sz w:val="32"/>
          <w:szCs w:val="32"/>
        </w:rPr>
      </w:pPr>
      <w:r>
        <w:rPr>
          <w:rFonts w:eastAsia="楷体_GB2312"/>
          <w:sz w:val="32"/>
          <w:szCs w:val="32"/>
        </w:rPr>
        <w:t>（一）部门财政资金收入情况。</w:t>
      </w:r>
    </w:p>
    <w:p w14:paraId="6FB1AADD">
      <w:pPr>
        <w:spacing w:line="560" w:lineRule="exact"/>
        <w:ind w:firstLine="640" w:firstLineChars="200"/>
        <w:rPr>
          <w:rFonts w:eastAsia="楷体_GB2312"/>
          <w:sz w:val="32"/>
          <w:szCs w:val="32"/>
        </w:rPr>
      </w:pPr>
      <w:r>
        <w:rPr>
          <w:rFonts w:hint="eastAsia" w:ascii="仿宋" w:hAnsi="仿宋" w:eastAsia="仿宋" w:cs="仿宋"/>
          <w:color w:val="000000"/>
          <w:kern w:val="0"/>
          <w:sz w:val="32"/>
          <w:szCs w:val="32"/>
          <w:shd w:val="clear" w:color="auto" w:fill="FFFFFF"/>
          <w:lang w:bidi="ar"/>
        </w:rPr>
        <w:t>2021年，盐边县民族中学校当年预算收入1070.12万元，全部为当年一般公共财政拨款收入。</w:t>
      </w:r>
    </w:p>
    <w:p w14:paraId="032A44A1">
      <w:pPr>
        <w:numPr>
          <w:ilvl w:val="0"/>
          <w:numId w:val="5"/>
        </w:numPr>
        <w:spacing w:line="560" w:lineRule="exact"/>
        <w:ind w:firstLine="640" w:firstLineChars="200"/>
        <w:rPr>
          <w:rFonts w:eastAsia="楷体_GB2312"/>
          <w:sz w:val="32"/>
          <w:szCs w:val="32"/>
        </w:rPr>
      </w:pPr>
      <w:r>
        <w:rPr>
          <w:rFonts w:eastAsia="楷体_GB2312"/>
          <w:sz w:val="32"/>
          <w:szCs w:val="32"/>
        </w:rPr>
        <w:t>部门财政资金支出情况。</w:t>
      </w:r>
    </w:p>
    <w:p w14:paraId="2F5BE14A">
      <w:pPr>
        <w:spacing w:line="560" w:lineRule="exact"/>
        <w:ind w:firstLine="800" w:firstLineChars="250"/>
        <w:rPr>
          <w:rFonts w:eastAsia="楷体_GB2312"/>
          <w:sz w:val="32"/>
          <w:szCs w:val="32"/>
        </w:rPr>
      </w:pPr>
      <w:r>
        <w:rPr>
          <w:rFonts w:hint="eastAsia" w:ascii="仿宋_GB2312" w:eastAsia="仿宋_GB2312"/>
          <w:color w:val="000000"/>
          <w:sz w:val="32"/>
          <w:szCs w:val="32"/>
        </w:rPr>
        <w:t>2021年民族中学校当年预算支出合计1070.12万元，其中：基本支出966.12万元（人员经费944.89万元，占97.80%；用于学校人员工资、津贴、保险等。公用经费21.23万元，占2.20%；</w:t>
      </w:r>
      <w:r>
        <w:rPr>
          <w:rFonts w:hint="eastAsia" w:ascii="仿宋" w:hAnsi="仿宋" w:eastAsia="仿宋" w:cs="仿宋"/>
          <w:sz w:val="32"/>
          <w:szCs w:val="32"/>
        </w:rPr>
        <w:t>是用于保障学校机构正常运转的维修（护）、劳务支出及职工福利费、工会经费等。）项目支出99.39万元（包括生均公用经费保障学校机构正常运转的办公日常支出及《</w:t>
      </w:r>
      <w:r>
        <w:rPr>
          <w:rFonts w:hint="eastAsia" w:eastAsia="仿宋_GB2312"/>
          <w:sz w:val="32"/>
          <w:szCs w:val="32"/>
        </w:rPr>
        <w:t>盐边县民族中学校运动场围墙安全隐患整治工程</w:t>
      </w:r>
      <w:r>
        <w:rPr>
          <w:rFonts w:hint="eastAsia" w:ascii="仿宋" w:hAnsi="仿宋" w:eastAsia="仿宋" w:cs="仿宋"/>
          <w:sz w:val="32"/>
          <w:szCs w:val="32"/>
        </w:rPr>
        <w:t>》项目资金）</w:t>
      </w:r>
    </w:p>
    <w:p w14:paraId="43971CBA">
      <w:pPr>
        <w:numPr>
          <w:ilvl w:val="0"/>
          <w:numId w:val="5"/>
        </w:numPr>
        <w:spacing w:line="560" w:lineRule="exact"/>
        <w:ind w:firstLine="640" w:firstLineChars="200"/>
        <w:rPr>
          <w:rFonts w:eastAsia="楷体_GB2312"/>
          <w:sz w:val="32"/>
          <w:szCs w:val="32"/>
        </w:rPr>
      </w:pPr>
      <w:r>
        <w:rPr>
          <w:rFonts w:eastAsia="楷体_GB2312"/>
          <w:sz w:val="32"/>
          <w:szCs w:val="32"/>
        </w:rPr>
        <w:t>结转和结余情况。</w:t>
      </w:r>
    </w:p>
    <w:p w14:paraId="55213317">
      <w:pPr>
        <w:spacing w:line="560" w:lineRule="exact"/>
        <w:ind w:left="420" w:leftChars="200" w:firstLine="320" w:firstLineChars="100"/>
        <w:rPr>
          <w:rFonts w:eastAsia="楷体_GB2312"/>
          <w:sz w:val="32"/>
          <w:szCs w:val="32"/>
        </w:rPr>
      </w:pPr>
      <w:r>
        <w:rPr>
          <w:rFonts w:hint="eastAsia" w:eastAsia="楷体_GB2312"/>
          <w:sz w:val="32"/>
          <w:szCs w:val="32"/>
        </w:rPr>
        <w:t>2021年末结余资金</w:t>
      </w:r>
      <w:r>
        <w:rPr>
          <w:rFonts w:hint="eastAsia" w:ascii="仿宋" w:hAnsi="仿宋" w:eastAsia="仿宋" w:cs="仿宋"/>
          <w:color w:val="000000"/>
          <w:kern w:val="0"/>
          <w:sz w:val="32"/>
          <w:szCs w:val="32"/>
          <w:shd w:val="clear" w:color="auto" w:fill="FFFFFF"/>
          <w:lang w:bidi="ar"/>
        </w:rPr>
        <w:t>0万元。</w:t>
      </w:r>
    </w:p>
    <w:p w14:paraId="1BA716C8">
      <w:pPr>
        <w:spacing w:line="560" w:lineRule="exact"/>
        <w:ind w:left="420" w:leftChars="200"/>
        <w:rPr>
          <w:rFonts w:eastAsia="黑体"/>
          <w:sz w:val="32"/>
          <w:szCs w:val="32"/>
        </w:rPr>
      </w:pPr>
    </w:p>
    <w:p w14:paraId="7E73F8E3">
      <w:pPr>
        <w:spacing w:line="560" w:lineRule="exact"/>
        <w:ind w:left="420" w:leftChars="200"/>
        <w:rPr>
          <w:rFonts w:eastAsia="黑体"/>
          <w:sz w:val="32"/>
          <w:szCs w:val="32"/>
        </w:rPr>
      </w:pPr>
      <w:r>
        <w:rPr>
          <w:rFonts w:hint="eastAsia" w:eastAsia="黑体"/>
          <w:sz w:val="32"/>
          <w:szCs w:val="32"/>
        </w:rPr>
        <w:t>三、部门预算绩效管理</w:t>
      </w:r>
      <w:r>
        <w:rPr>
          <w:rFonts w:eastAsia="黑体"/>
          <w:sz w:val="32"/>
          <w:szCs w:val="32"/>
        </w:rPr>
        <w:t>情况</w:t>
      </w:r>
    </w:p>
    <w:p w14:paraId="58E5E2DE">
      <w:pPr>
        <w:spacing w:line="560" w:lineRule="exact"/>
        <w:ind w:left="420" w:leftChars="200"/>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（一）部门预算绩效管理</w:t>
      </w:r>
    </w:p>
    <w:p w14:paraId="5FC341A5">
      <w:pPr>
        <w:numPr>
          <w:ilvl w:val="0"/>
          <w:numId w:val="6"/>
        </w:numPr>
        <w:spacing w:line="560" w:lineRule="exact"/>
        <w:ind w:firstLine="640" w:firstLineChars="200"/>
        <w:rPr>
          <w:rFonts w:eastAsia="仿宋_GB2312"/>
          <w:sz w:val="32"/>
          <w:szCs w:val="32"/>
        </w:rPr>
      </w:pPr>
      <w:r>
        <w:rPr>
          <w:rFonts w:eastAsia="仿宋_GB2312"/>
          <w:sz w:val="32"/>
          <w:szCs w:val="32"/>
        </w:rPr>
        <w:t>总体绩效</w:t>
      </w:r>
    </w:p>
    <w:p w14:paraId="26B107F6">
      <w:pPr>
        <w:spacing w:line="560" w:lineRule="exact"/>
        <w:ind w:firstLine="640"/>
        <w:rPr>
          <w:rFonts w:ascii="仿宋" w:hAnsi="仿宋" w:eastAsia="仿宋" w:cs="仿宋"/>
          <w:sz w:val="32"/>
          <w:szCs w:val="32"/>
        </w:rPr>
      </w:pPr>
      <w:r>
        <w:rPr>
          <w:rFonts w:hint="eastAsia" w:ascii="仿宋" w:hAnsi="仿宋" w:eastAsia="仿宋" w:cs="仿宋"/>
          <w:color w:val="000000"/>
          <w:sz w:val="32"/>
          <w:szCs w:val="32"/>
          <w:shd w:val="clear" w:color="auto" w:fill="FFFFFF"/>
        </w:rPr>
        <w:t>加强德育工作建设，以养成教育为主线，实现全员全方位育人，培养学生逐步形成正确的社会意识，良好的道德品质和良好行为习惯，强化学生自我教育管理的能力。以教学质量为核心，以队伍建设为基础，以新高考改革为契机，加强教研教改，真抓实干，稳步提升我校教学质量和学生综合素质。</w:t>
      </w:r>
      <w:r>
        <w:rPr>
          <w:rFonts w:hint="eastAsia" w:ascii="仿宋" w:hAnsi="仿宋" w:eastAsia="仿宋" w:cs="仿宋"/>
          <w:sz w:val="32"/>
          <w:szCs w:val="32"/>
        </w:rPr>
        <w:t>维护学校整体利益和职工合法权益，合理，高效，规范使用工会经费</w:t>
      </w:r>
      <w:r>
        <w:rPr>
          <w:rFonts w:hint="eastAsia"/>
        </w:rPr>
        <w:t>  ，</w:t>
      </w:r>
      <w:r>
        <w:rPr>
          <w:rFonts w:hint="eastAsia" w:ascii="仿宋" w:hAnsi="仿宋" w:eastAsia="仿宋" w:cs="仿宋"/>
          <w:sz w:val="32"/>
          <w:szCs w:val="32"/>
        </w:rPr>
        <w:t xml:space="preserve">加强党团建设，提高党团员政治素质，发挥党团员先进带头作用，服务学校教育教学工作。搞好学校后勤服务、保障学校办公及师生生活、工作、学习所具备的良好条件。 </w:t>
      </w:r>
    </w:p>
    <w:p w14:paraId="6E951AD6">
      <w:pPr>
        <w:numPr>
          <w:ilvl w:val="0"/>
          <w:numId w:val="6"/>
        </w:numPr>
        <w:spacing w:line="560" w:lineRule="exact"/>
        <w:ind w:firstLine="640" w:firstLineChars="200"/>
        <w:rPr>
          <w:rFonts w:eastAsia="仿宋_GB2312"/>
          <w:sz w:val="32"/>
          <w:szCs w:val="32"/>
        </w:rPr>
      </w:pPr>
      <w:r>
        <w:rPr>
          <w:rFonts w:eastAsia="仿宋_GB2312"/>
          <w:sz w:val="32"/>
          <w:szCs w:val="32"/>
        </w:rPr>
        <w:t>主要目标绩效完成情况</w:t>
      </w:r>
    </w:p>
    <w:p w14:paraId="0341A73E">
      <w:pPr>
        <w:pStyle w:val="13"/>
        <w:widowControl/>
        <w:shd w:val="clear" w:color="auto" w:fill="FFFFFF"/>
        <w:spacing w:before="0" w:beforeAutospacing="0" w:after="0" w:afterAutospacing="0" w:line="383" w:lineRule="atLeast"/>
        <w:ind w:firstLine="645"/>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学校整体支出能严格按县财政局及县教育和体育局等部门的规定使用预算资金，确保教育教学工作顺利进行，支出管理规范、贯彻落实厉行节约、严控“三公”经费、降低一般运行经费、加强项目支出管理，一般性支出、会议支出、办公经费支出、机构编制和工资管理保障措施等方面的执行情况良好。</w:t>
      </w:r>
    </w:p>
    <w:p w14:paraId="7D47119C">
      <w:pPr>
        <w:pStyle w:val="13"/>
        <w:widowControl/>
        <w:shd w:val="clear" w:color="auto" w:fill="FFFFFF"/>
        <w:spacing w:before="0" w:beforeAutospacing="0" w:after="0" w:afterAutospacing="0" w:line="383" w:lineRule="atLeast"/>
        <w:ind w:firstLine="645"/>
        <w:jc w:val="left"/>
        <w:rPr>
          <w:rFonts w:ascii="仿宋" w:hAnsi="仿宋" w:eastAsia="仿宋" w:cs="仿宋"/>
          <w:color w:val="333333"/>
          <w:sz w:val="32"/>
          <w:szCs w:val="32"/>
        </w:rPr>
      </w:pPr>
      <w:r>
        <w:rPr>
          <w:rFonts w:hint="eastAsia" w:ascii="仿宋" w:hAnsi="仿宋" w:eastAsia="仿宋" w:cs="仿宋"/>
          <w:color w:val="333333"/>
          <w:sz w:val="32"/>
          <w:szCs w:val="32"/>
        </w:rPr>
        <w:t>教育基本经费的使用，力保学校教育教学工作的有效开展以及学校工作的正常运行。学校的教育发展信息技术经费、教育发展校方责任经费、教学仪器设备经费的使用，给学校教育教学设备设施得到充实，学校办学条件得到很大改善，大力推动了学校办学条件达标建设</w:t>
      </w:r>
    </w:p>
    <w:p w14:paraId="1868124A">
      <w:pPr>
        <w:pStyle w:val="13"/>
        <w:widowControl/>
        <w:shd w:val="clear" w:color="auto" w:fill="FFFFFF"/>
        <w:spacing w:before="0" w:beforeAutospacing="0" w:after="0" w:afterAutospacing="0"/>
        <w:ind w:firstLine="672" w:firstLineChars="200"/>
        <w:jc w:val="left"/>
        <w:rPr>
          <w:rFonts w:ascii="仿宋" w:hAnsi="仿宋" w:eastAsia="仿宋" w:cs="仿宋"/>
          <w:color w:val="333333"/>
          <w:spacing w:val="8"/>
          <w:sz w:val="32"/>
          <w:szCs w:val="32"/>
        </w:rPr>
      </w:pPr>
      <w:r>
        <w:rPr>
          <w:rFonts w:hint="eastAsia" w:ascii="仿宋" w:hAnsi="仿宋" w:eastAsia="仿宋" w:cs="仿宋"/>
          <w:color w:val="333333"/>
          <w:spacing w:val="8"/>
          <w:sz w:val="32"/>
          <w:szCs w:val="32"/>
          <w:shd w:val="clear" w:color="auto" w:fill="FFFFFF"/>
        </w:rPr>
        <w:t>培训骨干教师、学科带头人，提高教师的业务水平和教学能力，打造一支高素质、专业化的教师队伍，全面提高教育教学质量。为培养更多的优秀人才奠定坚实的基础，为办好人民满意的教育提供全方位的保障。</w:t>
      </w:r>
    </w:p>
    <w:p w14:paraId="62826E2A">
      <w:pPr>
        <w:widowControl/>
        <w:shd w:val="clear" w:color="auto" w:fill="FFFFFF"/>
        <w:spacing w:line="540" w:lineRule="atLeas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lang w:bidi="ar"/>
        </w:rPr>
        <w:t>项目实施完成后使学校环境更好、社会更和谐，法治、环境卫生、安全建设达到预期经济、社会目标。</w:t>
      </w:r>
    </w:p>
    <w:p w14:paraId="327BBBDE">
      <w:pPr>
        <w:widowControl/>
        <w:shd w:val="clear" w:color="auto" w:fill="FFFFFF"/>
        <w:spacing w:line="540" w:lineRule="atLeast"/>
        <w:ind w:firstLine="72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学校的日常支出严格按照用款计划，分季度执行，6月、9月、11月预算支出执行进度达到50%、78.9%、95%。</w:t>
      </w:r>
    </w:p>
    <w:p w14:paraId="4B6ACC3F">
      <w:pPr>
        <w:widowControl/>
        <w:numPr>
          <w:ilvl w:val="0"/>
          <w:numId w:val="7"/>
        </w:numPr>
        <w:shd w:val="clear" w:color="auto" w:fill="FFFFFF"/>
        <w:spacing w:line="540" w:lineRule="atLeast"/>
        <w:ind w:firstLine="72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结果应用情况</w:t>
      </w:r>
    </w:p>
    <w:p w14:paraId="71765E35">
      <w:pPr>
        <w:spacing w:line="560" w:lineRule="exact"/>
        <w:ind w:left="420" w:leftChars="200"/>
        <w:rPr>
          <w:rFonts w:ascii="仿宋" w:hAnsi="仿宋" w:eastAsia="仿宋" w:cs="仿宋"/>
          <w:sz w:val="32"/>
          <w:szCs w:val="32"/>
        </w:rPr>
      </w:pPr>
      <w:r>
        <w:rPr>
          <w:rFonts w:hint="eastAsia" w:ascii="仿宋" w:hAnsi="仿宋" w:eastAsia="仿宋" w:cs="仿宋"/>
          <w:color w:val="000000"/>
          <w:kern w:val="0"/>
          <w:sz w:val="32"/>
          <w:szCs w:val="32"/>
          <w:shd w:val="clear" w:color="auto" w:fill="FFFFFF"/>
          <w:lang w:bidi="ar"/>
        </w:rPr>
        <w:t xml:space="preserve">  </w:t>
      </w:r>
      <w:r>
        <w:rPr>
          <w:rFonts w:hint="eastAsia" w:ascii="仿宋" w:hAnsi="仿宋" w:eastAsia="仿宋" w:cs="仿宋"/>
          <w:sz w:val="32"/>
          <w:szCs w:val="32"/>
        </w:rPr>
        <w:t xml:space="preserve"> 按上级文件要求将部门绩效目标及自评情况等及时向社会公开。根据县财政局的要求开展2021年部门预算执行进度监控。年中，由财务室对各项经费跟踪检查，上报事中绩效监控表和报告。在跟踪检查中发现，1—8月预算执行基本达到预期。为确保财政支出按照已批复的绩效目标执行，及时发现项目运行是否偏离既定的绩效目标，及时提出意见和建议，确保绩效目标如期实现，不断提高财政资金配置和使用效益。</w:t>
      </w:r>
    </w:p>
    <w:p w14:paraId="75345C60">
      <w:pPr>
        <w:pStyle w:val="2"/>
        <w:numPr>
          <w:ilvl w:val="0"/>
          <w:numId w:val="7"/>
        </w:numPr>
        <w:spacing w:before="93"/>
        <w:ind w:firstLine="720"/>
        <w:rPr>
          <w:rFonts w:ascii="仿宋" w:hAnsi="仿宋" w:eastAsia="仿宋" w:cs="仿宋"/>
          <w:sz w:val="32"/>
          <w:szCs w:val="32"/>
        </w:rPr>
      </w:pPr>
      <w:r>
        <w:rPr>
          <w:rFonts w:hint="eastAsia" w:ascii="仿宋" w:hAnsi="仿宋" w:eastAsia="仿宋" w:cs="仿宋"/>
          <w:sz w:val="32"/>
          <w:szCs w:val="32"/>
        </w:rPr>
        <w:t>自评质量</w:t>
      </w:r>
    </w:p>
    <w:p w14:paraId="551B3A9E">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本部门按要求对2021年部门整体支出开展绩效自评，从评价情况来看</w:t>
      </w:r>
      <w:r>
        <w:rPr>
          <w:rFonts w:hint="eastAsia" w:ascii="仿宋" w:hAnsi="仿宋" w:eastAsia="仿宋" w:cs="仿宋"/>
          <w:color w:val="333333"/>
          <w:sz w:val="32"/>
          <w:szCs w:val="32"/>
          <w:shd w:val="clear" w:color="auto" w:fill="FFFFFF"/>
        </w:rPr>
        <w:t>2021年度我校努力做好财政预算收入、支出以及各项目的管理工作，将预算及时公开到相关的信息网络平台，对预算的资金进行全方位的监督和管理，使每一笔资金都能起到最大的使用效益。结合我校实际过程中支出进行合理化分配，以达到合理高效地运用资金、提升资金的产出结果、节约成本与资源、提高部门的办事效率的目的。在部门预算调整支出绩效方面都按规定严格执行，合理安排支出，使财政资金发挥出最大的效益</w:t>
      </w:r>
      <w:r>
        <w:rPr>
          <w:rFonts w:hint="eastAsia" w:ascii="仿宋" w:hAnsi="仿宋" w:eastAsia="仿宋" w:cs="仿宋"/>
          <w:sz w:val="32"/>
          <w:szCs w:val="32"/>
        </w:rPr>
        <w:t>。本部门还自行组织了1个项目支出绩效评价，从评价情况来看目标完成。</w:t>
      </w:r>
    </w:p>
    <w:p w14:paraId="337EE042">
      <w:pPr>
        <w:spacing w:line="560" w:lineRule="exact"/>
        <w:ind w:left="420" w:leftChars="200"/>
        <w:rPr>
          <w:rFonts w:eastAsia="黑体"/>
          <w:sz w:val="32"/>
          <w:szCs w:val="32"/>
        </w:rPr>
      </w:pPr>
      <w:r>
        <w:rPr>
          <w:rFonts w:hint="eastAsia" w:ascii="仿宋" w:hAnsi="仿宋" w:eastAsia="仿宋" w:cs="仿宋"/>
          <w:color w:val="000000"/>
          <w:sz w:val="32"/>
          <w:szCs w:val="32"/>
          <w:shd w:val="clear" w:color="auto" w:fill="FFFFFF"/>
        </w:rPr>
        <w:t>  四、</w:t>
      </w:r>
      <w:r>
        <w:rPr>
          <w:rFonts w:eastAsia="黑体"/>
          <w:sz w:val="32"/>
          <w:szCs w:val="32"/>
        </w:rPr>
        <w:t>评价结论及建议</w:t>
      </w:r>
    </w:p>
    <w:p w14:paraId="78AB3FA8">
      <w:pPr>
        <w:spacing w:line="560" w:lineRule="exact"/>
        <w:ind w:firstLine="640" w:firstLineChars="200"/>
        <w:rPr>
          <w:rFonts w:eastAsia="楷体_GB2312"/>
          <w:sz w:val="32"/>
          <w:szCs w:val="32"/>
        </w:rPr>
      </w:pPr>
      <w:r>
        <w:rPr>
          <w:rFonts w:eastAsia="楷体_GB2312"/>
          <w:sz w:val="32"/>
          <w:szCs w:val="32"/>
        </w:rPr>
        <w:t>（一）评价结论。</w:t>
      </w:r>
    </w:p>
    <w:p w14:paraId="52ECA31C">
      <w:pPr>
        <w:spacing w:line="560" w:lineRule="exact"/>
        <w:ind w:firstLine="640" w:firstLineChars="200"/>
        <w:rPr>
          <w:rFonts w:ascii="仿宋" w:hAnsi="仿宋" w:eastAsia="仿宋" w:cs="仿宋"/>
          <w:sz w:val="32"/>
          <w:szCs w:val="32"/>
        </w:rPr>
      </w:pPr>
      <w:r>
        <w:rPr>
          <w:rFonts w:hint="eastAsia" w:ascii="仿宋_GB2312" w:eastAsia="仿宋_GB2312" w:cs="仿宋_GB2312"/>
          <w:color w:val="000000"/>
          <w:sz w:val="32"/>
          <w:szCs w:val="32"/>
          <w:shd w:val="clear" w:color="auto" w:fill="FFFFFF"/>
        </w:rPr>
        <w:t>2021年</w:t>
      </w:r>
      <w:r>
        <w:rPr>
          <w:rFonts w:ascii="仿宋_GB2312" w:eastAsia="仿宋_GB2312" w:cs="仿宋_GB2312"/>
          <w:color w:val="000000"/>
          <w:sz w:val="32"/>
          <w:szCs w:val="32"/>
          <w:shd w:val="clear" w:color="auto" w:fill="FFFFFF"/>
        </w:rPr>
        <w:t>，我</w:t>
      </w:r>
      <w:r>
        <w:rPr>
          <w:rFonts w:hint="eastAsia" w:ascii="仿宋_GB2312" w:eastAsia="仿宋_GB2312" w:cs="仿宋_GB2312"/>
          <w:color w:val="000000"/>
          <w:sz w:val="32"/>
          <w:szCs w:val="32"/>
          <w:shd w:val="clear" w:color="auto" w:fill="FFFFFF"/>
        </w:rPr>
        <w:t>校</w:t>
      </w:r>
      <w:r>
        <w:rPr>
          <w:rFonts w:ascii="仿宋_GB2312" w:eastAsia="仿宋_GB2312" w:cs="仿宋_GB2312"/>
          <w:color w:val="000000"/>
          <w:sz w:val="32"/>
          <w:szCs w:val="32"/>
          <w:shd w:val="clear" w:color="auto" w:fill="FFFFFF"/>
        </w:rPr>
        <w:t>严格按照年初预算批复认真组织实施</w:t>
      </w:r>
      <w:r>
        <w:rPr>
          <w:rFonts w:hint="eastAsia" w:ascii="仿宋_GB2312" w:eastAsia="仿宋_GB2312" w:cs="仿宋_GB2312"/>
          <w:color w:val="000000"/>
          <w:sz w:val="32"/>
          <w:szCs w:val="32"/>
          <w:shd w:val="clear" w:color="auto" w:fill="FFFFFF"/>
        </w:rPr>
        <w:t>，</w:t>
      </w:r>
      <w:r>
        <w:rPr>
          <w:rFonts w:ascii="仿宋_GB2312" w:eastAsia="仿宋_GB2312" w:cs="仿宋_GB2312"/>
          <w:color w:val="000000"/>
          <w:sz w:val="32"/>
          <w:szCs w:val="32"/>
          <w:shd w:val="clear" w:color="auto" w:fill="FFFFFF"/>
        </w:rPr>
        <w:t> 严格执行财经纪律相关管理规定，做到各项收支安排使用符合事业发展计划和财政政策的要求，确保了单位正常运行和重大项目的实施，较好地完成了</w:t>
      </w:r>
      <w:r>
        <w:rPr>
          <w:rFonts w:hint="eastAsia" w:ascii="仿宋_GB2312" w:eastAsia="仿宋_GB2312" w:cs="仿宋_GB2312"/>
          <w:color w:val="000000"/>
          <w:sz w:val="32"/>
          <w:szCs w:val="32"/>
          <w:shd w:val="clear" w:color="auto" w:fill="FFFFFF"/>
        </w:rPr>
        <w:t>2021</w:t>
      </w:r>
      <w:r>
        <w:rPr>
          <w:rFonts w:ascii="仿宋_GB2312" w:eastAsia="仿宋_GB2312" w:cs="仿宋_GB2312"/>
          <w:color w:val="000000"/>
          <w:sz w:val="32"/>
          <w:szCs w:val="32"/>
          <w:shd w:val="clear" w:color="auto" w:fill="FFFFFF"/>
        </w:rPr>
        <w:t>年部门预算编制和决算汇总工作</w:t>
      </w:r>
      <w:r>
        <w:rPr>
          <w:rFonts w:hint="eastAsia" w:ascii="仿宋_GB2312" w:eastAsia="仿宋_GB2312" w:cs="仿宋_GB2312"/>
          <w:color w:val="000000"/>
          <w:sz w:val="32"/>
          <w:szCs w:val="32"/>
          <w:shd w:val="clear" w:color="auto" w:fill="FFFFFF"/>
        </w:rPr>
        <w:t>，</w:t>
      </w:r>
      <w:r>
        <w:rPr>
          <w:rFonts w:ascii="仿宋_GB2312" w:eastAsia="仿宋_GB2312" w:cs="仿宋_GB2312"/>
          <w:color w:val="000000"/>
          <w:sz w:val="32"/>
          <w:szCs w:val="32"/>
          <w:shd w:val="clear" w:color="auto" w:fill="FFFFFF"/>
        </w:rPr>
        <w:t xml:space="preserve"> </w:t>
      </w:r>
      <w:r>
        <w:rPr>
          <w:rFonts w:hint="eastAsia" w:ascii="仿宋_GB2312" w:eastAsia="仿宋_GB2312" w:cs="仿宋_GB2312"/>
          <w:color w:val="000000"/>
          <w:sz w:val="32"/>
          <w:szCs w:val="32"/>
          <w:shd w:val="clear" w:color="auto" w:fill="FFFFFF"/>
        </w:rPr>
        <w:t>2021</w:t>
      </w:r>
      <w:r>
        <w:rPr>
          <w:rFonts w:ascii="仿宋_GB2312" w:eastAsia="仿宋_GB2312" w:cs="仿宋_GB2312"/>
          <w:color w:val="000000"/>
          <w:sz w:val="32"/>
          <w:szCs w:val="32"/>
          <w:shd w:val="clear" w:color="auto" w:fill="FFFFFF"/>
        </w:rPr>
        <w:t>年目标任务基本完成，预算执行情况较好。</w:t>
      </w:r>
      <w:r>
        <w:rPr>
          <w:rFonts w:hint="eastAsia" w:ascii="仿宋" w:hAnsi="仿宋" w:eastAsia="仿宋" w:cs="仿宋"/>
          <w:sz w:val="32"/>
          <w:szCs w:val="32"/>
        </w:rPr>
        <w:t>经评价小组综合评价打分，我校整体支出绩效年度考核分为92分，评价等级为优。</w:t>
      </w:r>
    </w:p>
    <w:p w14:paraId="76B48F30">
      <w:pPr>
        <w:numPr>
          <w:ilvl w:val="0"/>
          <w:numId w:val="8"/>
        </w:numPr>
        <w:spacing w:line="560" w:lineRule="exact"/>
        <w:ind w:firstLine="640" w:firstLineChars="200"/>
        <w:rPr>
          <w:rFonts w:ascii="宋体" w:hAnsi="宋体" w:cs="宋体"/>
          <w:color w:val="000000"/>
          <w:sz w:val="24"/>
          <w:szCs w:val="24"/>
          <w:shd w:val="clear" w:color="auto" w:fill="FFFFFF"/>
        </w:rPr>
      </w:pPr>
      <w:r>
        <w:rPr>
          <w:rFonts w:eastAsia="楷体_GB2312"/>
          <w:sz w:val="32"/>
          <w:szCs w:val="32"/>
        </w:rPr>
        <w:t>存在问题。</w:t>
      </w:r>
      <w:r>
        <w:rPr>
          <w:rFonts w:hint="eastAsia" w:ascii="宋体" w:hAnsi="宋体" w:cs="宋体"/>
          <w:color w:val="000000"/>
          <w:sz w:val="24"/>
          <w:szCs w:val="24"/>
          <w:shd w:val="clear" w:color="auto" w:fill="FFFFFF"/>
        </w:rPr>
        <w:t>  </w:t>
      </w:r>
    </w:p>
    <w:p w14:paraId="26502965">
      <w:pPr>
        <w:pStyle w:val="13"/>
        <w:widowControl/>
        <w:shd w:val="clear" w:color="auto" w:fill="FFFFFF"/>
        <w:spacing w:before="0" w:beforeAutospacing="0" w:after="0" w:afterAutospacing="0" w:line="570" w:lineRule="atLeast"/>
        <w:ind w:firstLine="6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2021年我校顺利地完成了部门整体支出各项工作，实现了预期目标，但从执行情况来看，还存在着以下问题：一是年初设置绩效目标不够科学，目标设立不够明确、细化和量化，</w:t>
      </w:r>
      <w:r>
        <w:rPr>
          <w:rFonts w:ascii="仿宋_GB2312" w:hAnsi="Times New Roman" w:eastAsia="仿宋_GB2312" w:cs="仿宋_GB2312"/>
          <w:color w:val="000000"/>
          <w:sz w:val="32"/>
          <w:szCs w:val="32"/>
          <w:shd w:val="clear" w:color="auto" w:fill="FFFFFF"/>
        </w:rPr>
        <w:t>预算编制不够完善</w:t>
      </w:r>
      <w:r>
        <w:rPr>
          <w:rFonts w:hint="eastAsia" w:ascii="仿宋" w:hAnsi="仿宋" w:eastAsia="仿宋" w:cs="仿宋"/>
          <w:color w:val="000000"/>
          <w:sz w:val="32"/>
          <w:szCs w:val="32"/>
          <w:shd w:val="clear" w:color="auto" w:fill="FFFFFF"/>
        </w:rPr>
        <w:t>；二是预算执行有待进一步严格，预算编制与实际支出项目有的仍存在细微差异</w:t>
      </w:r>
      <w:r>
        <w:rPr>
          <w:rFonts w:ascii="仿宋_GB2312" w:hAnsi="Times New Roman" w:eastAsia="仿宋_GB2312" w:cs="仿宋_GB2312"/>
          <w:color w:val="000000"/>
          <w:sz w:val="32"/>
          <w:szCs w:val="32"/>
          <w:shd w:val="clear" w:color="auto" w:fill="FFFFFF"/>
        </w:rPr>
        <w:t>个别项目进度缓慢、绩效管理工作有待加强</w:t>
      </w:r>
      <w:r>
        <w:rPr>
          <w:rFonts w:hint="eastAsia" w:ascii="宋体" w:hAnsi="宋体" w:cs="宋体"/>
          <w:color w:val="333333"/>
          <w:spacing w:val="8"/>
          <w:sz w:val="31"/>
          <w:szCs w:val="31"/>
          <w:shd w:val="clear" w:color="auto" w:fill="FFFFFF"/>
        </w:rPr>
        <w:t>。</w:t>
      </w:r>
    </w:p>
    <w:p w14:paraId="7A01CF28">
      <w:pPr>
        <w:spacing w:line="560" w:lineRule="exact"/>
        <w:ind w:firstLine="640" w:firstLineChars="200"/>
        <w:rPr>
          <w:rFonts w:eastAsia="楷体_GB2312"/>
          <w:sz w:val="32"/>
          <w:szCs w:val="32"/>
        </w:rPr>
      </w:pPr>
      <w:r>
        <w:rPr>
          <w:rFonts w:eastAsia="楷体_GB2312"/>
          <w:sz w:val="32"/>
          <w:szCs w:val="32"/>
        </w:rPr>
        <w:t>（三）改进建议。</w:t>
      </w:r>
    </w:p>
    <w:p w14:paraId="499A2C48">
      <w:pPr>
        <w:ind w:firstLine="960" w:firstLineChars="3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一是加强绩效评价相关文件和知识的学习，提升绩效自评能力，结合单位实际和项目资金实际科学合理设置绩效目标，尽可能细化、量化。</w:t>
      </w:r>
    </w:p>
    <w:p w14:paraId="66D6DDE3">
      <w:pPr>
        <w:ind w:firstLine="960" w:firstLineChars="300"/>
        <w:jc w:val="left"/>
        <w:rPr>
          <w:rFonts w:ascii="仿宋" w:hAnsi="仿宋" w:eastAsia="仿宋" w:cs="仿宋"/>
          <w:sz w:val="32"/>
          <w:szCs w:val="32"/>
        </w:rPr>
      </w:pPr>
      <w:r>
        <w:rPr>
          <w:rFonts w:hint="eastAsia" w:ascii="仿宋" w:hAnsi="仿宋" w:eastAsia="仿宋" w:cs="仿宋"/>
          <w:color w:val="000000"/>
          <w:sz w:val="32"/>
          <w:szCs w:val="32"/>
          <w:shd w:val="clear" w:color="auto" w:fill="FFFFFF"/>
        </w:rPr>
        <w:t>二是加强预算编制的合理性，细化预算编制，严格预算执行。进一步加强单位内部机构各单位各科室的预算管理意识，严格按照预算编制的相关制度和要求进行预算编制。按照预算规定的项目和用途严格财务审核，经费支出严格按预算规定项目的财务支出内容进行财务核算，在预算金额内严格控制费用的支出。同时进一步加强新政府会计制度和预算法等的学习，切实提高部门预算收支管理水平</w:t>
      </w:r>
    </w:p>
    <w:p w14:paraId="39E6BEE4">
      <w:pPr>
        <w:pStyle w:val="13"/>
        <w:widowControl/>
        <w:shd w:val="clear" w:color="auto" w:fill="FFFFFF"/>
        <w:spacing w:before="0" w:beforeAutospacing="0" w:after="0" w:afterAutospacing="0" w:line="576" w:lineRule="atLeast"/>
        <w:ind w:firstLine="640"/>
        <w:rPr>
          <w:rFonts w:ascii="仿宋_GB2312" w:hAnsi="Times New Roman" w:eastAsia="仿宋_GB2312" w:cs="仿宋_GB2312"/>
          <w:color w:val="000000"/>
          <w:sz w:val="32"/>
          <w:szCs w:val="32"/>
          <w:shd w:val="clear" w:color="auto" w:fill="FFFFFF"/>
        </w:rPr>
      </w:pPr>
      <w:r>
        <w:rPr>
          <w:rFonts w:ascii="仿宋_GB2312" w:hAnsi="Times New Roman" w:eastAsia="仿宋_GB2312" w:cs="仿宋_GB2312"/>
          <w:color w:val="000000"/>
          <w:sz w:val="32"/>
          <w:szCs w:val="32"/>
          <w:shd w:val="clear" w:color="auto" w:fill="FFFFFF"/>
        </w:rPr>
        <w:t>在今后的工作中</w:t>
      </w:r>
      <w:r>
        <w:rPr>
          <w:rFonts w:hint="eastAsia" w:ascii="仿宋_GB2312" w:hAnsi="Times New Roman" w:eastAsia="仿宋_GB2312" w:cs="仿宋_GB2312"/>
          <w:color w:val="000000"/>
          <w:sz w:val="32"/>
          <w:szCs w:val="32"/>
          <w:shd w:val="clear" w:color="auto" w:fill="FFFFFF"/>
        </w:rPr>
        <w:t>，</w:t>
      </w:r>
      <w:r>
        <w:rPr>
          <w:rFonts w:ascii="仿宋_GB2312" w:hAnsi="Times New Roman" w:eastAsia="仿宋_GB2312" w:cs="仿宋_GB2312"/>
          <w:color w:val="000000"/>
          <w:sz w:val="32"/>
          <w:szCs w:val="32"/>
          <w:shd w:val="clear" w:color="auto" w:fill="FFFFFF"/>
        </w:rPr>
        <w:t>我</w:t>
      </w:r>
      <w:r>
        <w:rPr>
          <w:rFonts w:hint="eastAsia" w:ascii="仿宋_GB2312" w:hAnsi="Times New Roman" w:eastAsia="仿宋_GB2312" w:cs="仿宋_GB2312"/>
          <w:color w:val="000000"/>
          <w:sz w:val="32"/>
          <w:szCs w:val="32"/>
          <w:shd w:val="clear" w:color="auto" w:fill="FFFFFF"/>
        </w:rPr>
        <w:t>校</w:t>
      </w:r>
      <w:r>
        <w:rPr>
          <w:rFonts w:ascii="仿宋_GB2312" w:hAnsi="Times New Roman" w:eastAsia="仿宋_GB2312" w:cs="仿宋_GB2312"/>
          <w:color w:val="000000"/>
          <w:sz w:val="32"/>
          <w:szCs w:val="32"/>
          <w:shd w:val="clear" w:color="auto" w:fill="FFFFFF"/>
        </w:rPr>
        <w:t>将严格按照新《预算法》的要求，加强预算编制的科学性、合理性</w:t>
      </w:r>
      <w:r>
        <w:rPr>
          <w:rFonts w:hint="eastAsia" w:ascii="仿宋_GB2312" w:hAnsi="Times New Roman" w:eastAsia="仿宋_GB2312" w:cs="仿宋_GB2312"/>
          <w:color w:val="000000"/>
          <w:sz w:val="32"/>
          <w:szCs w:val="32"/>
          <w:shd w:val="clear" w:color="auto" w:fill="FFFFFF"/>
        </w:rPr>
        <w:t>，</w:t>
      </w:r>
      <w:r>
        <w:rPr>
          <w:rFonts w:ascii="仿宋_GB2312" w:hAnsi="Times New Roman" w:eastAsia="仿宋_GB2312" w:cs="仿宋_GB2312"/>
          <w:color w:val="000000"/>
          <w:sz w:val="32"/>
          <w:szCs w:val="32"/>
          <w:shd w:val="clear" w:color="auto" w:fill="FFFFFF"/>
        </w:rPr>
        <w:t>让预算编制</w:t>
      </w:r>
      <w:r>
        <w:rPr>
          <w:rFonts w:hint="eastAsia" w:ascii="仿宋_GB2312" w:hAnsi="Times New Roman" w:eastAsia="仿宋_GB2312" w:cs="仿宋_GB2312"/>
          <w:color w:val="000000"/>
          <w:sz w:val="32"/>
          <w:szCs w:val="32"/>
          <w:shd w:val="clear" w:color="auto" w:fill="FFFFFF"/>
        </w:rPr>
        <w:t>更加</w:t>
      </w:r>
      <w:r>
        <w:rPr>
          <w:rFonts w:ascii="仿宋_GB2312" w:hAnsi="Times New Roman" w:eastAsia="仿宋_GB2312" w:cs="仿宋_GB2312"/>
          <w:color w:val="000000"/>
          <w:sz w:val="32"/>
          <w:szCs w:val="32"/>
          <w:shd w:val="clear" w:color="auto" w:fill="FFFFFF"/>
        </w:rPr>
        <w:t>贴合实际，使项目预算与工作结合更加紧密。并</w:t>
      </w:r>
      <w:r>
        <w:rPr>
          <w:rFonts w:hint="eastAsia" w:ascii="仿宋_GB2312" w:hAnsi="Times New Roman" w:eastAsia="仿宋_GB2312" w:cs="仿宋_GB2312"/>
          <w:color w:val="000000"/>
          <w:sz w:val="32"/>
          <w:szCs w:val="32"/>
          <w:shd w:val="clear" w:color="auto" w:fill="FFFFFF"/>
        </w:rPr>
        <w:t>严格</w:t>
      </w:r>
      <w:r>
        <w:rPr>
          <w:rFonts w:ascii="仿宋_GB2312" w:hAnsi="Times New Roman" w:eastAsia="仿宋_GB2312" w:cs="仿宋_GB2312"/>
          <w:color w:val="000000"/>
          <w:sz w:val="32"/>
          <w:szCs w:val="32"/>
          <w:shd w:val="clear" w:color="auto" w:fill="FFFFFF"/>
        </w:rPr>
        <w:t>按照项目开展进度有计划申请资金及时支付。加强预算绩效管理，增强预算约束力，做好预算项目支出绩效目标及各项绩效指标的细化、量化工作</w:t>
      </w:r>
      <w:r>
        <w:rPr>
          <w:rFonts w:hint="eastAsia" w:ascii="仿宋_GB2312" w:hAnsi="Times New Roman" w:eastAsia="仿宋_GB2312" w:cs="仿宋_GB2312"/>
          <w:color w:val="000000"/>
          <w:sz w:val="32"/>
          <w:szCs w:val="32"/>
          <w:shd w:val="clear" w:color="auto" w:fill="FFFFFF"/>
        </w:rPr>
        <w:t>，</w:t>
      </w:r>
      <w:r>
        <w:rPr>
          <w:rFonts w:ascii="仿宋_GB2312" w:hAnsi="Times New Roman" w:eastAsia="仿宋_GB2312" w:cs="仿宋_GB2312"/>
          <w:color w:val="000000"/>
          <w:sz w:val="32"/>
          <w:szCs w:val="32"/>
          <w:shd w:val="clear" w:color="auto" w:fill="FFFFFF"/>
        </w:rPr>
        <w:t>用好用活各类财政资金，提高财政资金的使用效益。</w:t>
      </w:r>
    </w:p>
    <w:p w14:paraId="14EBC0A9">
      <w:pPr>
        <w:pStyle w:val="13"/>
        <w:widowControl/>
        <w:shd w:val="clear" w:color="auto" w:fill="FFFFFF"/>
        <w:spacing w:before="0" w:beforeAutospacing="0" w:after="0" w:afterAutospacing="0" w:line="576" w:lineRule="atLeast"/>
        <w:rPr>
          <w:rFonts w:ascii="仿宋_GB2312" w:hAnsi="Times New Roman" w:eastAsia="仿宋_GB2312" w:cs="仿宋_GB2312"/>
          <w:color w:val="000000"/>
          <w:sz w:val="32"/>
          <w:szCs w:val="32"/>
          <w:shd w:val="clear" w:color="auto" w:fill="FFFFFF"/>
        </w:rPr>
      </w:pPr>
    </w:p>
    <w:p w14:paraId="74E81A6E">
      <w:pPr>
        <w:pStyle w:val="13"/>
        <w:widowControl/>
        <w:shd w:val="clear" w:color="auto" w:fill="FFFFFF"/>
        <w:spacing w:before="0" w:beforeAutospacing="0" w:after="0" w:afterAutospacing="0" w:line="576" w:lineRule="atLeast"/>
        <w:ind w:firstLine="6086" w:firstLineChars="1902"/>
        <w:rPr>
          <w:rStyle w:val="18"/>
          <w:rFonts w:ascii="仿宋_GB2312" w:eastAsia="仿宋_GB2312" w:cs="仿宋_GB2312"/>
          <w:b w:val="0"/>
          <w:bCs w:val="0"/>
          <w:color w:val="000000"/>
          <w:kern w:val="2"/>
          <w:sz w:val="32"/>
          <w:szCs w:val="32"/>
          <w:shd w:val="clear" w:color="auto" w:fill="FFFFFF"/>
        </w:rPr>
      </w:pPr>
      <w:r>
        <w:rPr>
          <w:rFonts w:hint="eastAsia" w:ascii="仿宋_GB2312" w:hAnsi="Times New Roman" w:eastAsia="仿宋_GB2312" w:cs="仿宋_GB2312"/>
          <w:color w:val="000000"/>
          <w:sz w:val="32"/>
          <w:szCs w:val="32"/>
          <w:shd w:val="clear" w:color="auto" w:fill="FFFFFF"/>
        </w:rPr>
        <w:t xml:space="preserve">                           </w:t>
      </w:r>
    </w:p>
    <w:p w14:paraId="0B16AEE5">
      <w:pPr>
        <w:widowControl/>
        <w:jc w:val="left"/>
        <w:rPr>
          <w:rStyle w:val="18"/>
          <w:rFonts w:ascii="黑体" w:hAnsi="黑体" w:eastAsia="黑体"/>
          <w:b w:val="0"/>
          <w:bCs w:val="0"/>
        </w:rPr>
      </w:pPr>
    </w:p>
    <w:p w14:paraId="43EC16F8">
      <w:pPr>
        <w:spacing w:line="600" w:lineRule="exact"/>
        <w:rPr>
          <w:rFonts w:ascii="宋体" w:hAnsi="宋体" w:cs="宋体"/>
          <w:color w:val="000000"/>
          <w:kern w:val="0"/>
          <w:sz w:val="32"/>
          <w:szCs w:val="32"/>
        </w:rPr>
      </w:pPr>
      <w:r>
        <w:rPr>
          <w:rFonts w:hint="eastAsia" w:ascii="宋体" w:hAnsi="宋体" w:cs="宋体"/>
          <w:color w:val="000000"/>
          <w:kern w:val="0"/>
          <w:sz w:val="32"/>
          <w:szCs w:val="32"/>
        </w:rPr>
        <w:t>附件2</w:t>
      </w:r>
    </w:p>
    <w:p w14:paraId="1F25C98C">
      <w:pPr>
        <w:spacing w:line="64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1</w:t>
      </w:r>
      <w:r>
        <w:rPr>
          <w:rFonts w:eastAsia="方正小标宋_GBK"/>
          <w:sz w:val="44"/>
          <w:szCs w:val="44"/>
        </w:rPr>
        <w:t>年度专项（项目）资金绩效自评报告</w:t>
      </w:r>
    </w:p>
    <w:p w14:paraId="2566CC11">
      <w:pPr>
        <w:spacing w:line="640" w:lineRule="exact"/>
        <w:jc w:val="center"/>
        <w:rPr>
          <w:rFonts w:eastAsia="方正楷体_GBK"/>
          <w:b/>
          <w:sz w:val="30"/>
          <w:szCs w:val="30"/>
        </w:rPr>
      </w:pPr>
      <w:r>
        <w:rPr>
          <w:rFonts w:eastAsia="方正楷体_GBK"/>
          <w:b/>
          <w:sz w:val="30"/>
          <w:szCs w:val="30"/>
        </w:rPr>
        <w:t>（</w:t>
      </w:r>
      <w:r>
        <w:rPr>
          <w:rFonts w:hint="eastAsia" w:eastAsia="方正楷体_GBK"/>
          <w:b/>
          <w:sz w:val="30"/>
          <w:szCs w:val="30"/>
        </w:rPr>
        <w:t>盐边县民族中学校综合楼背后围墙改造工程</w:t>
      </w:r>
      <w:r>
        <w:rPr>
          <w:rFonts w:eastAsia="方正楷体_GBK"/>
          <w:b/>
          <w:sz w:val="30"/>
          <w:szCs w:val="30"/>
        </w:rPr>
        <w:t>项目）</w:t>
      </w:r>
    </w:p>
    <w:p w14:paraId="7C6E33E7">
      <w:pPr>
        <w:spacing w:line="600" w:lineRule="exact"/>
        <w:rPr>
          <w:sz w:val="30"/>
          <w:szCs w:val="30"/>
          <w:lang w:val="zh-CN"/>
        </w:rPr>
      </w:pPr>
    </w:p>
    <w:p w14:paraId="79E4AF6C">
      <w:pPr>
        <w:spacing w:line="560" w:lineRule="exact"/>
        <w:ind w:firstLine="640" w:firstLineChars="200"/>
        <w:rPr>
          <w:rFonts w:eastAsia="黑体"/>
          <w:sz w:val="32"/>
          <w:szCs w:val="32"/>
        </w:rPr>
      </w:pPr>
      <w:r>
        <w:rPr>
          <w:rFonts w:eastAsia="黑体"/>
          <w:sz w:val="32"/>
          <w:szCs w:val="32"/>
        </w:rPr>
        <w:t>一、项目概况</w:t>
      </w:r>
    </w:p>
    <w:p w14:paraId="196D8A45">
      <w:pPr>
        <w:spacing w:line="560" w:lineRule="exact"/>
        <w:ind w:firstLine="640" w:firstLineChars="200"/>
        <w:rPr>
          <w:rFonts w:eastAsia="楷体_GB2312"/>
          <w:sz w:val="32"/>
          <w:szCs w:val="32"/>
        </w:rPr>
      </w:pPr>
      <w:r>
        <w:rPr>
          <w:rFonts w:eastAsia="楷体_GB2312"/>
          <w:sz w:val="32"/>
          <w:szCs w:val="32"/>
        </w:rPr>
        <w:t>（一）项目基本情况。</w:t>
      </w:r>
    </w:p>
    <w:p w14:paraId="77C99BFE">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盐边县民族中学校运动场围墙安全隐患整治工程</w:t>
      </w:r>
      <w:r>
        <w:rPr>
          <w:rFonts w:eastAsia="仿宋_GB2312"/>
          <w:sz w:val="32"/>
          <w:szCs w:val="32"/>
        </w:rPr>
        <w:t>主管部门</w:t>
      </w:r>
      <w:r>
        <w:rPr>
          <w:rFonts w:hint="eastAsia" w:eastAsia="仿宋_GB2312"/>
          <w:sz w:val="32"/>
          <w:szCs w:val="32"/>
        </w:rPr>
        <w:t>为盐边县教育和体育局</w:t>
      </w:r>
      <w:r>
        <w:rPr>
          <w:rFonts w:eastAsia="仿宋_GB2312"/>
          <w:sz w:val="32"/>
          <w:szCs w:val="32"/>
        </w:rPr>
        <w:t>在该项目管理中的职能</w:t>
      </w:r>
      <w:r>
        <w:rPr>
          <w:rFonts w:hint="eastAsia" w:eastAsia="仿宋_GB2312"/>
          <w:sz w:val="32"/>
          <w:szCs w:val="32"/>
        </w:rPr>
        <w:t>为监督管理，组织项目验收。</w:t>
      </w:r>
    </w:p>
    <w:p w14:paraId="24EA23D9">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根据川财教【2021】52号省级校舍维修改造资金，盐财资行【2021】300号文执行。</w:t>
      </w:r>
    </w:p>
    <w:p w14:paraId="0BB98421">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项目</w:t>
      </w:r>
      <w:r>
        <w:rPr>
          <w:rFonts w:eastAsia="仿宋_GB2312"/>
          <w:sz w:val="32"/>
          <w:szCs w:val="32"/>
        </w:rPr>
        <w:t>资金</w:t>
      </w:r>
      <w:r>
        <w:rPr>
          <w:rFonts w:hint="eastAsia" w:eastAsia="仿宋_GB2312"/>
          <w:sz w:val="32"/>
          <w:szCs w:val="32"/>
        </w:rPr>
        <w:t>划拨按照学校项目资金支付手续，通过验收、审核、提供相应的合同、报告、发票等经办人员签字、分管领导签字，主要领导签字后交教育和体育局会计核算中心审核通过后再向施工单位划拨资金。</w:t>
      </w:r>
    </w:p>
    <w:p w14:paraId="2CE67DC0">
      <w:pPr>
        <w:spacing w:line="560" w:lineRule="exact"/>
        <w:ind w:firstLine="640" w:firstLineChars="200"/>
        <w:rPr>
          <w:rFonts w:eastAsia="仿宋_GB2312"/>
          <w:sz w:val="32"/>
          <w:szCs w:val="32"/>
        </w:rPr>
      </w:pPr>
      <w:r>
        <w:rPr>
          <w:rFonts w:hint="eastAsia" w:eastAsia="仿宋_GB2312"/>
          <w:sz w:val="32"/>
          <w:szCs w:val="32"/>
        </w:rPr>
        <w:t>4、工程完工一次性支付本合同价款的85%，工程验收合格后再支付合同价款的10%，预留本合同价款的5%为工程质量保证金，质保期一年，一年后无质量问题无息全额支付给乙方。</w:t>
      </w:r>
    </w:p>
    <w:p w14:paraId="370C2E5F">
      <w:pPr>
        <w:spacing w:line="560" w:lineRule="exact"/>
        <w:ind w:firstLine="640" w:firstLineChars="200"/>
        <w:rPr>
          <w:rFonts w:eastAsia="楷体_GB2312"/>
          <w:sz w:val="32"/>
          <w:szCs w:val="32"/>
        </w:rPr>
      </w:pPr>
      <w:r>
        <w:rPr>
          <w:rFonts w:eastAsia="楷体_GB2312"/>
          <w:sz w:val="32"/>
          <w:szCs w:val="32"/>
        </w:rPr>
        <w:t>（二）项目绩效目标。</w:t>
      </w:r>
    </w:p>
    <w:p w14:paraId="20D019AF">
      <w:pPr>
        <w:spacing w:line="560" w:lineRule="exact"/>
        <w:ind w:firstLine="640" w:firstLineChars="200"/>
        <w:rPr>
          <w:rFonts w:eastAsia="仿宋_GB2312"/>
          <w:sz w:val="32"/>
          <w:szCs w:val="32"/>
        </w:rPr>
      </w:pPr>
      <w:r>
        <w:rPr>
          <w:rFonts w:eastAsia="仿宋_GB2312"/>
          <w:sz w:val="32"/>
          <w:szCs w:val="32"/>
        </w:rPr>
        <w:t>1.项目主要内容</w:t>
      </w:r>
      <w:r>
        <w:rPr>
          <w:rFonts w:hint="eastAsia" w:eastAsia="仿宋_GB2312"/>
          <w:sz w:val="32"/>
          <w:szCs w:val="32"/>
        </w:rPr>
        <w:t>：拆除原有围墙及挡墙170.4立方米；新建C20混凝土挡土墙134.4立方米；新建围墙3m高长60米；拆除新建彩钢棚200平方米。</w:t>
      </w:r>
    </w:p>
    <w:p w14:paraId="5EDE893E">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改造学校综合楼背后围墙和部分下沉开裂地基；完善学校运动场围墙安全隐患，美化校园环境；在本年度完成项目</w:t>
      </w:r>
      <w:r>
        <w:rPr>
          <w:rFonts w:eastAsia="仿宋_GB2312"/>
          <w:sz w:val="32"/>
          <w:szCs w:val="32"/>
        </w:rPr>
        <w:t>。</w:t>
      </w:r>
    </w:p>
    <w:p w14:paraId="528D7195">
      <w:pPr>
        <w:spacing w:line="560" w:lineRule="exact"/>
        <w:ind w:firstLine="640" w:firstLineChars="200"/>
        <w:rPr>
          <w:rFonts w:eastAsia="仿宋_GB2312"/>
          <w:sz w:val="32"/>
          <w:szCs w:val="32"/>
        </w:rPr>
      </w:pPr>
      <w:r>
        <w:rPr>
          <w:rFonts w:eastAsia="仿宋_GB2312"/>
          <w:sz w:val="32"/>
          <w:szCs w:val="32"/>
        </w:rPr>
        <w:t>3.分析评价申报内容与实际相符，申报目标合理可行。</w:t>
      </w:r>
    </w:p>
    <w:p w14:paraId="5C4F7E51">
      <w:pPr>
        <w:spacing w:line="560" w:lineRule="exact"/>
        <w:ind w:firstLine="640" w:firstLineChars="200"/>
        <w:rPr>
          <w:rFonts w:eastAsia="楷体_GB2312"/>
          <w:sz w:val="32"/>
          <w:szCs w:val="32"/>
        </w:rPr>
      </w:pPr>
      <w:r>
        <w:rPr>
          <w:rFonts w:eastAsia="楷体_GB2312"/>
          <w:sz w:val="32"/>
          <w:szCs w:val="32"/>
        </w:rPr>
        <w:t>（三）项目自评步骤及方法。</w:t>
      </w:r>
    </w:p>
    <w:p w14:paraId="65946A55">
      <w:pPr>
        <w:spacing w:line="560" w:lineRule="exact"/>
        <w:ind w:firstLine="640" w:firstLineChars="200"/>
        <w:rPr>
          <w:rFonts w:eastAsia="仿宋_GB2312"/>
          <w:sz w:val="32"/>
          <w:szCs w:val="32"/>
        </w:rPr>
      </w:pPr>
      <w:r>
        <w:rPr>
          <w:rFonts w:hint="eastAsia" w:eastAsia="仿宋_GB2312"/>
          <w:sz w:val="32"/>
          <w:szCs w:val="32"/>
        </w:rPr>
        <w:t>采取项目自评，成立项目自评小组，结合评价内容，做到有计划、有安排，按照上级下达的项目支出绩效评价指标体系做好自评工作。</w:t>
      </w:r>
    </w:p>
    <w:p w14:paraId="52694AF9">
      <w:pPr>
        <w:spacing w:line="560" w:lineRule="exact"/>
        <w:ind w:firstLine="640" w:firstLineChars="200"/>
        <w:rPr>
          <w:rFonts w:eastAsia="黑体"/>
          <w:sz w:val="32"/>
          <w:szCs w:val="32"/>
        </w:rPr>
      </w:pPr>
      <w:r>
        <w:rPr>
          <w:rFonts w:eastAsia="黑体"/>
          <w:sz w:val="32"/>
          <w:szCs w:val="32"/>
        </w:rPr>
        <w:t>二、项目资金申报及使用情况</w:t>
      </w:r>
    </w:p>
    <w:p w14:paraId="5B500EA3">
      <w:pPr>
        <w:spacing w:line="560" w:lineRule="exact"/>
        <w:ind w:firstLine="640" w:firstLineChars="200"/>
        <w:rPr>
          <w:rFonts w:eastAsia="楷体_GB2312"/>
          <w:sz w:val="32"/>
          <w:szCs w:val="32"/>
        </w:rPr>
      </w:pPr>
      <w:r>
        <w:rPr>
          <w:rFonts w:eastAsia="楷体_GB2312"/>
          <w:sz w:val="32"/>
          <w:szCs w:val="32"/>
        </w:rPr>
        <w:t>（一）项目资金申报及批复情况。</w:t>
      </w:r>
    </w:p>
    <w:p w14:paraId="2105CD1F">
      <w:pPr>
        <w:spacing w:line="560" w:lineRule="exact"/>
        <w:ind w:firstLine="640" w:firstLineChars="200"/>
        <w:rPr>
          <w:rFonts w:eastAsia="仿宋_GB2312"/>
          <w:sz w:val="32"/>
          <w:szCs w:val="32"/>
        </w:rPr>
      </w:pPr>
      <w:r>
        <w:rPr>
          <w:rFonts w:hint="eastAsia" w:eastAsia="仿宋_GB2312"/>
          <w:sz w:val="32"/>
          <w:szCs w:val="32"/>
        </w:rPr>
        <w:t>申报主管部门盐边县教育和体育局、财政局测评盐财投评【2021】99号文，资金下达、盐财资行【2021】300号文由民族中学校委托四川哲彦工程管理有限公司组织项目招标。</w:t>
      </w:r>
    </w:p>
    <w:p w14:paraId="7AF810F3">
      <w:pPr>
        <w:spacing w:line="560" w:lineRule="exact"/>
        <w:ind w:firstLine="640" w:firstLineChars="200"/>
        <w:rPr>
          <w:rFonts w:eastAsia="楷体_GB2312"/>
          <w:sz w:val="32"/>
          <w:szCs w:val="32"/>
        </w:rPr>
      </w:pPr>
      <w:r>
        <w:rPr>
          <w:rFonts w:eastAsia="楷体_GB2312"/>
          <w:sz w:val="32"/>
          <w:szCs w:val="32"/>
        </w:rPr>
        <w:t>（二）资金计划、到位及使用情况。</w:t>
      </w:r>
    </w:p>
    <w:p w14:paraId="125D10E5">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1.资金计划。</w:t>
      </w:r>
    </w:p>
    <w:p w14:paraId="6BB43317">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按2021年农村中小学校舍维修改造中央及省级转移支付预算资金23.53万元。</w:t>
      </w:r>
    </w:p>
    <w:p w14:paraId="251D163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2.资金到位。</w:t>
      </w:r>
    </w:p>
    <w:p w14:paraId="1A504C1A">
      <w:pPr>
        <w:spacing w:line="560" w:lineRule="exact"/>
        <w:rPr>
          <w:rFonts w:ascii="仿宋" w:hAnsi="仿宋" w:eastAsia="仿宋" w:cs="仿宋"/>
          <w:bCs/>
          <w:sz w:val="32"/>
          <w:szCs w:val="32"/>
        </w:rPr>
      </w:pPr>
      <w:r>
        <w:rPr>
          <w:rFonts w:hint="eastAsia" w:ascii="仿宋" w:hAnsi="仿宋" w:eastAsia="仿宋" w:cs="仿宋"/>
          <w:bCs/>
          <w:sz w:val="32"/>
          <w:szCs w:val="32"/>
        </w:rPr>
        <w:t xml:space="preserve"> 中央补助资金23.53万元足额到位。</w:t>
      </w:r>
    </w:p>
    <w:p w14:paraId="5A460EEE">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3.资金使用。</w:t>
      </w:r>
    </w:p>
    <w:p w14:paraId="03E746DF">
      <w:pPr>
        <w:spacing w:line="560" w:lineRule="exact"/>
        <w:ind w:left="420" w:leftChars="200"/>
        <w:rPr>
          <w:rFonts w:ascii="仿宋" w:hAnsi="仿宋" w:eastAsia="仿宋" w:cs="仿宋"/>
          <w:bCs/>
          <w:sz w:val="32"/>
          <w:szCs w:val="32"/>
        </w:rPr>
      </w:pPr>
      <w:r>
        <w:rPr>
          <w:rFonts w:hint="eastAsia" w:ascii="仿宋" w:hAnsi="仿宋" w:eastAsia="仿宋" w:cs="仿宋"/>
          <w:bCs/>
          <w:sz w:val="32"/>
          <w:szCs w:val="32"/>
        </w:rPr>
        <w:t>按工程进度、合同付款方式及时划拨施工单位。</w:t>
      </w:r>
    </w:p>
    <w:p w14:paraId="0565254D">
      <w:pPr>
        <w:spacing w:line="560" w:lineRule="exact"/>
        <w:ind w:firstLine="640" w:firstLineChars="200"/>
        <w:rPr>
          <w:rFonts w:eastAsia="楷体_GB2312"/>
          <w:sz w:val="32"/>
          <w:szCs w:val="32"/>
        </w:rPr>
      </w:pPr>
      <w:r>
        <w:rPr>
          <w:rFonts w:eastAsia="楷体_GB2312"/>
          <w:sz w:val="32"/>
          <w:szCs w:val="32"/>
        </w:rPr>
        <w:t>（三）项目财务管理情况。</w:t>
      </w:r>
    </w:p>
    <w:p w14:paraId="6A05F03B">
      <w:pPr>
        <w:spacing w:line="560" w:lineRule="exact"/>
        <w:ind w:firstLine="640" w:firstLineChars="200"/>
        <w:rPr>
          <w:rFonts w:eastAsia="仿宋_GB2312"/>
          <w:sz w:val="32"/>
          <w:szCs w:val="32"/>
        </w:rPr>
      </w:pPr>
      <w:r>
        <w:rPr>
          <w:rFonts w:eastAsia="仿宋_GB2312"/>
          <w:sz w:val="32"/>
          <w:szCs w:val="32"/>
        </w:rPr>
        <w:t>总体评价项目实施单位财务管理制度健全，严格执行财务管理制度，账务处理及时，会计核算规范等。</w:t>
      </w:r>
    </w:p>
    <w:p w14:paraId="789AA417">
      <w:pPr>
        <w:spacing w:line="560" w:lineRule="exact"/>
        <w:ind w:firstLine="640" w:firstLineChars="200"/>
        <w:rPr>
          <w:rFonts w:eastAsia="黑体"/>
          <w:sz w:val="32"/>
          <w:szCs w:val="32"/>
        </w:rPr>
      </w:pPr>
      <w:r>
        <w:rPr>
          <w:rFonts w:eastAsia="黑体"/>
          <w:sz w:val="32"/>
          <w:szCs w:val="32"/>
        </w:rPr>
        <w:t>三、项目实施及管理情况</w:t>
      </w:r>
    </w:p>
    <w:p w14:paraId="07F78019">
      <w:pPr>
        <w:spacing w:line="560" w:lineRule="exact"/>
        <w:ind w:firstLine="640" w:firstLineChars="200"/>
        <w:rPr>
          <w:rFonts w:eastAsia="仿宋_GB2312"/>
          <w:sz w:val="32"/>
          <w:szCs w:val="32"/>
        </w:rPr>
      </w:pPr>
      <w:r>
        <w:rPr>
          <w:rFonts w:eastAsia="仿宋_GB2312"/>
          <w:sz w:val="32"/>
          <w:szCs w:val="32"/>
        </w:rPr>
        <w:t>结合项目组织实施管理办法，重点围绕以下内容进行分析评价，并对自评中发现的问题分析说明。</w:t>
      </w:r>
    </w:p>
    <w:p w14:paraId="4EDB3BBE">
      <w:pPr>
        <w:numPr>
          <w:ilvl w:val="0"/>
          <w:numId w:val="9"/>
        </w:numPr>
        <w:spacing w:line="560" w:lineRule="exact"/>
        <w:ind w:firstLine="640" w:firstLineChars="200"/>
        <w:rPr>
          <w:rFonts w:eastAsia="楷体_GB2312"/>
          <w:sz w:val="32"/>
          <w:szCs w:val="32"/>
        </w:rPr>
      </w:pPr>
      <w:r>
        <w:rPr>
          <w:rFonts w:eastAsia="楷体_GB2312"/>
          <w:sz w:val="32"/>
          <w:szCs w:val="32"/>
        </w:rPr>
        <w:t>项目组织架构及实施流程。</w:t>
      </w:r>
    </w:p>
    <w:p w14:paraId="7486D834">
      <w:pPr>
        <w:spacing w:line="560" w:lineRule="exact"/>
        <w:rPr>
          <w:rFonts w:eastAsia="楷体_GB2312"/>
          <w:sz w:val="32"/>
          <w:szCs w:val="32"/>
        </w:rPr>
      </w:pPr>
      <w:r>
        <w:rPr>
          <w:rFonts w:hint="eastAsia" w:eastAsia="楷体_GB2312"/>
          <w:sz w:val="32"/>
          <w:szCs w:val="32"/>
        </w:rPr>
        <w:t>有学校总务具体组织工程实施，严格按照工程实施流程施工。</w:t>
      </w:r>
    </w:p>
    <w:p w14:paraId="2DD9E32C">
      <w:pPr>
        <w:numPr>
          <w:ilvl w:val="0"/>
          <w:numId w:val="9"/>
        </w:numPr>
        <w:spacing w:line="560" w:lineRule="exact"/>
        <w:ind w:firstLine="640" w:firstLineChars="200"/>
        <w:rPr>
          <w:rFonts w:eastAsia="楷体_GB2312"/>
          <w:sz w:val="32"/>
          <w:szCs w:val="32"/>
        </w:rPr>
      </w:pPr>
      <w:r>
        <w:rPr>
          <w:rFonts w:eastAsia="楷体_GB2312"/>
          <w:sz w:val="32"/>
          <w:szCs w:val="32"/>
        </w:rPr>
        <w:t>项目管理情况。</w:t>
      </w:r>
    </w:p>
    <w:p w14:paraId="49731107">
      <w:pPr>
        <w:spacing w:line="560" w:lineRule="exact"/>
        <w:ind w:left="420" w:leftChars="200" w:firstLine="640" w:firstLineChars="200"/>
        <w:rPr>
          <w:rFonts w:eastAsia="仿宋_GB2312"/>
          <w:sz w:val="32"/>
          <w:szCs w:val="32"/>
        </w:rPr>
      </w:pPr>
      <w:r>
        <w:rPr>
          <w:rFonts w:hint="eastAsia" w:eastAsia="仿宋_GB2312"/>
          <w:sz w:val="32"/>
          <w:szCs w:val="32"/>
        </w:rPr>
        <w:t>由民族中学校委托四川哲彦工程管理有限公司组织项目招标，严格按招标程序按时公告、公示，按合同规定组织实施、验收及时划拨项目资金。</w:t>
      </w:r>
    </w:p>
    <w:p w14:paraId="0276C10F">
      <w:pPr>
        <w:numPr>
          <w:ilvl w:val="0"/>
          <w:numId w:val="9"/>
        </w:numPr>
        <w:spacing w:line="560" w:lineRule="exact"/>
        <w:ind w:firstLine="640" w:firstLineChars="200"/>
        <w:rPr>
          <w:rFonts w:eastAsia="楷体_GB2312"/>
          <w:sz w:val="32"/>
          <w:szCs w:val="32"/>
        </w:rPr>
      </w:pPr>
      <w:r>
        <w:rPr>
          <w:rFonts w:eastAsia="楷体_GB2312"/>
          <w:sz w:val="32"/>
          <w:szCs w:val="32"/>
        </w:rPr>
        <w:t>项目监管情况。</w:t>
      </w:r>
    </w:p>
    <w:p w14:paraId="792198B4">
      <w:pPr>
        <w:spacing w:line="560" w:lineRule="exact"/>
        <w:ind w:left="420" w:leftChars="200" w:firstLine="640" w:firstLineChars="200"/>
        <w:rPr>
          <w:rFonts w:eastAsia="仿宋_GB2312"/>
          <w:sz w:val="32"/>
          <w:szCs w:val="32"/>
        </w:rPr>
      </w:pPr>
      <w:r>
        <w:rPr>
          <w:rFonts w:hint="eastAsia" w:eastAsia="仿宋_GB2312"/>
          <w:sz w:val="32"/>
          <w:szCs w:val="32"/>
        </w:rPr>
        <w:t>由四川华宇工程监理咨询有限公司攀枝花分公司</w:t>
      </w:r>
      <w:r>
        <w:rPr>
          <w:rFonts w:eastAsia="仿宋_GB2312"/>
          <w:sz w:val="32"/>
          <w:szCs w:val="32"/>
        </w:rPr>
        <w:t>为加强项目管理</w:t>
      </w:r>
      <w:r>
        <w:rPr>
          <w:rFonts w:hint="eastAsia" w:eastAsia="仿宋_GB2312"/>
          <w:sz w:val="32"/>
          <w:szCs w:val="32"/>
        </w:rPr>
        <w:t>组织人员对工程进行全面监管，定期检查工程进度、质量，确保项目工程按时、按量、按质竣工投入使用</w:t>
      </w:r>
      <w:r>
        <w:rPr>
          <w:rFonts w:eastAsia="仿宋_GB2312"/>
          <w:sz w:val="32"/>
          <w:szCs w:val="32"/>
        </w:rPr>
        <w:t>。</w:t>
      </w:r>
    </w:p>
    <w:p w14:paraId="64FA1678">
      <w:pPr>
        <w:spacing w:line="56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14:paraId="032567FF">
      <w:pPr>
        <w:spacing w:line="560" w:lineRule="exact"/>
        <w:ind w:firstLine="640" w:firstLineChars="200"/>
        <w:rPr>
          <w:rFonts w:eastAsia="楷体_GB2312"/>
          <w:sz w:val="32"/>
          <w:szCs w:val="32"/>
        </w:rPr>
      </w:pPr>
      <w:r>
        <w:rPr>
          <w:rFonts w:eastAsia="楷体_GB2312"/>
          <w:sz w:val="32"/>
          <w:szCs w:val="32"/>
        </w:rPr>
        <w:t>（一）项目完成情况。</w:t>
      </w:r>
    </w:p>
    <w:p w14:paraId="13370A2F">
      <w:pPr>
        <w:spacing w:line="560" w:lineRule="exact"/>
        <w:ind w:firstLine="640" w:firstLineChars="200"/>
        <w:rPr>
          <w:rFonts w:eastAsia="仿宋_GB2312"/>
          <w:sz w:val="32"/>
          <w:szCs w:val="32"/>
        </w:rPr>
      </w:pPr>
      <w:r>
        <w:rPr>
          <w:rFonts w:hint="eastAsia" w:eastAsia="仿宋_GB2312"/>
          <w:sz w:val="32"/>
          <w:szCs w:val="32"/>
        </w:rPr>
        <w:t>严格按照预算控制，加强流程管理，严审开支情况，控制成本，2021年已保质保量完成该项目并投入使用。</w:t>
      </w:r>
    </w:p>
    <w:p w14:paraId="306C8EED">
      <w:pPr>
        <w:spacing w:line="560" w:lineRule="exact"/>
        <w:ind w:firstLine="640" w:firstLineChars="200"/>
        <w:rPr>
          <w:rFonts w:eastAsia="楷体_GB2312"/>
          <w:sz w:val="32"/>
          <w:szCs w:val="32"/>
        </w:rPr>
      </w:pPr>
      <w:r>
        <w:rPr>
          <w:rFonts w:eastAsia="楷体_GB2312"/>
          <w:sz w:val="32"/>
          <w:szCs w:val="32"/>
        </w:rPr>
        <w:t>（二）项目效益情况。</w:t>
      </w:r>
    </w:p>
    <w:p w14:paraId="5CC35883">
      <w:pPr>
        <w:spacing w:line="560" w:lineRule="exact"/>
        <w:ind w:firstLine="640" w:firstLineChars="200"/>
        <w:rPr>
          <w:rFonts w:eastAsia="仿宋_GB2312"/>
          <w:sz w:val="32"/>
          <w:szCs w:val="32"/>
        </w:rPr>
      </w:pPr>
      <w:r>
        <w:rPr>
          <w:rFonts w:hint="eastAsia" w:eastAsia="仿宋_GB2312"/>
          <w:sz w:val="32"/>
          <w:szCs w:val="32"/>
        </w:rPr>
        <w:t>项目完成提高了我校安全系数，改善美化校园环境，提高了教育教学质量，为学生的学习和老师的教学工作提供基础性支持，受到学生及家长广泛好评。</w:t>
      </w:r>
    </w:p>
    <w:p w14:paraId="0BAB9FCE">
      <w:pPr>
        <w:spacing w:line="560" w:lineRule="exact"/>
        <w:ind w:firstLine="640" w:firstLineChars="200"/>
        <w:rPr>
          <w:rFonts w:eastAsia="黑体"/>
          <w:sz w:val="32"/>
          <w:szCs w:val="32"/>
        </w:rPr>
      </w:pPr>
      <w:r>
        <w:rPr>
          <w:rFonts w:eastAsia="黑体"/>
          <w:sz w:val="32"/>
          <w:szCs w:val="32"/>
        </w:rPr>
        <w:t>五、评价结论及建议</w:t>
      </w:r>
    </w:p>
    <w:p w14:paraId="6049DFF0">
      <w:pPr>
        <w:spacing w:line="560" w:lineRule="exact"/>
        <w:ind w:firstLine="640" w:firstLineChars="200"/>
        <w:rPr>
          <w:rFonts w:eastAsia="楷体_GB2312"/>
          <w:sz w:val="32"/>
          <w:szCs w:val="32"/>
        </w:rPr>
      </w:pPr>
      <w:r>
        <w:rPr>
          <w:rFonts w:eastAsia="楷体_GB2312"/>
          <w:sz w:val="32"/>
          <w:szCs w:val="32"/>
        </w:rPr>
        <w:t>（一）评价结论。</w:t>
      </w:r>
    </w:p>
    <w:p w14:paraId="7B875825">
      <w:pPr>
        <w:spacing w:line="560" w:lineRule="exact"/>
        <w:ind w:firstLine="640" w:firstLineChars="200"/>
        <w:rPr>
          <w:rFonts w:eastAsia="仿宋_GB2312"/>
          <w:sz w:val="32"/>
          <w:szCs w:val="32"/>
        </w:rPr>
      </w:pPr>
      <w:r>
        <w:rPr>
          <w:rFonts w:ascii="仿宋_GB2312" w:eastAsia="仿宋_GB2312" w:cs="仿宋_GB2312"/>
          <w:color w:val="000000"/>
          <w:sz w:val="32"/>
          <w:szCs w:val="32"/>
          <w:shd w:val="clear" w:color="auto" w:fill="FFFFFF"/>
        </w:rPr>
        <w:t>我</w:t>
      </w:r>
      <w:r>
        <w:rPr>
          <w:rFonts w:hint="eastAsia" w:ascii="仿宋_GB2312" w:eastAsia="仿宋_GB2312" w:cs="仿宋_GB2312"/>
          <w:color w:val="000000"/>
          <w:sz w:val="32"/>
          <w:szCs w:val="32"/>
          <w:shd w:val="clear" w:color="auto" w:fill="FFFFFF"/>
        </w:rPr>
        <w:t>校</w:t>
      </w:r>
      <w:r>
        <w:rPr>
          <w:rFonts w:ascii="仿宋_GB2312" w:eastAsia="仿宋_GB2312" w:cs="仿宋_GB2312"/>
          <w:color w:val="000000"/>
          <w:sz w:val="32"/>
          <w:szCs w:val="32"/>
          <w:shd w:val="clear" w:color="auto" w:fill="FFFFFF"/>
        </w:rPr>
        <w:t>严格按照年初预算批复认真组织实施</w:t>
      </w:r>
      <w:r>
        <w:rPr>
          <w:rFonts w:hint="eastAsia" w:ascii="仿宋_GB2312" w:eastAsia="仿宋_GB2312" w:cs="仿宋_GB2312"/>
          <w:color w:val="000000"/>
          <w:sz w:val="32"/>
          <w:szCs w:val="32"/>
          <w:shd w:val="clear" w:color="auto" w:fill="FFFFFF"/>
        </w:rPr>
        <w:t>，</w:t>
      </w:r>
      <w:r>
        <w:rPr>
          <w:rFonts w:ascii="仿宋_GB2312" w:eastAsia="仿宋_GB2312" w:cs="仿宋_GB2312"/>
          <w:color w:val="000000"/>
          <w:sz w:val="32"/>
          <w:szCs w:val="32"/>
          <w:shd w:val="clear" w:color="auto" w:fill="FFFFFF"/>
        </w:rPr>
        <w:t> 严格执行财经纪律相关管理规定，做到各项收支安排使用符合事业发展计划和财政政策的要求，确保</w:t>
      </w:r>
      <w:r>
        <w:rPr>
          <w:rFonts w:hint="eastAsia" w:ascii="仿宋_GB2312" w:eastAsia="仿宋_GB2312" w:cs="仿宋_GB2312"/>
          <w:color w:val="000000"/>
          <w:sz w:val="32"/>
          <w:szCs w:val="32"/>
          <w:shd w:val="clear" w:color="auto" w:fill="FFFFFF"/>
        </w:rPr>
        <w:t>项目顺利实施，2021</w:t>
      </w:r>
      <w:r>
        <w:rPr>
          <w:rFonts w:ascii="仿宋_GB2312" w:eastAsia="仿宋_GB2312" w:cs="仿宋_GB2312"/>
          <w:color w:val="000000"/>
          <w:sz w:val="32"/>
          <w:szCs w:val="32"/>
          <w:shd w:val="clear" w:color="auto" w:fill="FFFFFF"/>
        </w:rPr>
        <w:t>年</w:t>
      </w:r>
      <w:r>
        <w:rPr>
          <w:rFonts w:hint="eastAsia" w:ascii="仿宋_GB2312" w:eastAsia="仿宋_GB2312" w:cs="仿宋_GB2312"/>
          <w:color w:val="000000"/>
          <w:sz w:val="32"/>
          <w:szCs w:val="32"/>
          <w:shd w:val="clear" w:color="auto" w:fill="FFFFFF"/>
        </w:rPr>
        <w:t>项目</w:t>
      </w:r>
      <w:r>
        <w:rPr>
          <w:rFonts w:ascii="仿宋_GB2312" w:eastAsia="仿宋_GB2312" w:cs="仿宋_GB2312"/>
          <w:color w:val="000000"/>
          <w:sz w:val="32"/>
          <w:szCs w:val="32"/>
          <w:shd w:val="clear" w:color="auto" w:fill="FFFFFF"/>
        </w:rPr>
        <w:t>目标任务完成，预算执行情况较好。</w:t>
      </w:r>
    </w:p>
    <w:p w14:paraId="4185D573">
      <w:pPr>
        <w:spacing w:line="560" w:lineRule="exact"/>
        <w:ind w:firstLine="640" w:firstLineChars="200"/>
        <w:rPr>
          <w:rFonts w:eastAsia="楷体_GB2312"/>
          <w:sz w:val="32"/>
          <w:szCs w:val="32"/>
        </w:rPr>
      </w:pPr>
      <w:r>
        <w:rPr>
          <w:rFonts w:eastAsia="楷体_GB2312"/>
          <w:sz w:val="32"/>
          <w:szCs w:val="32"/>
        </w:rPr>
        <w:t>（二）存在的问题。</w:t>
      </w:r>
    </w:p>
    <w:p w14:paraId="2E5A4BF6">
      <w:pPr>
        <w:spacing w:line="560" w:lineRule="exact"/>
        <w:ind w:firstLine="640" w:firstLineChars="200"/>
        <w:rPr>
          <w:rFonts w:eastAsia="仿宋_GB2312"/>
          <w:sz w:val="32"/>
          <w:szCs w:val="32"/>
        </w:rPr>
      </w:pPr>
      <w:r>
        <w:rPr>
          <w:rFonts w:hint="eastAsia" w:eastAsia="仿宋_GB2312"/>
          <w:sz w:val="32"/>
          <w:szCs w:val="32"/>
        </w:rPr>
        <w:t>学校无工程建设相关专业人员，对施工过程的监督有不到位的地方 。</w:t>
      </w:r>
    </w:p>
    <w:p w14:paraId="2752855D">
      <w:pPr>
        <w:spacing w:line="560" w:lineRule="exact"/>
        <w:ind w:firstLine="640" w:firstLineChars="200"/>
        <w:rPr>
          <w:rFonts w:eastAsia="楷体_GB2312"/>
          <w:sz w:val="32"/>
          <w:szCs w:val="32"/>
        </w:rPr>
      </w:pPr>
      <w:r>
        <w:rPr>
          <w:rFonts w:eastAsia="楷体_GB2312"/>
          <w:sz w:val="32"/>
          <w:szCs w:val="32"/>
        </w:rPr>
        <w:t>（三）相关建议。</w:t>
      </w:r>
    </w:p>
    <w:p w14:paraId="5B3C9DE0">
      <w:pPr>
        <w:spacing w:line="560" w:lineRule="exact"/>
        <w:ind w:firstLine="640" w:firstLineChars="200"/>
        <w:rPr>
          <w:rFonts w:eastAsia="仿宋_GB2312"/>
          <w:sz w:val="32"/>
          <w:szCs w:val="32"/>
        </w:rPr>
      </w:pPr>
      <w:r>
        <w:rPr>
          <w:rFonts w:hint="eastAsia" w:eastAsia="仿宋_GB2312"/>
          <w:sz w:val="32"/>
          <w:szCs w:val="32"/>
        </w:rPr>
        <w:t>适当加大项目资金的投入，有助于专项项目完成的效果，更好地推进教育教学的发展。</w:t>
      </w:r>
    </w:p>
    <w:p w14:paraId="1CB581FC">
      <w:pPr>
        <w:spacing w:line="560" w:lineRule="exact"/>
        <w:rPr>
          <w:rFonts w:ascii="仿宋_GB2312" w:eastAsia="仿宋_GB2312"/>
          <w:sz w:val="32"/>
          <w:szCs w:val="32"/>
        </w:rPr>
      </w:pPr>
    </w:p>
    <w:p w14:paraId="69029E11">
      <w:pPr>
        <w:widowControl/>
        <w:jc w:val="left"/>
        <w:rPr>
          <w:rStyle w:val="18"/>
          <w:rFonts w:ascii="黑体" w:hAnsi="黑体" w:eastAsia="黑体"/>
          <w:b w:val="0"/>
          <w:bCs w:val="0"/>
        </w:rPr>
      </w:pPr>
    </w:p>
    <w:p w14:paraId="35650CE8">
      <w:pPr>
        <w:widowControl/>
        <w:jc w:val="left"/>
        <w:rPr>
          <w:rStyle w:val="18"/>
          <w:rFonts w:ascii="黑体" w:hAnsi="黑体" w:eastAsia="黑体"/>
          <w:b w:val="0"/>
          <w:bCs w:val="0"/>
        </w:rPr>
      </w:pPr>
    </w:p>
    <w:p w14:paraId="5424C231">
      <w:pPr>
        <w:widowControl/>
        <w:jc w:val="left"/>
        <w:rPr>
          <w:rStyle w:val="18"/>
          <w:rFonts w:ascii="黑体" w:hAnsi="黑体" w:eastAsia="黑体"/>
          <w:b w:val="0"/>
          <w:bCs w:val="0"/>
        </w:rPr>
      </w:pPr>
    </w:p>
    <w:p w14:paraId="50E2A6A4">
      <w:pPr>
        <w:widowControl/>
        <w:jc w:val="left"/>
        <w:rPr>
          <w:rStyle w:val="18"/>
          <w:rFonts w:ascii="黑体" w:hAnsi="黑体" w:eastAsia="黑体"/>
          <w:b w:val="0"/>
          <w:bCs w:val="0"/>
        </w:rPr>
      </w:pPr>
    </w:p>
    <w:p w14:paraId="07B81068">
      <w:pPr>
        <w:widowControl/>
        <w:jc w:val="left"/>
        <w:rPr>
          <w:rStyle w:val="18"/>
          <w:rFonts w:ascii="黑体" w:hAnsi="黑体" w:eastAsia="黑体"/>
          <w:b w:val="0"/>
          <w:bCs w:val="0"/>
        </w:rPr>
      </w:pPr>
    </w:p>
    <w:p w14:paraId="7D8A4431">
      <w:pPr>
        <w:pStyle w:val="2"/>
        <w:spacing w:before="93"/>
        <w:rPr>
          <w:rStyle w:val="18"/>
          <w:rFonts w:ascii="黑体" w:hAnsi="黑体" w:eastAsia="黑体"/>
          <w:b w:val="0"/>
          <w:bCs w:val="0"/>
        </w:rPr>
      </w:pP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14:paraId="27FF0F32">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18D09C92">
            <w:pPr>
              <w:widowControl/>
              <w:ind w:firstLine="1928" w:firstLineChars="600"/>
              <w:textAlignment w:val="center"/>
              <w:rPr>
                <w:rFonts w:ascii="宋体" w:hAnsi="宋体" w:cs="宋体"/>
                <w:b/>
                <w:sz w:val="32"/>
                <w:szCs w:val="32"/>
              </w:rPr>
            </w:pPr>
            <w:r>
              <w:rPr>
                <w:rFonts w:hint="eastAsia" w:ascii="宋体" w:hAnsi="宋体" w:cs="宋体"/>
                <w:b/>
                <w:sz w:val="32"/>
                <w:szCs w:val="32"/>
              </w:rPr>
              <w:t>2021年部门预算项目绩效目标自评</w:t>
            </w:r>
          </w:p>
        </w:tc>
      </w:tr>
      <w:tr w14:paraId="23B70E30">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0B9D6">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1748C">
            <w:pPr>
              <w:widowControl/>
              <w:spacing w:line="320" w:lineRule="exact"/>
              <w:textAlignment w:val="center"/>
              <w:rPr>
                <w:rFonts w:ascii="宋体" w:hAnsi="宋体" w:cs="宋体"/>
                <w:sz w:val="24"/>
              </w:rPr>
            </w:pPr>
            <w:r>
              <w:rPr>
                <w:rFonts w:hint="eastAsia" w:ascii="宋体" w:hAnsi="宋体" w:cs="宋体"/>
                <w:sz w:val="24"/>
              </w:rPr>
              <w:t>盐边县教育和体育局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4EC">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4C77">
            <w:pPr>
              <w:widowControl/>
              <w:spacing w:line="320" w:lineRule="exact"/>
              <w:jc w:val="center"/>
              <w:textAlignment w:val="center"/>
              <w:rPr>
                <w:rFonts w:ascii="宋体" w:hAnsi="宋体" w:cs="宋体"/>
                <w:sz w:val="24"/>
              </w:rPr>
            </w:pPr>
            <w:r>
              <w:rPr>
                <w:rFonts w:hint="eastAsia" w:ascii="宋体" w:hAnsi="宋体" w:cs="宋体"/>
                <w:sz w:val="24"/>
              </w:rPr>
              <w:t>盐边县民族中学校</w:t>
            </w:r>
          </w:p>
        </w:tc>
      </w:tr>
      <w:tr w14:paraId="136C9421">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7D0EC">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7B3EFC24">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19A2B120">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565F">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2B74">
            <w:pPr>
              <w:widowControl/>
              <w:spacing w:line="320" w:lineRule="exact"/>
              <w:jc w:val="left"/>
              <w:textAlignment w:val="center"/>
              <w:rPr>
                <w:rFonts w:ascii="宋体" w:hAnsi="宋体" w:cs="宋体"/>
                <w:sz w:val="24"/>
              </w:rPr>
            </w:pPr>
            <w:r>
              <w:rPr>
                <w:rFonts w:hint="eastAsia" w:ascii="宋体" w:hAnsi="宋体" w:cs="宋体"/>
                <w:sz w:val="24"/>
              </w:rPr>
              <w:t>23.53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CCD7">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5E78">
            <w:pPr>
              <w:widowControl/>
              <w:spacing w:line="320" w:lineRule="exact"/>
              <w:jc w:val="center"/>
              <w:textAlignment w:val="center"/>
              <w:rPr>
                <w:rFonts w:ascii="宋体" w:hAnsi="宋体" w:cs="宋体"/>
                <w:sz w:val="24"/>
              </w:rPr>
            </w:pPr>
            <w:r>
              <w:rPr>
                <w:rFonts w:hint="eastAsia" w:ascii="宋体" w:hAnsi="宋体" w:cs="宋体"/>
                <w:sz w:val="24"/>
              </w:rPr>
              <w:t>23.33</w:t>
            </w:r>
          </w:p>
        </w:tc>
      </w:tr>
      <w:tr w14:paraId="76E43D7D">
        <w:tblPrEx>
          <w:tblCellMar>
            <w:top w:w="0" w:type="dxa"/>
            <w:left w:w="108" w:type="dxa"/>
            <w:bottom w:w="0" w:type="dxa"/>
            <w:right w:w="108" w:type="dxa"/>
          </w:tblCellMar>
        </w:tblPrEx>
        <w:trPr>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60D2">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130">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9DA848A">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9814">
            <w:pPr>
              <w:widowControl/>
              <w:spacing w:line="320" w:lineRule="exact"/>
              <w:jc w:val="left"/>
              <w:textAlignment w:val="center"/>
              <w:rPr>
                <w:rFonts w:ascii="宋体" w:hAnsi="宋体" w:cs="宋体"/>
                <w:sz w:val="24"/>
              </w:rPr>
            </w:pPr>
            <w:r>
              <w:rPr>
                <w:rFonts w:hint="eastAsia" w:ascii="宋体" w:hAnsi="宋体" w:cs="宋体"/>
                <w:sz w:val="24"/>
              </w:rPr>
              <w:t>23.53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7A4">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D8A9FE2">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D033">
            <w:pPr>
              <w:widowControl/>
              <w:spacing w:line="320" w:lineRule="exact"/>
              <w:textAlignment w:val="center"/>
              <w:rPr>
                <w:rFonts w:ascii="宋体" w:hAnsi="宋体" w:cs="宋体"/>
                <w:sz w:val="24"/>
              </w:rPr>
            </w:pPr>
            <w:r>
              <w:rPr>
                <w:rFonts w:hint="eastAsia" w:ascii="宋体" w:hAnsi="宋体" w:cs="宋体"/>
                <w:sz w:val="24"/>
              </w:rPr>
              <w:t xml:space="preserve">       23.33</w:t>
            </w:r>
          </w:p>
        </w:tc>
      </w:tr>
      <w:tr w14:paraId="3BBB511D">
        <w:tblPrEx>
          <w:tblCellMar>
            <w:top w:w="0" w:type="dxa"/>
            <w:left w:w="108" w:type="dxa"/>
            <w:bottom w:w="0" w:type="dxa"/>
            <w:right w:w="108" w:type="dxa"/>
          </w:tblCellMar>
        </w:tblPrEx>
        <w:trPr>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88EE">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3D9F">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6FEF">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51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4CEB">
            <w:pPr>
              <w:widowControl/>
              <w:spacing w:line="320" w:lineRule="exact"/>
              <w:jc w:val="center"/>
              <w:textAlignment w:val="center"/>
              <w:rPr>
                <w:rFonts w:ascii="宋体" w:hAnsi="宋体" w:cs="宋体"/>
                <w:sz w:val="24"/>
              </w:rPr>
            </w:pPr>
          </w:p>
        </w:tc>
      </w:tr>
      <w:tr w14:paraId="07C9CEC3">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C56C9">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0AE40C5B">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8AE62">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1C1FC">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579C0072">
        <w:tblPrEx>
          <w:tblCellMar>
            <w:top w:w="0" w:type="dxa"/>
            <w:left w:w="108" w:type="dxa"/>
            <w:bottom w:w="0" w:type="dxa"/>
            <w:right w:w="108" w:type="dxa"/>
          </w:tblCellMar>
        </w:tblPrEx>
        <w:trPr>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17874">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0A45BC78">
            <w:pPr>
              <w:widowControl/>
              <w:spacing w:line="320" w:lineRule="exact"/>
              <w:jc w:val="left"/>
              <w:textAlignment w:val="top"/>
              <w:rPr>
                <w:rFonts w:ascii="宋体" w:hAnsi="宋体" w:cs="宋体"/>
                <w:sz w:val="24"/>
              </w:rPr>
            </w:pPr>
            <w:r>
              <w:rPr>
                <w:rFonts w:hint="eastAsia" w:ascii="宋体" w:hAnsi="宋体" w:cs="宋体"/>
                <w:sz w:val="24"/>
              </w:rPr>
              <w:t>改造学校综合楼背后围墙和部分下沉开裂地基，完善学校运动场围墙安全隐患，美化校园环境；在本年度完成项目</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01DA11ED">
            <w:pPr>
              <w:widowControl/>
              <w:spacing w:line="320" w:lineRule="exact"/>
              <w:jc w:val="left"/>
              <w:textAlignment w:val="top"/>
              <w:rPr>
                <w:rFonts w:ascii="宋体" w:hAnsi="宋体" w:cs="宋体"/>
                <w:sz w:val="24"/>
              </w:rPr>
            </w:pPr>
            <w:r>
              <w:rPr>
                <w:rFonts w:hint="eastAsia" w:ascii="宋体" w:hAnsi="宋体" w:cs="宋体"/>
                <w:sz w:val="24"/>
              </w:rPr>
              <w:t>已完成，达到预期目标</w:t>
            </w:r>
          </w:p>
        </w:tc>
      </w:tr>
      <w:tr w14:paraId="3C701BF7">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2AC27DD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02D84B7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35FD6C7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792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6D4CEFFE">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1FC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6480EBD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E1E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778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612B8D07">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14:paraId="37C557F5">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35322">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19FB3FC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FE89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68D8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拆除原有围墙及挡墙，新建C20混凝土档土墙</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84AD3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304.8立方米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B66D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3A4A0841">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14:paraId="2982519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8A45A9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703F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1418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工程验收合格率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33319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3B1A2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98%</w:t>
            </w:r>
          </w:p>
        </w:tc>
      </w:tr>
      <w:tr w14:paraId="3416581D">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14:paraId="63EF98A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A4F93D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73A1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8672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2AB9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8564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19664F14">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14:paraId="61C1194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67D021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11EAF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9DF3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成本控制率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24DA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CB109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33D606A9">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14:paraId="7DBE0F1D">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E62C4">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14:paraId="2898553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9CB1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FA5F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改善校园环境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BA2D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排除学校安全隐患</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4F267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313D24FE">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14:paraId="53B4C12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8AE645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E8F1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C8F5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社会评价度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96BC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让群众满意，让家长放心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0F7FA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6F0EA75F">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14:paraId="7E660CE8">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A5BFC8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5BD2F">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85BB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校园环境保护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A965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保护校园环境，保障学生安全</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3FA8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5FD2886F">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14:paraId="3F2DE05E">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732CE8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D84C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588A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社会影响力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8AF10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556B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6F1E4B96">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1879C96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6254E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14:paraId="3AB3FA8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46EB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2D9E15A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4C57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社会满意度，学生满意度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CB239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391B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bl>
    <w:p w14:paraId="51883CAF">
      <w:pPr>
        <w:pStyle w:val="2"/>
        <w:spacing w:before="93"/>
        <w:rPr>
          <w:rStyle w:val="18"/>
          <w:rFonts w:ascii="黑体" w:hAnsi="黑体" w:eastAsia="黑体"/>
          <w:b w:val="0"/>
          <w:bCs w:val="0"/>
        </w:rPr>
      </w:pPr>
    </w:p>
    <w:p w14:paraId="3EDACD82">
      <w:pPr>
        <w:widowControl/>
        <w:jc w:val="left"/>
        <w:rPr>
          <w:rStyle w:val="18"/>
          <w:rFonts w:ascii="黑体" w:hAnsi="黑体" w:eastAsia="黑体"/>
          <w:b w:val="0"/>
          <w:bCs w:val="0"/>
        </w:rPr>
      </w:pPr>
    </w:p>
    <w:p w14:paraId="79357DD2">
      <w:pPr>
        <w:spacing w:line="600" w:lineRule="exact"/>
        <w:jc w:val="center"/>
        <w:outlineLvl w:val="0"/>
        <w:rPr>
          <w:rStyle w:val="18"/>
          <w:rFonts w:ascii="黑体" w:hAnsi="黑体" w:eastAsia="黑体"/>
          <w:b w:val="0"/>
          <w:bCs w:val="0"/>
        </w:rPr>
      </w:pPr>
    </w:p>
    <w:p w14:paraId="66D6BC16">
      <w:pPr>
        <w:spacing w:line="600" w:lineRule="exact"/>
        <w:jc w:val="center"/>
        <w:outlineLvl w:val="0"/>
        <w:rPr>
          <w:rFonts w:ascii="黑体" w:hAnsi="黑体" w:eastAsia="黑体" w:cs="黑体"/>
          <w:color w:val="000000"/>
          <w:sz w:val="44"/>
          <w:szCs w:val="44"/>
        </w:rPr>
      </w:pPr>
      <w:bookmarkStart w:id="85" w:name="_Toc52180099"/>
      <w:bookmarkStart w:id="86" w:name="_Toc15396618"/>
    </w:p>
    <w:p w14:paraId="4A355E02">
      <w:pPr>
        <w:spacing w:line="600" w:lineRule="exact"/>
        <w:jc w:val="center"/>
        <w:outlineLvl w:val="0"/>
        <w:rPr>
          <w:rFonts w:ascii="黑体" w:hAnsi="黑体" w:eastAsia="黑体" w:cs="黑体"/>
          <w:color w:val="000000"/>
          <w:sz w:val="44"/>
          <w:szCs w:val="44"/>
        </w:rPr>
      </w:pPr>
    </w:p>
    <w:p w14:paraId="345B4A79">
      <w:pPr>
        <w:pStyle w:val="2"/>
        <w:spacing w:before="93"/>
        <w:rPr>
          <w:rFonts w:ascii="黑体" w:hAnsi="黑体" w:eastAsia="黑体" w:cs="黑体"/>
          <w:color w:val="000000"/>
          <w:sz w:val="44"/>
          <w:szCs w:val="44"/>
        </w:rPr>
      </w:pPr>
    </w:p>
    <w:p w14:paraId="1C4DF35A">
      <w:pPr>
        <w:pStyle w:val="2"/>
        <w:spacing w:before="93"/>
        <w:rPr>
          <w:rFonts w:ascii="黑体" w:hAnsi="黑体" w:eastAsia="黑体" w:cs="黑体"/>
          <w:color w:val="000000"/>
          <w:sz w:val="44"/>
          <w:szCs w:val="44"/>
        </w:rPr>
      </w:pPr>
    </w:p>
    <w:p w14:paraId="72090A15">
      <w:pPr>
        <w:pStyle w:val="2"/>
        <w:spacing w:before="93"/>
        <w:rPr>
          <w:rFonts w:ascii="黑体" w:hAnsi="黑体" w:eastAsia="黑体" w:cs="黑体"/>
          <w:color w:val="000000"/>
          <w:sz w:val="44"/>
          <w:szCs w:val="44"/>
        </w:rPr>
      </w:pPr>
    </w:p>
    <w:p w14:paraId="2C987200">
      <w:pPr>
        <w:pStyle w:val="2"/>
        <w:spacing w:before="93"/>
        <w:rPr>
          <w:rFonts w:ascii="黑体" w:hAnsi="黑体" w:eastAsia="黑体" w:cs="黑体"/>
          <w:color w:val="000000"/>
          <w:sz w:val="44"/>
          <w:szCs w:val="44"/>
        </w:rPr>
      </w:pPr>
    </w:p>
    <w:p w14:paraId="22C0C2D8">
      <w:pPr>
        <w:pStyle w:val="2"/>
        <w:spacing w:before="93"/>
        <w:rPr>
          <w:rFonts w:ascii="黑体" w:hAnsi="黑体" w:eastAsia="黑体" w:cs="黑体"/>
          <w:color w:val="000000"/>
          <w:sz w:val="44"/>
          <w:szCs w:val="44"/>
        </w:rPr>
      </w:pPr>
    </w:p>
    <w:p w14:paraId="29145907">
      <w:pPr>
        <w:pStyle w:val="2"/>
        <w:spacing w:before="93"/>
        <w:rPr>
          <w:rFonts w:ascii="黑体" w:hAnsi="黑体" w:eastAsia="黑体" w:cs="黑体"/>
          <w:color w:val="000000"/>
          <w:sz w:val="44"/>
          <w:szCs w:val="44"/>
        </w:rPr>
      </w:pPr>
    </w:p>
    <w:p w14:paraId="197A1BA9">
      <w:pPr>
        <w:pStyle w:val="2"/>
        <w:spacing w:before="93"/>
        <w:rPr>
          <w:rFonts w:ascii="黑体" w:hAnsi="黑体" w:eastAsia="黑体" w:cs="黑体"/>
          <w:color w:val="000000"/>
          <w:sz w:val="44"/>
          <w:szCs w:val="44"/>
        </w:rPr>
      </w:pPr>
    </w:p>
    <w:p w14:paraId="2FBB5A44">
      <w:pPr>
        <w:pStyle w:val="2"/>
        <w:spacing w:before="93"/>
        <w:rPr>
          <w:rFonts w:ascii="黑体" w:hAnsi="黑体" w:eastAsia="黑体" w:cs="黑体"/>
          <w:color w:val="000000"/>
          <w:sz w:val="44"/>
          <w:szCs w:val="44"/>
        </w:rPr>
      </w:pPr>
    </w:p>
    <w:p w14:paraId="77947E2A">
      <w:pPr>
        <w:pStyle w:val="2"/>
        <w:spacing w:before="93"/>
        <w:rPr>
          <w:rFonts w:ascii="黑体" w:hAnsi="黑体" w:eastAsia="黑体" w:cs="黑体"/>
          <w:color w:val="000000"/>
          <w:sz w:val="44"/>
          <w:szCs w:val="44"/>
        </w:rPr>
      </w:pPr>
    </w:p>
    <w:p w14:paraId="12A9C3B9">
      <w:pPr>
        <w:spacing w:line="600" w:lineRule="exact"/>
        <w:jc w:val="center"/>
        <w:outlineLvl w:val="0"/>
        <w:rPr>
          <w:rFonts w:ascii="黑体" w:hAnsi="黑体" w:eastAsia="黑体" w:cs="黑体"/>
          <w:color w:val="000000"/>
          <w:sz w:val="44"/>
          <w:szCs w:val="44"/>
        </w:rPr>
      </w:pPr>
    </w:p>
    <w:p w14:paraId="50FA2342">
      <w:pPr>
        <w:spacing w:line="600" w:lineRule="exact"/>
        <w:jc w:val="center"/>
        <w:outlineLvl w:val="0"/>
        <w:rPr>
          <w:rFonts w:ascii="黑体" w:hAnsi="黑体" w:eastAsia="黑体" w:cs="黑体"/>
          <w:color w:val="000000"/>
          <w:sz w:val="44"/>
          <w:szCs w:val="44"/>
        </w:rPr>
      </w:pPr>
    </w:p>
    <w:p w14:paraId="2236069A">
      <w:pPr>
        <w:spacing w:line="600" w:lineRule="exact"/>
        <w:outlineLvl w:val="0"/>
        <w:rPr>
          <w:rFonts w:ascii="黑体" w:hAnsi="黑体" w:eastAsia="黑体" w:cs="黑体"/>
          <w:color w:val="000000"/>
          <w:sz w:val="44"/>
          <w:szCs w:val="44"/>
        </w:rPr>
      </w:pPr>
    </w:p>
    <w:p w14:paraId="309E7FBB">
      <w:pPr>
        <w:spacing w:line="600" w:lineRule="exact"/>
        <w:jc w:val="center"/>
        <w:outlineLvl w:val="0"/>
        <w:rPr>
          <w:rFonts w:ascii="黑体" w:hAnsi="黑体" w:eastAsia="黑体" w:cs="黑体"/>
          <w:color w:val="000000"/>
          <w:sz w:val="44"/>
          <w:szCs w:val="44"/>
        </w:rPr>
      </w:pPr>
    </w:p>
    <w:p w14:paraId="49C5A9A8">
      <w:pPr>
        <w:numPr>
          <w:ilvl w:val="0"/>
          <w:numId w:val="3"/>
        </w:numPr>
        <w:spacing w:line="600" w:lineRule="exact"/>
        <w:ind w:firstLine="660"/>
        <w:jc w:val="center"/>
        <w:outlineLvl w:val="0"/>
        <w:rPr>
          <w:rStyle w:val="18"/>
          <w:rFonts w:ascii="黑体" w:hAnsi="黑体" w:eastAsia="黑体" w:cs="黑体"/>
          <w:b w:val="0"/>
          <w:bCs w:val="0"/>
        </w:rPr>
      </w:pPr>
      <w:r>
        <w:rPr>
          <w:rStyle w:val="18"/>
          <w:rFonts w:hint="eastAsia" w:ascii="黑体" w:hAnsi="黑体" w:eastAsia="黑体" w:cs="黑体"/>
          <w:b w:val="0"/>
          <w:bCs w:val="0"/>
        </w:rPr>
        <w:t>附表</w:t>
      </w:r>
      <w:bookmarkEnd w:id="84"/>
      <w:bookmarkEnd w:id="85"/>
      <w:bookmarkEnd w:id="86"/>
    </w:p>
    <w:p w14:paraId="342CF6D3">
      <w:pPr>
        <w:spacing w:line="600" w:lineRule="exact"/>
        <w:outlineLvl w:val="0"/>
        <w:rPr>
          <w:rFonts w:ascii="仿宋" w:hAnsi="仿宋" w:eastAsia="仿宋"/>
        </w:rPr>
      </w:pPr>
      <w:r>
        <w:rPr>
          <w:rFonts w:hint="eastAsia" w:ascii="仿宋" w:hAnsi="仿宋" w:eastAsia="仿宋"/>
        </w:rPr>
        <w:t>一</w:t>
      </w:r>
      <w:r>
        <w:rPr>
          <w:rFonts w:hint="eastAsia" w:ascii="仿宋" w:hAnsi="仿宋" w:eastAsia="仿宋"/>
          <w:sz w:val="32"/>
          <w:szCs w:val="32"/>
        </w:rPr>
        <w:t>、收</w:t>
      </w:r>
      <w:r>
        <w:rPr>
          <w:rStyle w:val="35"/>
          <w:rFonts w:hint="eastAsia" w:ascii="仿宋" w:hAnsi="仿宋" w:eastAsia="仿宋"/>
          <w:b w:val="0"/>
          <w:bCs w:val="0"/>
        </w:rPr>
        <w:t>入支出决算总表</w:t>
      </w:r>
    </w:p>
    <w:p w14:paraId="365DBEA9">
      <w:pPr>
        <w:pStyle w:val="4"/>
        <w:rPr>
          <w:rFonts w:ascii="仿宋" w:hAnsi="仿宋" w:eastAsia="仿宋"/>
        </w:rPr>
      </w:pPr>
      <w:bookmarkStart w:id="87" w:name="_Toc15396620"/>
      <w:r>
        <w:rPr>
          <w:rFonts w:hint="eastAsia" w:ascii="仿宋" w:hAnsi="仿宋" w:eastAsia="仿宋"/>
          <w:b w:val="0"/>
        </w:rPr>
        <w:t>二、收</w:t>
      </w:r>
      <w:r>
        <w:rPr>
          <w:rStyle w:val="35"/>
          <w:rFonts w:hint="eastAsia" w:ascii="仿宋" w:hAnsi="仿宋" w:eastAsia="仿宋"/>
          <w:b w:val="0"/>
          <w:bCs w:val="0"/>
        </w:rPr>
        <w:t>入决算表</w:t>
      </w:r>
      <w:bookmarkEnd w:id="87"/>
    </w:p>
    <w:p w14:paraId="0A9277E2">
      <w:pPr>
        <w:pStyle w:val="4"/>
        <w:rPr>
          <w:rFonts w:ascii="仿宋" w:hAnsi="仿宋" w:eastAsia="仿宋"/>
        </w:rPr>
      </w:pPr>
      <w:bookmarkStart w:id="88" w:name="_Toc15396621"/>
      <w:r>
        <w:rPr>
          <w:rStyle w:val="35"/>
          <w:rFonts w:hint="eastAsia" w:ascii="仿宋" w:hAnsi="仿宋" w:eastAsia="仿宋"/>
          <w:b w:val="0"/>
          <w:bCs w:val="0"/>
        </w:rPr>
        <w:t>三、</w:t>
      </w:r>
      <w:r>
        <w:rPr>
          <w:rFonts w:hint="eastAsia" w:ascii="仿宋" w:hAnsi="仿宋" w:eastAsia="仿宋"/>
          <w:b w:val="0"/>
        </w:rPr>
        <w:t>支</w:t>
      </w:r>
      <w:r>
        <w:rPr>
          <w:rStyle w:val="35"/>
          <w:rFonts w:hint="eastAsia" w:ascii="仿宋" w:hAnsi="仿宋" w:eastAsia="仿宋"/>
          <w:b w:val="0"/>
          <w:bCs w:val="0"/>
        </w:rPr>
        <w:t>出决算表</w:t>
      </w:r>
      <w:bookmarkEnd w:id="88"/>
    </w:p>
    <w:p w14:paraId="0146C006">
      <w:pPr>
        <w:pStyle w:val="4"/>
        <w:rPr>
          <w:rFonts w:ascii="仿宋" w:hAnsi="仿宋" w:eastAsia="仿宋"/>
          <w:b w:val="0"/>
        </w:rPr>
      </w:pPr>
      <w:bookmarkStart w:id="89" w:name="_Toc15396622"/>
      <w:r>
        <w:rPr>
          <w:rStyle w:val="35"/>
          <w:rFonts w:hint="eastAsia" w:ascii="仿宋" w:hAnsi="仿宋" w:eastAsia="仿宋"/>
          <w:b w:val="0"/>
          <w:bCs w:val="0"/>
        </w:rPr>
        <w:t>四、</w:t>
      </w:r>
      <w:r>
        <w:rPr>
          <w:rFonts w:hint="eastAsia" w:ascii="仿宋" w:hAnsi="仿宋" w:eastAsia="仿宋"/>
          <w:b w:val="0"/>
        </w:rPr>
        <w:t>财</w:t>
      </w:r>
      <w:r>
        <w:rPr>
          <w:rStyle w:val="35"/>
          <w:rFonts w:hint="eastAsia" w:ascii="仿宋" w:hAnsi="仿宋" w:eastAsia="仿宋"/>
          <w:b w:val="0"/>
          <w:bCs w:val="0"/>
        </w:rPr>
        <w:t>政拨款收入支出决算总表</w:t>
      </w:r>
      <w:bookmarkEnd w:id="89"/>
    </w:p>
    <w:p w14:paraId="394F5151">
      <w:pPr>
        <w:pStyle w:val="4"/>
        <w:rPr>
          <w:rStyle w:val="35"/>
          <w:rFonts w:ascii="仿宋" w:hAnsi="仿宋" w:eastAsia="仿宋"/>
          <w:b w:val="0"/>
          <w:bCs w:val="0"/>
        </w:rPr>
      </w:pPr>
      <w:bookmarkStart w:id="90" w:name="_Toc15396623"/>
      <w:r>
        <w:rPr>
          <w:rStyle w:val="35"/>
          <w:rFonts w:hint="eastAsia" w:ascii="仿宋" w:hAnsi="仿宋" w:eastAsia="仿宋"/>
          <w:b w:val="0"/>
          <w:bCs w:val="0"/>
        </w:rPr>
        <w:t>五、</w:t>
      </w:r>
      <w:r>
        <w:rPr>
          <w:rFonts w:hint="eastAsia" w:ascii="仿宋" w:hAnsi="仿宋" w:eastAsia="仿宋"/>
          <w:b w:val="0"/>
        </w:rPr>
        <w:t>财</w:t>
      </w:r>
      <w:r>
        <w:rPr>
          <w:rStyle w:val="35"/>
          <w:rFonts w:hint="eastAsia" w:ascii="仿宋" w:hAnsi="仿宋" w:eastAsia="仿宋"/>
          <w:b w:val="0"/>
          <w:bCs w:val="0"/>
        </w:rPr>
        <w:t>政拨款支出决算明细表</w:t>
      </w:r>
      <w:bookmarkEnd w:id="90"/>
      <w:bookmarkStart w:id="91" w:name="_Toc15396624"/>
    </w:p>
    <w:p w14:paraId="7A346DA8">
      <w:pPr>
        <w:pStyle w:val="4"/>
        <w:rPr>
          <w:rFonts w:ascii="仿宋" w:hAnsi="仿宋" w:eastAsia="仿宋"/>
        </w:rPr>
      </w:pPr>
      <w:r>
        <w:rPr>
          <w:rStyle w:val="35"/>
          <w:rFonts w:hint="eastAsia" w:ascii="仿宋" w:hAnsi="仿宋" w:eastAsia="仿宋"/>
          <w:b w:val="0"/>
          <w:bCs w:val="0"/>
        </w:rPr>
        <w:t>六、</w:t>
      </w:r>
      <w:r>
        <w:rPr>
          <w:rFonts w:hint="eastAsia" w:ascii="仿宋" w:hAnsi="仿宋" w:eastAsia="仿宋"/>
          <w:b w:val="0"/>
        </w:rPr>
        <w:t>一</w:t>
      </w:r>
      <w:r>
        <w:rPr>
          <w:rStyle w:val="35"/>
          <w:rFonts w:hint="eastAsia" w:ascii="仿宋" w:hAnsi="仿宋" w:eastAsia="仿宋"/>
          <w:b w:val="0"/>
          <w:bCs w:val="0"/>
        </w:rPr>
        <w:t>般公共预算财政拨款支出决算表</w:t>
      </w:r>
      <w:bookmarkEnd w:id="91"/>
    </w:p>
    <w:p w14:paraId="214EF696">
      <w:pPr>
        <w:pStyle w:val="4"/>
        <w:rPr>
          <w:rFonts w:ascii="仿宋" w:hAnsi="仿宋" w:eastAsia="仿宋"/>
        </w:rPr>
      </w:pPr>
      <w:bookmarkStart w:id="92" w:name="_Toc15396625"/>
      <w:r>
        <w:rPr>
          <w:rStyle w:val="35"/>
          <w:rFonts w:hint="eastAsia" w:ascii="仿宋" w:hAnsi="仿宋" w:eastAsia="仿宋"/>
          <w:b w:val="0"/>
          <w:bCs w:val="0"/>
        </w:rPr>
        <w:t>七、</w:t>
      </w:r>
      <w:r>
        <w:rPr>
          <w:rFonts w:hint="eastAsia" w:ascii="仿宋" w:hAnsi="仿宋" w:eastAsia="仿宋"/>
          <w:b w:val="0"/>
        </w:rPr>
        <w:t>一</w:t>
      </w:r>
      <w:r>
        <w:rPr>
          <w:rStyle w:val="35"/>
          <w:rFonts w:hint="eastAsia" w:ascii="仿宋" w:hAnsi="仿宋" w:eastAsia="仿宋"/>
          <w:b w:val="0"/>
          <w:bCs w:val="0"/>
        </w:rPr>
        <w:t>般公共预算财政拨款支出决算明细表</w:t>
      </w:r>
      <w:bookmarkEnd w:id="92"/>
    </w:p>
    <w:p w14:paraId="337D7533">
      <w:pPr>
        <w:pStyle w:val="4"/>
        <w:rPr>
          <w:rFonts w:ascii="仿宋" w:hAnsi="仿宋" w:eastAsia="仿宋"/>
        </w:rPr>
      </w:pPr>
      <w:bookmarkStart w:id="93" w:name="_Toc15396626"/>
      <w:r>
        <w:rPr>
          <w:rStyle w:val="35"/>
          <w:rFonts w:hint="eastAsia" w:ascii="仿宋" w:hAnsi="仿宋" w:eastAsia="仿宋"/>
          <w:b w:val="0"/>
          <w:bCs w:val="0"/>
        </w:rPr>
        <w:t>八、</w:t>
      </w:r>
      <w:r>
        <w:rPr>
          <w:rFonts w:hint="eastAsia" w:ascii="仿宋" w:hAnsi="仿宋" w:eastAsia="仿宋"/>
          <w:b w:val="0"/>
        </w:rPr>
        <w:t>一</w:t>
      </w:r>
      <w:r>
        <w:rPr>
          <w:rStyle w:val="35"/>
          <w:rFonts w:hint="eastAsia" w:ascii="仿宋" w:hAnsi="仿宋" w:eastAsia="仿宋"/>
          <w:b w:val="0"/>
          <w:bCs w:val="0"/>
        </w:rPr>
        <w:t>般公共预算财政拨款基本支出决算表</w:t>
      </w:r>
      <w:bookmarkEnd w:id="93"/>
    </w:p>
    <w:p w14:paraId="5FFB44F4">
      <w:pPr>
        <w:pStyle w:val="4"/>
        <w:rPr>
          <w:rFonts w:ascii="仿宋" w:hAnsi="仿宋" w:eastAsia="仿宋"/>
        </w:rPr>
      </w:pPr>
      <w:bookmarkStart w:id="94" w:name="_Toc15396627"/>
      <w:r>
        <w:rPr>
          <w:rStyle w:val="35"/>
          <w:rFonts w:hint="eastAsia" w:ascii="仿宋" w:hAnsi="仿宋" w:eastAsia="仿宋"/>
          <w:b w:val="0"/>
          <w:bCs w:val="0"/>
        </w:rPr>
        <w:t>九、</w:t>
      </w:r>
      <w:r>
        <w:rPr>
          <w:rFonts w:hint="eastAsia" w:ascii="仿宋" w:hAnsi="仿宋" w:eastAsia="仿宋"/>
          <w:b w:val="0"/>
        </w:rPr>
        <w:t>一</w:t>
      </w:r>
      <w:r>
        <w:rPr>
          <w:rStyle w:val="35"/>
          <w:rFonts w:hint="eastAsia" w:ascii="仿宋" w:hAnsi="仿宋" w:eastAsia="仿宋"/>
          <w:b w:val="0"/>
          <w:bCs w:val="0"/>
        </w:rPr>
        <w:t>般公共预算财政拨款项目支出决算表</w:t>
      </w:r>
      <w:bookmarkEnd w:id="94"/>
    </w:p>
    <w:p w14:paraId="3A1A5820">
      <w:pPr>
        <w:pStyle w:val="4"/>
        <w:rPr>
          <w:rFonts w:ascii="仿宋" w:hAnsi="仿宋" w:eastAsia="仿宋"/>
        </w:rPr>
      </w:pPr>
      <w:bookmarkStart w:id="95" w:name="_Toc15396628"/>
      <w:r>
        <w:rPr>
          <w:rStyle w:val="35"/>
          <w:rFonts w:hint="eastAsia" w:ascii="仿宋" w:hAnsi="仿宋" w:eastAsia="仿宋"/>
          <w:b w:val="0"/>
          <w:bCs w:val="0"/>
        </w:rPr>
        <w:t>十、</w:t>
      </w:r>
      <w:r>
        <w:rPr>
          <w:rFonts w:hint="eastAsia" w:ascii="仿宋" w:hAnsi="仿宋" w:eastAsia="仿宋"/>
          <w:b w:val="0"/>
        </w:rPr>
        <w:t>一</w:t>
      </w:r>
      <w:r>
        <w:rPr>
          <w:rStyle w:val="35"/>
          <w:rFonts w:hint="eastAsia" w:ascii="仿宋" w:hAnsi="仿宋" w:eastAsia="仿宋"/>
          <w:b w:val="0"/>
          <w:bCs w:val="0"/>
        </w:rPr>
        <w:t>般公共预算财政拨款“三公”经费支出决算表</w:t>
      </w:r>
      <w:bookmarkEnd w:id="95"/>
    </w:p>
    <w:p w14:paraId="31A7EE0C">
      <w:pPr>
        <w:pStyle w:val="4"/>
        <w:rPr>
          <w:rFonts w:ascii="仿宋" w:hAnsi="仿宋" w:eastAsia="仿宋"/>
        </w:rPr>
      </w:pPr>
      <w:bookmarkStart w:id="96" w:name="_Toc15396629"/>
      <w:r>
        <w:rPr>
          <w:rStyle w:val="35"/>
          <w:rFonts w:hint="eastAsia" w:ascii="仿宋" w:hAnsi="仿宋" w:eastAsia="仿宋"/>
          <w:b w:val="0"/>
          <w:bCs w:val="0"/>
        </w:rPr>
        <w:t>十一、</w:t>
      </w:r>
      <w:r>
        <w:rPr>
          <w:rFonts w:hint="eastAsia" w:ascii="仿宋" w:hAnsi="仿宋" w:eastAsia="仿宋"/>
          <w:b w:val="0"/>
        </w:rPr>
        <w:t>政</w:t>
      </w:r>
      <w:r>
        <w:rPr>
          <w:rStyle w:val="35"/>
          <w:rFonts w:hint="eastAsia" w:ascii="仿宋" w:hAnsi="仿宋" w:eastAsia="仿宋"/>
          <w:b w:val="0"/>
          <w:bCs w:val="0"/>
        </w:rPr>
        <w:t>府性基金预算财政拨款收入支出决算表</w:t>
      </w:r>
      <w:bookmarkEnd w:id="96"/>
    </w:p>
    <w:p w14:paraId="33B6A5A3">
      <w:pPr>
        <w:pStyle w:val="4"/>
        <w:rPr>
          <w:rFonts w:ascii="仿宋" w:hAnsi="仿宋" w:eastAsia="仿宋"/>
        </w:rPr>
      </w:pPr>
      <w:bookmarkStart w:id="97" w:name="_Toc15396630"/>
      <w:r>
        <w:rPr>
          <w:rStyle w:val="35"/>
          <w:rFonts w:hint="eastAsia" w:ascii="仿宋" w:hAnsi="仿宋" w:eastAsia="仿宋"/>
          <w:b w:val="0"/>
          <w:bCs w:val="0"/>
        </w:rPr>
        <w:t>十二、</w:t>
      </w:r>
      <w:r>
        <w:rPr>
          <w:rFonts w:hint="eastAsia" w:ascii="仿宋" w:hAnsi="仿宋" w:eastAsia="仿宋"/>
          <w:b w:val="0"/>
        </w:rPr>
        <w:t>政</w:t>
      </w:r>
      <w:r>
        <w:rPr>
          <w:rStyle w:val="35"/>
          <w:rFonts w:hint="eastAsia" w:ascii="仿宋" w:hAnsi="仿宋" w:eastAsia="仿宋"/>
          <w:b w:val="0"/>
          <w:bCs w:val="0"/>
        </w:rPr>
        <w:t>府性基金预算财政拨款“三公”经费支出决算表</w:t>
      </w:r>
      <w:bookmarkEnd w:id="97"/>
    </w:p>
    <w:p w14:paraId="0ED07D5E">
      <w:pPr>
        <w:pStyle w:val="4"/>
        <w:rPr>
          <w:rStyle w:val="35"/>
          <w:rFonts w:ascii="仿宋" w:hAnsi="仿宋" w:eastAsia="仿宋"/>
          <w:b w:val="0"/>
          <w:bCs w:val="0"/>
        </w:rPr>
      </w:pPr>
      <w:bookmarkStart w:id="98" w:name="_Toc15396631"/>
      <w:r>
        <w:rPr>
          <w:rStyle w:val="35"/>
          <w:rFonts w:hint="eastAsia" w:ascii="仿宋" w:hAnsi="仿宋" w:eastAsia="仿宋"/>
          <w:b w:val="0"/>
          <w:bCs w:val="0"/>
        </w:rPr>
        <w:t>十三、</w:t>
      </w:r>
      <w:r>
        <w:rPr>
          <w:rFonts w:hint="eastAsia" w:ascii="仿宋" w:hAnsi="仿宋" w:eastAsia="仿宋"/>
          <w:b w:val="0"/>
        </w:rPr>
        <w:t>国</w:t>
      </w:r>
      <w:r>
        <w:rPr>
          <w:rStyle w:val="35"/>
          <w:rFonts w:hint="eastAsia" w:ascii="仿宋" w:hAnsi="仿宋" w:eastAsia="仿宋"/>
          <w:b w:val="0"/>
          <w:bCs w:val="0"/>
        </w:rPr>
        <w:t>有资本经营预算财政拨款收入支出决算表</w:t>
      </w:r>
      <w:bookmarkEnd w:id="98"/>
    </w:p>
    <w:p w14:paraId="4567B89F">
      <w:pPr>
        <w:rPr>
          <w:rFonts w:ascii="仿宋" w:hAnsi="仿宋" w:eastAsia="仿宋"/>
          <w:color w:val="000000"/>
        </w:rPr>
      </w:pPr>
      <w:r>
        <w:rPr>
          <w:rStyle w:val="3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PMingLiU">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C1A1">
    <w:pPr>
      <w:pStyle w:val="9"/>
      <w:jc w:val="center"/>
    </w:pPr>
    <w:r>
      <w:fldChar w:fldCharType="begin"/>
    </w:r>
    <w:r>
      <w:instrText xml:space="preserve">PAGE   \* MERGEFORMAT</w:instrText>
    </w:r>
    <w:r>
      <w:fldChar w:fldCharType="separate"/>
    </w:r>
    <w:r>
      <w:rPr>
        <w:lang w:val="zh-CN"/>
      </w:rPr>
      <w:t>12</w:t>
    </w:r>
    <w:r>
      <w:rPr>
        <w:lang w:val="zh-CN"/>
      </w:rPr>
      <w:fldChar w:fldCharType="end"/>
    </w:r>
  </w:p>
  <w:p w14:paraId="3F0B1E7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F3E3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B04DCCA"/>
    <w:multiLevelType w:val="singleLevel"/>
    <w:tmpl w:val="DB04DCCA"/>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pPr>
        <w:ind w:left="-30"/>
      </w:pPr>
      <w:rPr>
        <w:rFonts w:hint="eastAsia"/>
      </w:rPr>
    </w:lvl>
  </w:abstractNum>
  <w:abstractNum w:abstractNumId="3">
    <w:nsid w:val="E98DD354"/>
    <w:multiLevelType w:val="singleLevel"/>
    <w:tmpl w:val="E98DD354"/>
    <w:lvl w:ilvl="0" w:tentative="0">
      <w:start w:val="1"/>
      <w:numFmt w:val="chineseCounting"/>
      <w:suff w:val="nothing"/>
      <w:lvlText w:val="（%1）"/>
      <w:lvlJc w:val="left"/>
      <w:rPr>
        <w:rFonts w:hint="eastAsia"/>
      </w:rPr>
    </w:lvl>
  </w:abstractNum>
  <w:abstractNum w:abstractNumId="4">
    <w:nsid w:val="EB6CAF79"/>
    <w:multiLevelType w:val="singleLevel"/>
    <w:tmpl w:val="EB6CAF79"/>
    <w:lvl w:ilvl="0" w:tentative="0">
      <w:start w:val="2"/>
      <w:numFmt w:val="chineseCounting"/>
      <w:suff w:val="nothing"/>
      <w:lvlText w:val="（%1）"/>
      <w:lvlJc w:val="left"/>
      <w:rPr>
        <w:rFonts w:hint="eastAsia"/>
      </w:rPr>
    </w:lvl>
  </w:abstractNum>
  <w:abstractNum w:abstractNumId="5">
    <w:nsid w:val="0BB38E58"/>
    <w:multiLevelType w:val="singleLevel"/>
    <w:tmpl w:val="0BB38E58"/>
    <w:lvl w:ilvl="0" w:tentative="0">
      <w:start w:val="2"/>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97292D6"/>
    <w:multiLevelType w:val="singleLevel"/>
    <w:tmpl w:val="697292D6"/>
    <w:lvl w:ilvl="0" w:tentative="0">
      <w:start w:val="1"/>
      <w:numFmt w:val="chineseCounting"/>
      <w:suff w:val="nothing"/>
      <w:lvlText w:val="%1、"/>
      <w:lvlJc w:val="left"/>
      <w:rPr>
        <w:rFonts w:hint="eastAsia"/>
      </w:rPr>
    </w:lvl>
  </w:abstractNum>
  <w:abstractNum w:abstractNumId="8">
    <w:nsid w:val="6E6F0AB1"/>
    <w:multiLevelType w:val="singleLevel"/>
    <w:tmpl w:val="6E6F0AB1"/>
    <w:lvl w:ilvl="0" w:tentative="0">
      <w:start w:val="1"/>
      <w:numFmt w:val="decimal"/>
      <w:lvlText w:val="%1."/>
      <w:lvlJc w:val="left"/>
      <w:pPr>
        <w:tabs>
          <w:tab w:val="left" w:pos="312"/>
        </w:tabs>
      </w:pPr>
    </w:lvl>
  </w:abstractNum>
  <w:num w:numId="1">
    <w:abstractNumId w:val="6"/>
  </w:num>
  <w:num w:numId="2">
    <w:abstractNumId w:val="0"/>
  </w:num>
  <w:num w:numId="3">
    <w:abstractNumId w:val="2"/>
  </w:num>
  <w:num w:numId="4">
    <w:abstractNumId w:val="7"/>
  </w:num>
  <w:num w:numId="5">
    <w:abstractNumId w:val="5"/>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jE5NDI4MmEwNGNmN2Q3MTQ5YmVhNjNiMGRhOWQifQ=="/>
  </w:docVars>
  <w:rsids>
    <w:rsidRoot w:val="00F1361C"/>
    <w:rsid w:val="000222C6"/>
    <w:rsid w:val="0002549F"/>
    <w:rsid w:val="000264B4"/>
    <w:rsid w:val="000468DB"/>
    <w:rsid w:val="0006487A"/>
    <w:rsid w:val="00065F8F"/>
    <w:rsid w:val="00070A43"/>
    <w:rsid w:val="00072BEC"/>
    <w:rsid w:val="000768F2"/>
    <w:rsid w:val="0009184B"/>
    <w:rsid w:val="00094236"/>
    <w:rsid w:val="0009593C"/>
    <w:rsid w:val="000970D5"/>
    <w:rsid w:val="00097322"/>
    <w:rsid w:val="000A6A92"/>
    <w:rsid w:val="000B047F"/>
    <w:rsid w:val="000B5923"/>
    <w:rsid w:val="000B5A48"/>
    <w:rsid w:val="000B6FF3"/>
    <w:rsid w:val="000C3467"/>
    <w:rsid w:val="000C3CA6"/>
    <w:rsid w:val="000D1267"/>
    <w:rsid w:val="000D1D50"/>
    <w:rsid w:val="000D5782"/>
    <w:rsid w:val="000E6613"/>
    <w:rsid w:val="000E7119"/>
    <w:rsid w:val="000F5E10"/>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3E71"/>
    <w:rsid w:val="00235629"/>
    <w:rsid w:val="00260C38"/>
    <w:rsid w:val="002616C0"/>
    <w:rsid w:val="00265372"/>
    <w:rsid w:val="002662AA"/>
    <w:rsid w:val="00280496"/>
    <w:rsid w:val="00294DC9"/>
    <w:rsid w:val="00295495"/>
    <w:rsid w:val="002A31DE"/>
    <w:rsid w:val="002B2613"/>
    <w:rsid w:val="002C42C7"/>
    <w:rsid w:val="002D19B0"/>
    <w:rsid w:val="002D6D05"/>
    <w:rsid w:val="002E084F"/>
    <w:rsid w:val="002E27D4"/>
    <w:rsid w:val="002E6344"/>
    <w:rsid w:val="002F1818"/>
    <w:rsid w:val="002F567B"/>
    <w:rsid w:val="003216A9"/>
    <w:rsid w:val="00335A74"/>
    <w:rsid w:val="003617F9"/>
    <w:rsid w:val="0036561B"/>
    <w:rsid w:val="0037013F"/>
    <w:rsid w:val="00380C92"/>
    <w:rsid w:val="00395C4B"/>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0532"/>
    <w:rsid w:val="00443880"/>
    <w:rsid w:val="004464F4"/>
    <w:rsid w:val="00464D1F"/>
    <w:rsid w:val="00471401"/>
    <w:rsid w:val="00472A44"/>
    <w:rsid w:val="00473F31"/>
    <w:rsid w:val="0048263A"/>
    <w:rsid w:val="00482BFA"/>
    <w:rsid w:val="004873AF"/>
    <w:rsid w:val="00487E5D"/>
    <w:rsid w:val="004A711F"/>
    <w:rsid w:val="004B199D"/>
    <w:rsid w:val="004B4690"/>
    <w:rsid w:val="004E0A2D"/>
    <w:rsid w:val="004E206B"/>
    <w:rsid w:val="004E6DF7"/>
    <w:rsid w:val="004F0FBD"/>
    <w:rsid w:val="004F403E"/>
    <w:rsid w:val="004F52C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AEF"/>
    <w:rsid w:val="006325F8"/>
    <w:rsid w:val="00633463"/>
    <w:rsid w:val="00634C9A"/>
    <w:rsid w:val="00637C0B"/>
    <w:rsid w:val="006440E4"/>
    <w:rsid w:val="0066343B"/>
    <w:rsid w:val="00664777"/>
    <w:rsid w:val="006748A4"/>
    <w:rsid w:val="00681A31"/>
    <w:rsid w:val="00683E73"/>
    <w:rsid w:val="006A3141"/>
    <w:rsid w:val="006A5E34"/>
    <w:rsid w:val="006B2422"/>
    <w:rsid w:val="006B2B9A"/>
    <w:rsid w:val="006C1937"/>
    <w:rsid w:val="006F020C"/>
    <w:rsid w:val="006F1C5C"/>
    <w:rsid w:val="006F1F3D"/>
    <w:rsid w:val="006F3394"/>
    <w:rsid w:val="007127B7"/>
    <w:rsid w:val="0071798E"/>
    <w:rsid w:val="00727533"/>
    <w:rsid w:val="00733DEF"/>
    <w:rsid w:val="007416B6"/>
    <w:rsid w:val="00746F48"/>
    <w:rsid w:val="0075404D"/>
    <w:rsid w:val="0076182A"/>
    <w:rsid w:val="00767B7E"/>
    <w:rsid w:val="007770C3"/>
    <w:rsid w:val="00784D24"/>
    <w:rsid w:val="00785FBA"/>
    <w:rsid w:val="00786E4A"/>
    <w:rsid w:val="007875EB"/>
    <w:rsid w:val="0079426B"/>
    <w:rsid w:val="007B7948"/>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305C"/>
    <w:rsid w:val="008B7431"/>
    <w:rsid w:val="008B768C"/>
    <w:rsid w:val="008C1699"/>
    <w:rsid w:val="008C4DB1"/>
    <w:rsid w:val="008C4EAF"/>
    <w:rsid w:val="008C5176"/>
    <w:rsid w:val="008C7FD0"/>
    <w:rsid w:val="008D375F"/>
    <w:rsid w:val="008E1DE7"/>
    <w:rsid w:val="008E707C"/>
    <w:rsid w:val="00900B08"/>
    <w:rsid w:val="00902155"/>
    <w:rsid w:val="00902FA3"/>
    <w:rsid w:val="00923564"/>
    <w:rsid w:val="0092392E"/>
    <w:rsid w:val="009277FE"/>
    <w:rsid w:val="009315F9"/>
    <w:rsid w:val="00933499"/>
    <w:rsid w:val="00935C98"/>
    <w:rsid w:val="00946945"/>
    <w:rsid w:val="00951248"/>
    <w:rsid w:val="0095152F"/>
    <w:rsid w:val="00954C49"/>
    <w:rsid w:val="00955E37"/>
    <w:rsid w:val="0097099F"/>
    <w:rsid w:val="00971997"/>
    <w:rsid w:val="00971FFC"/>
    <w:rsid w:val="0097262D"/>
    <w:rsid w:val="0098660A"/>
    <w:rsid w:val="009931C3"/>
    <w:rsid w:val="009B2C43"/>
    <w:rsid w:val="009B4EAE"/>
    <w:rsid w:val="009B65A1"/>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3B1B"/>
    <w:rsid w:val="00A56DF2"/>
    <w:rsid w:val="00A56E6E"/>
    <w:rsid w:val="00A67AB5"/>
    <w:rsid w:val="00A733B2"/>
    <w:rsid w:val="00A741C2"/>
    <w:rsid w:val="00A91229"/>
    <w:rsid w:val="00A91760"/>
    <w:rsid w:val="00A93B00"/>
    <w:rsid w:val="00A93C21"/>
    <w:rsid w:val="00AB5FF5"/>
    <w:rsid w:val="00AB64C9"/>
    <w:rsid w:val="00AC3C6A"/>
    <w:rsid w:val="00AD0F83"/>
    <w:rsid w:val="00AD1955"/>
    <w:rsid w:val="00AD5620"/>
    <w:rsid w:val="00AD656B"/>
    <w:rsid w:val="00AD7C1B"/>
    <w:rsid w:val="00AE16BA"/>
    <w:rsid w:val="00AE1EBE"/>
    <w:rsid w:val="00AE5058"/>
    <w:rsid w:val="00B03C9D"/>
    <w:rsid w:val="00B060AE"/>
    <w:rsid w:val="00B10517"/>
    <w:rsid w:val="00B14E76"/>
    <w:rsid w:val="00B161B8"/>
    <w:rsid w:val="00B2048C"/>
    <w:rsid w:val="00B310B9"/>
    <w:rsid w:val="00B35F3F"/>
    <w:rsid w:val="00B36CBB"/>
    <w:rsid w:val="00B425E0"/>
    <w:rsid w:val="00B440AA"/>
    <w:rsid w:val="00B4478C"/>
    <w:rsid w:val="00B44B70"/>
    <w:rsid w:val="00B52BFF"/>
    <w:rsid w:val="00B53C56"/>
    <w:rsid w:val="00B56B9E"/>
    <w:rsid w:val="00B57DAF"/>
    <w:rsid w:val="00B77EA6"/>
    <w:rsid w:val="00B81598"/>
    <w:rsid w:val="00B841F1"/>
    <w:rsid w:val="00B944D6"/>
    <w:rsid w:val="00BB4DF0"/>
    <w:rsid w:val="00BC289F"/>
    <w:rsid w:val="00BC2D50"/>
    <w:rsid w:val="00BC5361"/>
    <w:rsid w:val="00BC5460"/>
    <w:rsid w:val="00BC6B50"/>
    <w:rsid w:val="00BD0E25"/>
    <w:rsid w:val="00BD68B2"/>
    <w:rsid w:val="00BF5BD6"/>
    <w:rsid w:val="00C03E31"/>
    <w:rsid w:val="00C30E69"/>
    <w:rsid w:val="00C33E72"/>
    <w:rsid w:val="00C354B2"/>
    <w:rsid w:val="00C35554"/>
    <w:rsid w:val="00C42709"/>
    <w:rsid w:val="00C533CC"/>
    <w:rsid w:val="00C5751C"/>
    <w:rsid w:val="00C61BFC"/>
    <w:rsid w:val="00C62B85"/>
    <w:rsid w:val="00C65438"/>
    <w:rsid w:val="00C84451"/>
    <w:rsid w:val="00C91CBB"/>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4F93"/>
    <w:rsid w:val="00D7035F"/>
    <w:rsid w:val="00D92060"/>
    <w:rsid w:val="00DA634F"/>
    <w:rsid w:val="00DA65AC"/>
    <w:rsid w:val="00DB1913"/>
    <w:rsid w:val="00DB57DE"/>
    <w:rsid w:val="00DC2170"/>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70FEE"/>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60F"/>
    <w:rsid w:val="00FF1E02"/>
    <w:rsid w:val="00FF30B4"/>
    <w:rsid w:val="06967ED5"/>
    <w:rsid w:val="07A07BAF"/>
    <w:rsid w:val="07A44C93"/>
    <w:rsid w:val="0AB91501"/>
    <w:rsid w:val="0AEC10AD"/>
    <w:rsid w:val="0BB504E1"/>
    <w:rsid w:val="0CE544AA"/>
    <w:rsid w:val="10843064"/>
    <w:rsid w:val="10C055FF"/>
    <w:rsid w:val="12920E41"/>
    <w:rsid w:val="16BB723D"/>
    <w:rsid w:val="18D371AD"/>
    <w:rsid w:val="195A0CDB"/>
    <w:rsid w:val="19E40C82"/>
    <w:rsid w:val="19E41802"/>
    <w:rsid w:val="1DB940EE"/>
    <w:rsid w:val="1E185C4D"/>
    <w:rsid w:val="2357127C"/>
    <w:rsid w:val="240371BF"/>
    <w:rsid w:val="29FD04D3"/>
    <w:rsid w:val="2A497822"/>
    <w:rsid w:val="319F7F4E"/>
    <w:rsid w:val="385656B2"/>
    <w:rsid w:val="3E694E15"/>
    <w:rsid w:val="3FD36646"/>
    <w:rsid w:val="405804C1"/>
    <w:rsid w:val="43A76396"/>
    <w:rsid w:val="43BD0C84"/>
    <w:rsid w:val="455E2421"/>
    <w:rsid w:val="47F723FD"/>
    <w:rsid w:val="497E1C7A"/>
    <w:rsid w:val="4988500E"/>
    <w:rsid w:val="4AC012C9"/>
    <w:rsid w:val="4D487DB6"/>
    <w:rsid w:val="4ECE2238"/>
    <w:rsid w:val="4F956DBD"/>
    <w:rsid w:val="538E510B"/>
    <w:rsid w:val="542A4F30"/>
    <w:rsid w:val="578C0A73"/>
    <w:rsid w:val="5A6B3C27"/>
    <w:rsid w:val="5A8661F7"/>
    <w:rsid w:val="60191002"/>
    <w:rsid w:val="60306FD1"/>
    <w:rsid w:val="64E6344B"/>
    <w:rsid w:val="6B46373A"/>
    <w:rsid w:val="6CE90B5D"/>
    <w:rsid w:val="6E7D11E5"/>
    <w:rsid w:val="6F3F7A8F"/>
    <w:rsid w:val="72734D90"/>
    <w:rsid w:val="740821A2"/>
    <w:rsid w:val="7C9A0FC8"/>
    <w:rsid w:val="7EF24B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Plain Text"/>
    <w:basedOn w:val="1"/>
    <w:link w:val="22"/>
    <w:qFormat/>
    <w:uiPriority w:val="99"/>
    <w:rPr>
      <w:rFonts w:ascii="宋体" w:hAnsi="Courier New" w:cs="宋体"/>
    </w:rPr>
  </w:style>
  <w:style w:type="paragraph" w:styleId="8">
    <w:name w:val="Balloon Text"/>
    <w:basedOn w:val="1"/>
    <w:link w:val="23"/>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kern w:val="0"/>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paragraph" w:styleId="13">
    <w:name w:val="Normal (Web)"/>
    <w:basedOn w:val="1"/>
    <w:semiHidden/>
    <w:qFormat/>
    <w:uiPriority w:val="99"/>
    <w:pPr>
      <w:spacing w:before="100" w:beforeAutospacing="1" w:after="100" w:afterAutospacing="1"/>
    </w:pPr>
    <w:rPr>
      <w:rFonts w:ascii="Calibri" w:hAnsi="Calibri" w:cs="Calibri"/>
    </w:rPr>
  </w:style>
  <w:style w:type="character" w:styleId="16">
    <w:name w:val="Strong"/>
    <w:basedOn w:val="15"/>
    <w:qFormat/>
    <w:uiPriority w:val="99"/>
    <w:rPr>
      <w:b/>
      <w:bCs/>
    </w:rPr>
  </w:style>
  <w:style w:type="character" w:styleId="17">
    <w:name w:val="Hyperlink"/>
    <w:basedOn w:val="15"/>
    <w:qFormat/>
    <w:uiPriority w:val="99"/>
    <w:rPr>
      <w:color w:val="0000FF"/>
      <w:u w:val="single"/>
    </w:rPr>
  </w:style>
  <w:style w:type="character" w:customStyle="1" w:styleId="18">
    <w:name w:val="标题 1 Char"/>
    <w:basedOn w:val="15"/>
    <w:link w:val="3"/>
    <w:qFormat/>
    <w:locked/>
    <w:uiPriority w:val="99"/>
    <w:rPr>
      <w:rFonts w:ascii="Times New Roman" w:hAnsi="Times New Roman" w:cs="Times New Roman"/>
      <w:b/>
      <w:bCs/>
      <w:kern w:val="44"/>
      <w:sz w:val="44"/>
      <w:szCs w:val="44"/>
    </w:rPr>
  </w:style>
  <w:style w:type="character" w:customStyle="1" w:styleId="19">
    <w:name w:val="Heading 2 Char"/>
    <w:basedOn w:val="15"/>
    <w:qFormat/>
    <w:locked/>
    <w:uiPriority w:val="99"/>
    <w:rPr>
      <w:rFonts w:ascii="Cambria" w:hAnsi="Cambria" w:eastAsia="宋体" w:cs="Cambria"/>
      <w:b/>
      <w:bCs/>
      <w:kern w:val="2"/>
      <w:sz w:val="32"/>
      <w:szCs w:val="32"/>
    </w:rPr>
  </w:style>
  <w:style w:type="character" w:customStyle="1" w:styleId="20">
    <w:name w:val="标题 3 Char"/>
    <w:basedOn w:val="15"/>
    <w:link w:val="5"/>
    <w:qFormat/>
    <w:locked/>
    <w:uiPriority w:val="99"/>
    <w:rPr>
      <w:rFonts w:ascii="Times New Roman" w:hAnsi="Times New Roman" w:cs="Times New Roman"/>
      <w:b/>
      <w:bCs/>
      <w:kern w:val="2"/>
      <w:sz w:val="32"/>
      <w:szCs w:val="32"/>
    </w:rPr>
  </w:style>
  <w:style w:type="character" w:customStyle="1" w:styleId="21">
    <w:name w:val="Body Text Char"/>
    <w:basedOn w:val="15"/>
    <w:semiHidden/>
    <w:qFormat/>
    <w:locked/>
    <w:uiPriority w:val="99"/>
    <w:rPr>
      <w:rFonts w:ascii="Times New Roman" w:hAnsi="Times New Roman" w:cs="Times New Roman"/>
      <w:sz w:val="24"/>
      <w:szCs w:val="24"/>
    </w:rPr>
  </w:style>
  <w:style w:type="character" w:customStyle="1" w:styleId="22">
    <w:name w:val="纯文本 Char"/>
    <w:basedOn w:val="15"/>
    <w:link w:val="7"/>
    <w:semiHidden/>
    <w:qFormat/>
    <w:locked/>
    <w:uiPriority w:val="99"/>
    <w:rPr>
      <w:rFonts w:ascii="宋体" w:hAnsi="Courier New" w:cs="宋体"/>
      <w:sz w:val="21"/>
      <w:szCs w:val="21"/>
    </w:rPr>
  </w:style>
  <w:style w:type="character" w:customStyle="1" w:styleId="23">
    <w:name w:val="批注框文本 Char"/>
    <w:basedOn w:val="15"/>
    <w:link w:val="8"/>
    <w:semiHidden/>
    <w:qFormat/>
    <w:locked/>
    <w:uiPriority w:val="99"/>
    <w:rPr>
      <w:rFonts w:ascii="Times New Roman" w:hAnsi="Times New Roman" w:cs="Times New Roman"/>
      <w:kern w:val="2"/>
      <w:sz w:val="18"/>
      <w:szCs w:val="18"/>
    </w:rPr>
  </w:style>
  <w:style w:type="character" w:customStyle="1" w:styleId="24">
    <w:name w:val="Footer Char"/>
    <w:basedOn w:val="15"/>
    <w:semiHidden/>
    <w:qFormat/>
    <w:locked/>
    <w:uiPriority w:val="99"/>
    <w:rPr>
      <w:rFonts w:ascii="Times New Roman" w:hAnsi="Times New Roman" w:cs="Times New Roman"/>
      <w:sz w:val="18"/>
      <w:szCs w:val="18"/>
    </w:rPr>
  </w:style>
  <w:style w:type="character" w:customStyle="1" w:styleId="25">
    <w:name w:val="Header Char"/>
    <w:basedOn w:val="15"/>
    <w:semiHidden/>
    <w:qFormat/>
    <w:locked/>
    <w:uiPriority w:val="99"/>
    <w:rPr>
      <w:rFonts w:ascii="Times New Roman" w:hAnsi="Times New Roman" w:cs="Times New Roman"/>
      <w:sz w:val="18"/>
      <w:szCs w:val="18"/>
    </w:rPr>
  </w:style>
  <w:style w:type="character" w:customStyle="1" w:styleId="26">
    <w:name w:val="页眉 Char"/>
    <w:link w:val="10"/>
    <w:semiHidden/>
    <w:qFormat/>
    <w:locked/>
    <w:uiPriority w:val="99"/>
    <w:rPr>
      <w:sz w:val="18"/>
      <w:szCs w:val="18"/>
    </w:rPr>
  </w:style>
  <w:style w:type="character" w:customStyle="1" w:styleId="27">
    <w:name w:val="页脚 Char"/>
    <w:link w:val="9"/>
    <w:qFormat/>
    <w:locked/>
    <w:uiPriority w:val="99"/>
    <w:rPr>
      <w:sz w:val="18"/>
      <w:szCs w:val="18"/>
    </w:rPr>
  </w:style>
  <w:style w:type="character" w:customStyle="1" w:styleId="28">
    <w:name w:val="正文文本 Char"/>
    <w:link w:val="2"/>
    <w:qFormat/>
    <w:locked/>
    <w:uiPriority w:val="99"/>
    <w:rPr>
      <w:rFonts w:ascii="仿宋_GB2312" w:hAnsi="Times New Roman" w:eastAsia="仿宋_GB2312" w:cs="仿宋_GB2312"/>
      <w:sz w:val="24"/>
      <w:szCs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2">
    <w:name w:val="TOC Heading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3">
    <w:name w:val="any Character"/>
    <w:qFormat/>
    <w:uiPriority w:val="0"/>
  </w:style>
  <w:style w:type="paragraph" w:customStyle="1" w:styleId="34">
    <w:name w:val="p"/>
    <w:basedOn w:val="1"/>
    <w:qFormat/>
    <w:uiPriority w:val="0"/>
    <w:pPr>
      <w:widowControl/>
      <w:jc w:val="left"/>
    </w:pPr>
    <w:rPr>
      <w:kern w:val="0"/>
      <w:sz w:val="24"/>
      <w:szCs w:val="24"/>
    </w:rPr>
  </w:style>
  <w:style w:type="character" w:customStyle="1" w:styleId="35">
    <w:name w:val="标题 2 Char"/>
    <w:basedOn w:val="15"/>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12723</Words>
  <Characters>13474</Characters>
  <Lines>113</Lines>
  <Paragraphs>31</Paragraphs>
  <TotalTime>1</TotalTime>
  <ScaleCrop>false</ScaleCrop>
  <LinksUpToDate>false</LinksUpToDate>
  <CharactersWithSpaces>13645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2023-10-07T20:39:00Z</dcterms:created>
  <dc:creator>曹颖</dc:creator>
  <cp:lastModifiedBy>唐天贵</cp:lastModifiedBy>
  <cp:lastPrinted>2022-10-20T02:11:00Z</cp:lastPrinted>
  <dcterms:modified xsi:type="dcterms:W3CDTF">2025-03-04T03:17:44Z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CA7F68370103422EA824CDDC7C739DA1</vt:lpwstr>
  </property>
  <property fmtid="{D5CDD505-2E9C-101B-9397-08002B2CF9AE}" pid="4" name="KSOTemplateDocerSaveRecord">
    <vt:lpwstr>eyJoZGlkIjoiNWIwYjgyMzAyYjdlMTc0NjlhNjFkZTU2NDY0NzJjZGIiLCJ1c2VySWQiOiI4ODYzMTI0ODAifQ==</vt:lpwstr>
  </property>
</Properties>
</file>