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0742">
      <w:pPr>
        <w:keepNext w:val="0"/>
        <w:keepLines w:val="0"/>
        <w:pageBreakBefore w:val="0"/>
        <w:widowControl/>
        <w:kinsoku/>
        <w:wordWrap/>
        <w:overflowPunct/>
        <w:topLinePunct w:val="0"/>
        <w:bidi w:val="0"/>
        <w:spacing w:line="600" w:lineRule="exact"/>
        <w:jc w:val="left"/>
        <w:outlineLvl w:val="9"/>
        <w:rPr>
          <w:rFonts w:ascii="Times New Roman" w:hAnsi="Times New Roman" w:eastAsia="方正小标宋简体"/>
          <w:szCs w:val="21"/>
        </w:rPr>
      </w:pPr>
      <w:bookmarkStart w:id="0" w:name="_Toc15306267"/>
    </w:p>
    <w:p w14:paraId="770A4C25">
      <w:pPr>
        <w:pStyle w:val="6"/>
        <w:keepNext w:val="0"/>
        <w:keepLines w:val="0"/>
        <w:pageBreakBefore w:val="0"/>
        <w:widowControl/>
        <w:kinsoku/>
        <w:wordWrap/>
        <w:overflowPunct/>
        <w:topLinePunct w:val="0"/>
        <w:bidi w:val="0"/>
        <w:spacing w:before="93"/>
        <w:rPr>
          <w:rFonts w:ascii="Times New Roman" w:hAnsi="Times New Roman"/>
        </w:rPr>
      </w:pPr>
    </w:p>
    <w:p w14:paraId="451C4A3D">
      <w:pPr>
        <w:keepNext w:val="0"/>
        <w:keepLines w:val="0"/>
        <w:pageBreakBefore w:val="0"/>
        <w:widowControl/>
        <w:kinsoku/>
        <w:wordWrap/>
        <w:overflowPunct/>
        <w:topLinePunct w:val="0"/>
        <w:bidi w:val="0"/>
        <w:spacing w:line="600" w:lineRule="exact"/>
        <w:jc w:val="center"/>
        <w:outlineLvl w:val="9"/>
        <w:rPr>
          <w:rFonts w:ascii="Times New Roman" w:hAnsi="Times New Roman" w:eastAsia="方正小标宋简体"/>
          <w:sz w:val="72"/>
          <w:szCs w:val="72"/>
        </w:rPr>
      </w:pPr>
    </w:p>
    <w:p w14:paraId="414F59BE">
      <w:pPr>
        <w:keepNext w:val="0"/>
        <w:keepLines w:val="0"/>
        <w:pageBreakBefore w:val="0"/>
        <w:widowControl/>
        <w:kinsoku/>
        <w:wordWrap/>
        <w:overflowPunct/>
        <w:topLinePunct w:val="0"/>
        <w:bidi w:val="0"/>
        <w:spacing w:line="600" w:lineRule="exact"/>
        <w:jc w:val="center"/>
        <w:outlineLvl w:val="9"/>
        <w:rPr>
          <w:rFonts w:ascii="Times New Roman" w:hAnsi="Times New Roman" w:eastAsia="方正小标宋简体"/>
          <w:sz w:val="72"/>
          <w:szCs w:val="72"/>
        </w:rPr>
      </w:pPr>
    </w:p>
    <w:p w14:paraId="2CDE269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rPr>
      </w:pPr>
      <w:bookmarkStart w:id="1" w:name="_Toc15377193"/>
      <w:bookmarkStart w:id="2" w:name="_Toc15377425"/>
      <w:bookmarkStart w:id="3" w:name="_Toc20533"/>
      <w:bookmarkStart w:id="4" w:name="_Toc15396597"/>
      <w:bookmarkStart w:id="5" w:name="_Toc15378441"/>
      <w:bookmarkStart w:id="6" w:name="_Toc15396475"/>
      <w:r>
        <w:rPr>
          <w:rFonts w:hint="default" w:ascii="Times New Roman" w:hAnsi="Times New Roman" w:eastAsia="方正小标宋简体" w:cs="Times New Roman"/>
          <w:sz w:val="44"/>
          <w:szCs w:val="44"/>
        </w:rPr>
        <w:t>2023年度</w:t>
      </w:r>
      <w:bookmarkEnd w:id="1"/>
      <w:bookmarkEnd w:id="2"/>
      <w:bookmarkEnd w:id="3"/>
      <w:bookmarkEnd w:id="4"/>
      <w:bookmarkEnd w:id="5"/>
      <w:bookmarkEnd w:id="6"/>
    </w:p>
    <w:p w14:paraId="538972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lang w:eastAsia="zh-CN"/>
        </w:rPr>
      </w:pPr>
      <w:bookmarkStart w:id="7" w:name="_Toc21245"/>
      <w:bookmarkStart w:id="8" w:name="_Toc15396598"/>
      <w:bookmarkStart w:id="9" w:name="_Toc15377194"/>
      <w:bookmarkStart w:id="10" w:name="_Toc15378442"/>
      <w:bookmarkStart w:id="11" w:name="_Toc15396476"/>
      <w:bookmarkStart w:id="12" w:name="_Toc15377426"/>
      <w:r>
        <w:rPr>
          <w:rFonts w:hint="default" w:ascii="Times New Roman" w:hAnsi="Times New Roman" w:eastAsia="方正小标宋简体" w:cs="Times New Roman"/>
          <w:sz w:val="44"/>
          <w:szCs w:val="44"/>
        </w:rPr>
        <w:t>四川省</w:t>
      </w:r>
      <w:bookmarkEnd w:id="0"/>
      <w:bookmarkStart w:id="13" w:name="_Toc15306268"/>
      <w:r>
        <w:rPr>
          <w:rFonts w:hint="default" w:ascii="Times New Roman" w:hAnsi="Times New Roman" w:eastAsia="方正小标宋简体" w:cs="Times New Roman"/>
          <w:sz w:val="44"/>
          <w:szCs w:val="44"/>
          <w:lang w:eastAsia="zh-CN"/>
        </w:rPr>
        <w:t>盐边县格萨拉彝族乡人民政府</w:t>
      </w:r>
      <w:bookmarkEnd w:id="7"/>
    </w:p>
    <w:p w14:paraId="3DFFDED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rPr>
      </w:pPr>
      <w:bookmarkStart w:id="14" w:name="_Toc1115"/>
      <w:r>
        <w:rPr>
          <w:rFonts w:hint="eastAsia" w:eastAsia="方正小标宋简体" w:cs="Times New Roman"/>
          <w:sz w:val="44"/>
          <w:szCs w:val="44"/>
          <w:lang w:eastAsia="zh-CN"/>
        </w:rPr>
        <w:t>单位</w:t>
      </w:r>
      <w:r>
        <w:rPr>
          <w:rFonts w:hint="default" w:ascii="Times New Roman" w:hAnsi="Times New Roman" w:eastAsia="方正小标宋简体" w:cs="Times New Roman"/>
          <w:sz w:val="44"/>
          <w:szCs w:val="44"/>
        </w:rPr>
        <w:t>决算</w:t>
      </w:r>
      <w:bookmarkEnd w:id="8"/>
      <w:bookmarkEnd w:id="9"/>
      <w:bookmarkEnd w:id="10"/>
      <w:bookmarkEnd w:id="11"/>
      <w:bookmarkEnd w:id="12"/>
      <w:bookmarkEnd w:id="13"/>
      <w:bookmarkEnd w:id="14"/>
    </w:p>
    <w:p w14:paraId="4895319E">
      <w:pPr>
        <w:keepNext w:val="0"/>
        <w:keepLines w:val="0"/>
        <w:pageBreakBefore w:val="0"/>
        <w:widowControl/>
        <w:kinsoku/>
        <w:wordWrap/>
        <w:overflowPunct/>
        <w:topLinePunct w:val="0"/>
        <w:bidi w:val="0"/>
        <w:jc w:val="center"/>
        <w:rPr>
          <w:rFonts w:hint="eastAsia" w:ascii="黑体" w:hAnsi="黑体" w:eastAsia="黑体" w:cs="黑体"/>
          <w:sz w:val="44"/>
          <w:szCs w:val="44"/>
        </w:rPr>
      </w:pPr>
      <w:r>
        <w:rPr>
          <w:rFonts w:ascii="Times New Roman" w:hAnsi="Times New Roman" w:eastAsia="方正小标宋简体"/>
          <w:sz w:val="36"/>
          <w:szCs w:val="36"/>
        </w:rPr>
        <w:br w:type="page"/>
      </w: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3C98EFFB">
      <w:pPr>
        <w:keepNext w:val="0"/>
        <w:keepLines w:val="0"/>
        <w:pageBreakBefore w:val="0"/>
        <w:widowControl/>
        <w:kinsoku/>
        <w:wordWrap/>
        <w:overflowPunct/>
        <w:topLinePunct w:val="0"/>
        <w:bidi w:val="0"/>
        <w:jc w:val="center"/>
        <w:rPr>
          <w:rFonts w:hint="default" w:ascii="Times New Roman" w:hAnsi="Times New Roman" w:eastAsia="方正楷体_GBK" w:cs="Times New Roman"/>
          <w:b w:val="0"/>
          <w:bCs w:val="0"/>
          <w:sz w:val="28"/>
          <w:szCs w:val="28"/>
          <w:lang w:val="en-US" w:eastAsia="zh-CN"/>
        </w:rPr>
      </w:pPr>
      <w:r>
        <w:rPr>
          <w:rFonts w:hint="default" w:ascii="Times New Roman" w:hAnsi="Times New Roman" w:eastAsia="方正楷体_GBK" w:cs="Times New Roman"/>
          <w:b w:val="0"/>
          <w:bCs w:val="0"/>
          <w:sz w:val="28"/>
          <w:szCs w:val="28"/>
          <w:lang w:eastAsia="zh-CN"/>
        </w:rPr>
        <w:t>公开时间：</w:t>
      </w:r>
      <w:r>
        <w:rPr>
          <w:rFonts w:hint="default" w:ascii="Times New Roman" w:hAnsi="Times New Roman" w:eastAsia="方正楷体_GBK" w:cs="Times New Roman"/>
          <w:b w:val="0"/>
          <w:bCs w:val="0"/>
          <w:sz w:val="28"/>
          <w:szCs w:val="28"/>
          <w:lang w:val="en-US" w:eastAsia="zh-CN"/>
        </w:rPr>
        <w:t>2024年</w:t>
      </w:r>
      <w:r>
        <w:rPr>
          <w:rFonts w:hint="eastAsia" w:eastAsia="方正楷体_GBK" w:cs="Times New Roman"/>
          <w:b w:val="0"/>
          <w:bCs w:val="0"/>
          <w:sz w:val="28"/>
          <w:szCs w:val="28"/>
          <w:lang w:val="en-US" w:eastAsia="zh-CN"/>
        </w:rPr>
        <w:t>11</w:t>
      </w:r>
      <w:r>
        <w:rPr>
          <w:rFonts w:hint="default" w:ascii="Times New Roman" w:hAnsi="Times New Roman" w:eastAsia="方正楷体_GBK" w:cs="Times New Roman"/>
          <w:b w:val="0"/>
          <w:bCs w:val="0"/>
          <w:sz w:val="28"/>
          <w:szCs w:val="28"/>
          <w:lang w:val="en-US" w:eastAsia="zh-CN"/>
        </w:rPr>
        <w:t>月</w:t>
      </w:r>
      <w:r>
        <w:rPr>
          <w:rFonts w:hint="eastAsia" w:eastAsia="方正楷体_GBK" w:cs="Times New Roman"/>
          <w:b w:val="0"/>
          <w:bCs w:val="0"/>
          <w:sz w:val="28"/>
          <w:szCs w:val="28"/>
          <w:lang w:val="en-US" w:eastAsia="zh-CN"/>
        </w:rPr>
        <w:t>6</w:t>
      </w:r>
      <w:r>
        <w:rPr>
          <w:rFonts w:hint="default" w:ascii="Times New Roman" w:hAnsi="Times New Roman" w:eastAsia="方正楷体_GBK" w:cs="Times New Roman"/>
          <w:b w:val="0"/>
          <w:bCs w:val="0"/>
          <w:sz w:val="28"/>
          <w:szCs w:val="28"/>
          <w:lang w:val="en-US" w:eastAsia="zh-CN"/>
        </w:rPr>
        <w:t>日</w:t>
      </w:r>
    </w:p>
    <w:sdt>
      <w:sdtPr>
        <w:rPr>
          <w:rFonts w:ascii="宋体" w:hAnsi="宋体" w:eastAsia="宋体" w:cs="Times New Roman"/>
          <w:kern w:val="2"/>
          <w:sz w:val="21"/>
          <w:szCs w:val="32"/>
          <w:lang w:val="en-US" w:eastAsia="zh-CN" w:bidi="ar-SA"/>
        </w:rPr>
        <w:id w:val="147463448"/>
        <w15:color w:val="DBDBDB"/>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14:paraId="73A3E95F">
          <w:pPr>
            <w:spacing w:before="0" w:beforeLines="0" w:after="0" w:afterLines="0" w:line="240" w:lineRule="auto"/>
            <w:ind w:left="0" w:leftChars="0" w:right="0" w:rightChars="0" w:firstLine="0" w:firstLineChars="0"/>
            <w:jc w:val="center"/>
          </w:pPr>
          <w:bookmarkStart w:id="15" w:name="_Toc12570_WPSOffice_Type2"/>
        </w:p>
        <w:p w14:paraId="35367472">
          <w:pPr>
            <w:pStyle w:val="34"/>
            <w:tabs>
              <w:tab w:val="right" w:leader="dot" w:pos="8845"/>
            </w:tabs>
          </w:pPr>
          <w:r>
            <w:rPr>
              <w:b/>
              <w:bCs/>
            </w:rPr>
            <w:fldChar w:fldCharType="begin"/>
          </w:r>
          <w:r>
            <w:instrText xml:space="preserve"> HYPERLINK \l _Toc13077_WPSOffice_Level1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66892"/>
              <w:placeholder>
                <w:docPart w:val="{54cc1ffc-7dba-4fd7-ba22-3023a2a00bf4}"/>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default" w:ascii="Times New Roman" w:hAnsi="Times New Roman" w:eastAsia="方正小标宋简体" w:cs="Times New Roman"/>
                  <w:b/>
                  <w:bCs/>
                </w:rPr>
                <w:t>第一部分 单位概况</w:t>
              </w:r>
            </w:sdtContent>
          </w:sdt>
          <w:r>
            <w:rPr>
              <w:b/>
              <w:bCs/>
            </w:rPr>
            <w:tab/>
          </w:r>
          <w:bookmarkStart w:id="16" w:name="_Toc13077_WPSOffice_Level1Page"/>
          <w:r>
            <w:rPr>
              <w:b/>
              <w:bCs/>
            </w:rPr>
            <w:t>1</w:t>
          </w:r>
          <w:bookmarkEnd w:id="16"/>
          <w:r>
            <w:rPr>
              <w:b/>
              <w:bCs/>
            </w:rPr>
            <w:fldChar w:fldCharType="end"/>
          </w:r>
        </w:p>
        <w:p w14:paraId="23EB703E">
          <w:pPr>
            <w:pStyle w:val="35"/>
            <w:tabs>
              <w:tab w:val="right" w:leader="dot" w:pos="8845"/>
            </w:tabs>
          </w:pPr>
          <w:r>
            <w:fldChar w:fldCharType="begin"/>
          </w:r>
          <w:r>
            <w:instrText xml:space="preserve"> HYPERLINK \l _Toc12570_WPSOffice_Level2 </w:instrText>
          </w:r>
          <w:r>
            <w:fldChar w:fldCharType="separate"/>
          </w:r>
          <w:sdt>
            <w:sdtPr>
              <w:rPr>
                <w:rFonts w:ascii="Times New Roman" w:hAnsi="Times New Roman" w:eastAsia="仿宋_GB2312" w:cs="Times New Roman"/>
                <w:kern w:val="2"/>
                <w:sz w:val="32"/>
                <w:szCs w:val="32"/>
                <w:lang w:val="en-US" w:eastAsia="zh-CN" w:bidi="ar-SA"/>
              </w:rPr>
              <w:id w:val="147465376"/>
              <w:placeholder>
                <w:docPart w:val="{5f01618b-29fa-4f9f-bc05-2b2eeb528c04}"/>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一、主要职责</w:t>
              </w:r>
            </w:sdtContent>
          </w:sdt>
          <w:r>
            <w:tab/>
          </w:r>
          <w:bookmarkStart w:id="17" w:name="_Toc12570_WPSOffice_Level2Page"/>
          <w:r>
            <w:t>1</w:t>
          </w:r>
          <w:bookmarkEnd w:id="17"/>
          <w:r>
            <w:fldChar w:fldCharType="end"/>
          </w:r>
        </w:p>
        <w:p w14:paraId="49B438D1">
          <w:pPr>
            <w:pStyle w:val="35"/>
            <w:tabs>
              <w:tab w:val="right" w:leader="dot" w:pos="8845"/>
            </w:tabs>
          </w:pPr>
          <w:r>
            <w:fldChar w:fldCharType="begin"/>
          </w:r>
          <w:r>
            <w:instrText xml:space="preserve"> HYPERLINK \l _Toc9406_WPSOffice_Level2 </w:instrText>
          </w:r>
          <w:r>
            <w:fldChar w:fldCharType="separate"/>
          </w:r>
          <w:sdt>
            <w:sdtPr>
              <w:rPr>
                <w:rFonts w:ascii="Times New Roman" w:hAnsi="Times New Roman" w:eastAsia="仿宋_GB2312" w:cs="Times New Roman"/>
                <w:kern w:val="2"/>
                <w:sz w:val="32"/>
                <w:szCs w:val="32"/>
                <w:lang w:val="en-US" w:eastAsia="zh-CN" w:bidi="ar-SA"/>
              </w:rPr>
              <w:id w:val="147478754"/>
              <w:placeholder>
                <w:docPart w:val="{c1cd0f17-3052-4cd5-93bb-20ce3b46af5e}"/>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二、机构设置</w:t>
              </w:r>
            </w:sdtContent>
          </w:sdt>
          <w:r>
            <w:tab/>
          </w:r>
          <w:bookmarkStart w:id="18" w:name="_Toc9406_WPSOffice_Level2Page"/>
          <w:r>
            <w:t>2</w:t>
          </w:r>
          <w:bookmarkEnd w:id="18"/>
          <w:r>
            <w:fldChar w:fldCharType="end"/>
          </w:r>
        </w:p>
        <w:p w14:paraId="48572493">
          <w:pPr>
            <w:pStyle w:val="34"/>
            <w:tabs>
              <w:tab w:val="right" w:leader="dot" w:pos="8845"/>
            </w:tabs>
          </w:pPr>
          <w:r>
            <w:rPr>
              <w:b/>
              <w:bCs/>
            </w:rPr>
            <w:fldChar w:fldCharType="begin"/>
          </w:r>
          <w:r>
            <w:instrText xml:space="preserve"> HYPERLINK \l _Toc12570_WPSOffice_Level1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79106"/>
              <w:placeholder>
                <w:docPart w:val="{afdeeca4-88fa-4ba5-af04-742f10d5ab02}"/>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第二部分 2023年度单位决算情况说明</w:t>
              </w:r>
            </w:sdtContent>
          </w:sdt>
          <w:r>
            <w:rPr>
              <w:b/>
              <w:bCs/>
            </w:rPr>
            <w:tab/>
          </w:r>
          <w:bookmarkStart w:id="19" w:name="_Toc12570_WPSOffice_Level1Page"/>
          <w:r>
            <w:rPr>
              <w:b/>
              <w:bCs/>
            </w:rPr>
            <w:t>3</w:t>
          </w:r>
          <w:bookmarkEnd w:id="19"/>
          <w:r>
            <w:rPr>
              <w:b/>
              <w:bCs/>
            </w:rPr>
            <w:fldChar w:fldCharType="end"/>
          </w:r>
        </w:p>
        <w:p w14:paraId="74EF1673">
          <w:pPr>
            <w:pStyle w:val="35"/>
            <w:tabs>
              <w:tab w:val="right" w:leader="dot" w:pos="8845"/>
            </w:tabs>
          </w:pPr>
          <w:r>
            <w:fldChar w:fldCharType="begin"/>
          </w:r>
          <w:r>
            <w:instrText xml:space="preserve"> HYPERLINK \l _Toc1718_WPSOffice_Level2 </w:instrText>
          </w:r>
          <w:r>
            <w:fldChar w:fldCharType="separate"/>
          </w:r>
          <w:sdt>
            <w:sdtPr>
              <w:rPr>
                <w:rFonts w:ascii="Times New Roman" w:hAnsi="Times New Roman" w:eastAsia="仿宋_GB2312" w:cs="Times New Roman"/>
                <w:kern w:val="2"/>
                <w:sz w:val="32"/>
                <w:szCs w:val="32"/>
                <w:lang w:val="en-US" w:eastAsia="zh-CN" w:bidi="ar-SA"/>
              </w:rPr>
              <w:id w:val="147468413"/>
              <w:placeholder>
                <w:docPart w:val="{ce2cea05-837d-47ff-9315-664f779903da}"/>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一、</w:t>
              </w:r>
              <w:r>
                <w:rPr>
                  <w:rFonts w:hint="eastAsia" w:ascii="Times New Roman" w:hAnsi="Times New Roman" w:eastAsia="黑体" w:cs="Times New Roman"/>
                </w:rPr>
                <w:t>收入支出决算总体情况说明</w:t>
              </w:r>
            </w:sdtContent>
          </w:sdt>
          <w:r>
            <w:tab/>
          </w:r>
          <w:bookmarkStart w:id="20" w:name="_Toc1718_WPSOffice_Level2Page"/>
          <w:r>
            <w:t>3</w:t>
          </w:r>
          <w:bookmarkEnd w:id="20"/>
          <w:r>
            <w:fldChar w:fldCharType="end"/>
          </w:r>
        </w:p>
        <w:p w14:paraId="076B699A">
          <w:pPr>
            <w:pStyle w:val="35"/>
            <w:tabs>
              <w:tab w:val="right" w:leader="dot" w:pos="8845"/>
            </w:tabs>
          </w:pPr>
          <w:r>
            <w:fldChar w:fldCharType="begin"/>
          </w:r>
          <w:r>
            <w:instrText xml:space="preserve"> HYPERLINK \l _Toc23572_WPSOffice_Level2 </w:instrText>
          </w:r>
          <w:r>
            <w:fldChar w:fldCharType="separate"/>
          </w:r>
          <w:sdt>
            <w:sdtPr>
              <w:rPr>
                <w:rFonts w:ascii="Times New Roman" w:hAnsi="Times New Roman" w:eastAsia="仿宋_GB2312" w:cs="Times New Roman"/>
                <w:kern w:val="2"/>
                <w:sz w:val="32"/>
                <w:szCs w:val="32"/>
                <w:lang w:val="en-US" w:eastAsia="zh-CN" w:bidi="ar-SA"/>
              </w:rPr>
              <w:id w:val="147472458"/>
              <w:placeholder>
                <w:docPart w:val="{58c11249-eee5-4bdb-baaa-da919a4818bd}"/>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二、</w:t>
              </w:r>
              <w:r>
                <w:rPr>
                  <w:rFonts w:hint="eastAsia" w:ascii="Times New Roman" w:hAnsi="Times New Roman" w:eastAsia="黑体" w:cs="Times New Roman"/>
                </w:rPr>
                <w:t>收入决算情况说明</w:t>
              </w:r>
            </w:sdtContent>
          </w:sdt>
          <w:r>
            <w:tab/>
          </w:r>
          <w:bookmarkStart w:id="21" w:name="_Toc23572_WPSOffice_Level2Page"/>
          <w:r>
            <w:t>3</w:t>
          </w:r>
          <w:bookmarkEnd w:id="21"/>
          <w:r>
            <w:fldChar w:fldCharType="end"/>
          </w:r>
        </w:p>
        <w:p w14:paraId="084C7484">
          <w:pPr>
            <w:pStyle w:val="35"/>
            <w:tabs>
              <w:tab w:val="right" w:leader="dot" w:pos="8845"/>
            </w:tabs>
          </w:pPr>
          <w:r>
            <w:fldChar w:fldCharType="begin"/>
          </w:r>
          <w:r>
            <w:instrText xml:space="preserve"> HYPERLINK \l _Toc5211_WPSOffice_Level2 </w:instrText>
          </w:r>
          <w:r>
            <w:fldChar w:fldCharType="separate"/>
          </w:r>
          <w:sdt>
            <w:sdtPr>
              <w:rPr>
                <w:rFonts w:ascii="Times New Roman" w:hAnsi="Times New Roman" w:eastAsia="仿宋_GB2312" w:cs="Times New Roman"/>
                <w:kern w:val="2"/>
                <w:sz w:val="32"/>
                <w:szCs w:val="32"/>
                <w:lang w:val="en-US" w:eastAsia="zh-CN" w:bidi="ar-SA"/>
              </w:rPr>
              <w:id w:val="147469496"/>
              <w:placeholder>
                <w:docPart w:val="{ca9b86bd-a5fa-404f-a057-1a6c3fbdfd81}"/>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三、</w:t>
              </w:r>
              <w:r>
                <w:rPr>
                  <w:rFonts w:hint="eastAsia" w:ascii="Times New Roman" w:hAnsi="Times New Roman" w:eastAsia="黑体" w:cs="Times New Roman"/>
                </w:rPr>
                <w:t>支出决算情况说明</w:t>
              </w:r>
            </w:sdtContent>
          </w:sdt>
          <w:r>
            <w:tab/>
          </w:r>
          <w:bookmarkStart w:id="22" w:name="_Toc5211_WPSOffice_Level2Page"/>
          <w:r>
            <w:t>4</w:t>
          </w:r>
          <w:bookmarkEnd w:id="22"/>
          <w:r>
            <w:fldChar w:fldCharType="end"/>
          </w:r>
        </w:p>
        <w:p w14:paraId="35C6D0C9">
          <w:pPr>
            <w:pStyle w:val="35"/>
            <w:tabs>
              <w:tab w:val="right" w:leader="dot" w:pos="8845"/>
            </w:tabs>
          </w:pPr>
          <w:r>
            <w:fldChar w:fldCharType="begin"/>
          </w:r>
          <w:r>
            <w:instrText xml:space="preserve"> HYPERLINK \l _Toc976_WPSOffice_Level2 </w:instrText>
          </w:r>
          <w:r>
            <w:fldChar w:fldCharType="separate"/>
          </w:r>
          <w:sdt>
            <w:sdtPr>
              <w:rPr>
                <w:rFonts w:ascii="Times New Roman" w:hAnsi="Times New Roman" w:eastAsia="仿宋_GB2312" w:cs="Times New Roman"/>
                <w:kern w:val="2"/>
                <w:sz w:val="32"/>
                <w:szCs w:val="32"/>
                <w:lang w:val="en-US" w:eastAsia="zh-CN" w:bidi="ar-SA"/>
              </w:rPr>
              <w:id w:val="147462657"/>
              <w:placeholder>
                <w:docPart w:val="{8f8edb0d-0171-4502-a43e-f2900c6bd54a}"/>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四、财政拨款收入支出决算总体情况说明</w:t>
              </w:r>
            </w:sdtContent>
          </w:sdt>
          <w:r>
            <w:tab/>
          </w:r>
          <w:bookmarkStart w:id="23" w:name="_Toc976_WPSOffice_Level2Page"/>
          <w:r>
            <w:t>4</w:t>
          </w:r>
          <w:bookmarkEnd w:id="23"/>
          <w:r>
            <w:fldChar w:fldCharType="end"/>
          </w:r>
        </w:p>
        <w:p w14:paraId="321AF30B">
          <w:pPr>
            <w:pStyle w:val="35"/>
            <w:tabs>
              <w:tab w:val="right" w:leader="dot" w:pos="8845"/>
            </w:tabs>
          </w:pPr>
          <w:r>
            <w:fldChar w:fldCharType="begin"/>
          </w:r>
          <w:r>
            <w:instrText xml:space="preserve"> HYPERLINK \l _Toc26688_WPSOffice_Level2 </w:instrText>
          </w:r>
          <w:r>
            <w:fldChar w:fldCharType="separate"/>
          </w:r>
          <w:sdt>
            <w:sdtPr>
              <w:rPr>
                <w:rFonts w:ascii="Times New Roman" w:hAnsi="Times New Roman" w:eastAsia="仿宋_GB2312" w:cs="Times New Roman"/>
                <w:kern w:val="2"/>
                <w:sz w:val="32"/>
                <w:szCs w:val="32"/>
                <w:lang w:val="en-US" w:eastAsia="zh-CN" w:bidi="ar-SA"/>
              </w:rPr>
              <w:id w:val="147478588"/>
              <w:placeholder>
                <w:docPart w:val="{b3d69361-0171-43e0-85a0-a03dd4485963}"/>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五、一般公共预算财政拨款支出决算情况说明</w:t>
              </w:r>
            </w:sdtContent>
          </w:sdt>
          <w:r>
            <w:tab/>
          </w:r>
          <w:bookmarkStart w:id="24" w:name="_Toc26688_WPSOffice_Level2Page"/>
          <w:r>
            <w:t>5</w:t>
          </w:r>
          <w:bookmarkEnd w:id="24"/>
          <w:r>
            <w:fldChar w:fldCharType="end"/>
          </w:r>
        </w:p>
        <w:p w14:paraId="43931A3E">
          <w:pPr>
            <w:pStyle w:val="35"/>
            <w:tabs>
              <w:tab w:val="right" w:leader="dot" w:pos="8845"/>
            </w:tabs>
          </w:pPr>
          <w:r>
            <w:fldChar w:fldCharType="begin"/>
          </w:r>
          <w:r>
            <w:instrText xml:space="preserve"> HYPERLINK \l _Toc28534_WPSOffice_Level2 </w:instrText>
          </w:r>
          <w:r>
            <w:fldChar w:fldCharType="separate"/>
          </w:r>
          <w:sdt>
            <w:sdtPr>
              <w:rPr>
                <w:rFonts w:ascii="Times New Roman" w:hAnsi="Times New Roman" w:eastAsia="仿宋_GB2312" w:cs="Times New Roman"/>
                <w:kern w:val="2"/>
                <w:sz w:val="32"/>
                <w:szCs w:val="32"/>
                <w:lang w:val="en-US" w:eastAsia="zh-CN" w:bidi="ar-SA"/>
              </w:rPr>
              <w:id w:val="147452376"/>
              <w:placeholder>
                <w:docPart w:val="{f0f17a5c-dc6a-4015-badb-0ff286c92115}"/>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六、一般公共预算财政拨款基本支出决算情况说明</w:t>
              </w:r>
            </w:sdtContent>
          </w:sdt>
          <w:r>
            <w:tab/>
          </w:r>
          <w:bookmarkStart w:id="25" w:name="_Toc28534_WPSOffice_Level2Page"/>
          <w:r>
            <w:t>10</w:t>
          </w:r>
          <w:bookmarkEnd w:id="25"/>
          <w:r>
            <w:fldChar w:fldCharType="end"/>
          </w:r>
        </w:p>
        <w:p w14:paraId="69ED92C5">
          <w:pPr>
            <w:pStyle w:val="35"/>
            <w:tabs>
              <w:tab w:val="right" w:leader="dot" w:pos="8845"/>
            </w:tabs>
          </w:pPr>
          <w:r>
            <w:fldChar w:fldCharType="begin"/>
          </w:r>
          <w:r>
            <w:instrText xml:space="preserve"> HYPERLINK \l _Toc5493_WPSOffice_Level2 </w:instrText>
          </w:r>
          <w:r>
            <w:fldChar w:fldCharType="separate"/>
          </w:r>
          <w:sdt>
            <w:sdtPr>
              <w:rPr>
                <w:rFonts w:ascii="Times New Roman" w:hAnsi="Times New Roman" w:eastAsia="仿宋_GB2312" w:cs="Times New Roman"/>
                <w:kern w:val="2"/>
                <w:sz w:val="32"/>
                <w:szCs w:val="32"/>
                <w:lang w:val="en-US" w:eastAsia="zh-CN" w:bidi="ar-SA"/>
              </w:rPr>
              <w:id w:val="147459181"/>
              <w:placeholder>
                <w:docPart w:val="{273b5d23-c8e6-41a4-9db9-9d0769894a4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八、政府性基金预算支出决算情况说明</w:t>
              </w:r>
            </w:sdtContent>
          </w:sdt>
          <w:r>
            <w:tab/>
          </w:r>
          <w:bookmarkStart w:id="26" w:name="_Toc5493_WPSOffice_Level2Page"/>
          <w:r>
            <w:t>12</w:t>
          </w:r>
          <w:bookmarkEnd w:id="26"/>
          <w:r>
            <w:fldChar w:fldCharType="end"/>
          </w:r>
        </w:p>
        <w:p w14:paraId="00774B80">
          <w:pPr>
            <w:pStyle w:val="35"/>
            <w:tabs>
              <w:tab w:val="right" w:leader="dot" w:pos="8845"/>
            </w:tabs>
          </w:pPr>
          <w:r>
            <w:fldChar w:fldCharType="begin"/>
          </w:r>
          <w:r>
            <w:instrText xml:space="preserve"> HYPERLINK \l _Toc9473_WPSOffice_Level2 </w:instrText>
          </w:r>
          <w:r>
            <w:fldChar w:fldCharType="separate"/>
          </w:r>
          <w:sdt>
            <w:sdtPr>
              <w:rPr>
                <w:rFonts w:ascii="Times New Roman" w:hAnsi="Times New Roman" w:eastAsia="仿宋_GB2312" w:cs="Times New Roman"/>
                <w:kern w:val="2"/>
                <w:sz w:val="32"/>
                <w:szCs w:val="32"/>
                <w:lang w:val="en-US" w:eastAsia="zh-CN" w:bidi="ar-SA"/>
              </w:rPr>
              <w:id w:val="147462529"/>
              <w:placeholder>
                <w:docPart w:val="{73a1feef-8139-479f-8b8d-68357d9ea5ed}"/>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九、国有资本经营预算支出决算情况说明</w:t>
              </w:r>
            </w:sdtContent>
          </w:sdt>
          <w:r>
            <w:tab/>
          </w:r>
          <w:bookmarkStart w:id="27" w:name="_Toc9473_WPSOffice_Level2Page"/>
          <w:r>
            <w:t>13</w:t>
          </w:r>
          <w:bookmarkEnd w:id="27"/>
          <w:r>
            <w:fldChar w:fldCharType="end"/>
          </w:r>
        </w:p>
        <w:p w14:paraId="53EC984A">
          <w:pPr>
            <w:pStyle w:val="35"/>
            <w:tabs>
              <w:tab w:val="right" w:leader="dot" w:pos="8845"/>
            </w:tabs>
          </w:pPr>
          <w:r>
            <w:fldChar w:fldCharType="begin"/>
          </w:r>
          <w:r>
            <w:instrText xml:space="preserve"> HYPERLINK \l _Toc5235_WPSOffice_Level2 </w:instrText>
          </w:r>
          <w:r>
            <w:fldChar w:fldCharType="separate"/>
          </w:r>
          <w:sdt>
            <w:sdtPr>
              <w:rPr>
                <w:rFonts w:ascii="Times New Roman" w:hAnsi="Times New Roman" w:eastAsia="仿宋_GB2312" w:cs="Times New Roman"/>
                <w:kern w:val="2"/>
                <w:sz w:val="32"/>
                <w:szCs w:val="32"/>
                <w:lang w:val="en-US" w:eastAsia="zh-CN" w:bidi="ar-SA"/>
              </w:rPr>
              <w:id w:val="147481242"/>
              <w:placeholder>
                <w:docPart w:val="{a4da428b-22a2-49fb-9ff2-ff744159cce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十、其他重要事项的情况说明</w:t>
              </w:r>
            </w:sdtContent>
          </w:sdt>
          <w:r>
            <w:tab/>
          </w:r>
          <w:bookmarkStart w:id="28" w:name="_Toc5235_WPSOffice_Level2Page"/>
          <w:r>
            <w:t>13</w:t>
          </w:r>
          <w:bookmarkEnd w:id="28"/>
          <w:r>
            <w:fldChar w:fldCharType="end"/>
          </w:r>
        </w:p>
        <w:p w14:paraId="79958630">
          <w:pPr>
            <w:pStyle w:val="34"/>
            <w:tabs>
              <w:tab w:val="right" w:leader="dot" w:pos="8845"/>
            </w:tabs>
          </w:pPr>
          <w:r>
            <w:rPr>
              <w:b/>
              <w:bCs/>
            </w:rPr>
            <w:fldChar w:fldCharType="begin"/>
          </w:r>
          <w:r>
            <w:instrText xml:space="preserve"> HYPERLINK \l _Toc9406_WPSOffice_Level1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81054"/>
              <w:placeholder>
                <w:docPart w:val="{ffa80f01-43f2-43fd-acd7-84866b7f5f00}"/>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第三部分 名词解释</w:t>
              </w:r>
            </w:sdtContent>
          </w:sdt>
          <w:r>
            <w:rPr>
              <w:b/>
              <w:bCs/>
            </w:rPr>
            <w:tab/>
          </w:r>
          <w:bookmarkStart w:id="29" w:name="_Toc9406_WPSOffice_Level1Page"/>
          <w:r>
            <w:rPr>
              <w:b/>
              <w:bCs/>
            </w:rPr>
            <w:t>15</w:t>
          </w:r>
          <w:bookmarkEnd w:id="29"/>
          <w:r>
            <w:rPr>
              <w:b/>
              <w:bCs/>
            </w:rPr>
            <w:fldChar w:fldCharType="end"/>
          </w:r>
        </w:p>
        <w:p w14:paraId="490A63CF">
          <w:pPr>
            <w:pStyle w:val="34"/>
            <w:tabs>
              <w:tab w:val="right" w:leader="dot" w:pos="8845"/>
            </w:tabs>
          </w:pPr>
          <w:r>
            <w:rPr>
              <w:b/>
              <w:bCs/>
            </w:rPr>
            <w:fldChar w:fldCharType="begin"/>
          </w:r>
          <w:r>
            <w:instrText xml:space="preserve"> HYPERLINK \l _Toc1718_WPSOffice_Level1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60533"/>
              <w:placeholder>
                <w:docPart w:val="{b73faf7b-34db-4cf5-9f40-9cdee2783e31}"/>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第四部分 附件</w:t>
              </w:r>
            </w:sdtContent>
          </w:sdt>
          <w:r>
            <w:rPr>
              <w:b/>
              <w:bCs/>
            </w:rPr>
            <w:tab/>
          </w:r>
          <w:bookmarkStart w:id="30" w:name="_Toc1718_WPSOffice_Level1Page"/>
          <w:r>
            <w:rPr>
              <w:b/>
              <w:bCs/>
            </w:rPr>
            <w:t>21</w:t>
          </w:r>
          <w:bookmarkEnd w:id="30"/>
          <w:r>
            <w:rPr>
              <w:b/>
              <w:bCs/>
            </w:rPr>
            <w:fldChar w:fldCharType="end"/>
          </w:r>
        </w:p>
        <w:p w14:paraId="56B4F825">
          <w:pPr>
            <w:pStyle w:val="34"/>
            <w:tabs>
              <w:tab w:val="right" w:leader="dot" w:pos="8845"/>
            </w:tabs>
          </w:pPr>
          <w:r>
            <w:rPr>
              <w:b/>
              <w:bCs/>
            </w:rPr>
            <w:fldChar w:fldCharType="begin"/>
          </w:r>
          <w:r>
            <w:instrText xml:space="preserve"> HYPERLINK \l _Toc23572_WPSOffice_Level1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56344"/>
              <w:placeholder>
                <w:docPart w:val="{a6e2a47f-cedc-4401-80b3-384cdc3f4460}"/>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第五部分 附表</w:t>
              </w:r>
            </w:sdtContent>
          </w:sdt>
          <w:r>
            <w:rPr>
              <w:b/>
              <w:bCs/>
            </w:rPr>
            <w:tab/>
          </w:r>
          <w:bookmarkStart w:id="31" w:name="_Toc23572_WPSOffice_Level1Page"/>
          <w:r>
            <w:rPr>
              <w:b/>
              <w:bCs/>
            </w:rPr>
            <w:t>21</w:t>
          </w:r>
          <w:bookmarkEnd w:id="31"/>
          <w:r>
            <w:rPr>
              <w:b/>
              <w:bCs/>
            </w:rPr>
            <w:fldChar w:fldCharType="end"/>
          </w:r>
        </w:p>
        <w:p w14:paraId="4AEF2C45">
          <w:pPr>
            <w:pStyle w:val="35"/>
            <w:tabs>
              <w:tab w:val="right" w:leader="dot" w:pos="8845"/>
            </w:tabs>
          </w:pPr>
          <w:r>
            <w:fldChar w:fldCharType="begin"/>
          </w:r>
          <w:r>
            <w:instrText xml:space="preserve"> HYPERLINK \l _Toc18833_WPSOffice_Level2 </w:instrText>
          </w:r>
          <w:r>
            <w:fldChar w:fldCharType="separate"/>
          </w:r>
          <w:sdt>
            <w:sdtPr>
              <w:rPr>
                <w:rFonts w:ascii="Times New Roman" w:hAnsi="Times New Roman" w:eastAsia="仿宋_GB2312" w:cs="Times New Roman"/>
                <w:kern w:val="2"/>
                <w:sz w:val="32"/>
                <w:szCs w:val="32"/>
                <w:lang w:val="en-US" w:eastAsia="zh-CN" w:bidi="ar-SA"/>
              </w:rPr>
              <w:id w:val="147479754"/>
              <w:placeholder>
                <w:docPart w:val="{7c2d21a1-0227-4bc6-95d2-08e2afdab90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一、收入支出决算总表</w:t>
              </w:r>
            </w:sdtContent>
          </w:sdt>
          <w:r>
            <w:tab/>
          </w:r>
          <w:bookmarkStart w:id="32" w:name="_Toc18833_WPSOffice_Level2Page"/>
          <w:r>
            <w:t>21</w:t>
          </w:r>
          <w:bookmarkEnd w:id="32"/>
          <w:r>
            <w:fldChar w:fldCharType="end"/>
          </w:r>
        </w:p>
        <w:p w14:paraId="28885608">
          <w:pPr>
            <w:pStyle w:val="35"/>
            <w:tabs>
              <w:tab w:val="right" w:leader="dot" w:pos="8845"/>
            </w:tabs>
          </w:pPr>
          <w:r>
            <w:fldChar w:fldCharType="begin"/>
          </w:r>
          <w:r>
            <w:instrText xml:space="preserve"> HYPERLINK \l _Toc12952_WPSOffice_Level2 </w:instrText>
          </w:r>
          <w:r>
            <w:fldChar w:fldCharType="separate"/>
          </w:r>
          <w:sdt>
            <w:sdtPr>
              <w:rPr>
                <w:rFonts w:ascii="Times New Roman" w:hAnsi="Times New Roman" w:eastAsia="仿宋_GB2312" w:cs="Times New Roman"/>
                <w:kern w:val="2"/>
                <w:sz w:val="32"/>
                <w:szCs w:val="32"/>
                <w:lang w:val="en-US" w:eastAsia="zh-CN" w:bidi="ar-SA"/>
              </w:rPr>
              <w:id w:val="147461113"/>
              <w:placeholder>
                <w:docPart w:val="{f1002291-090a-425e-a744-e211baed89d6}"/>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二、收入决算表</w:t>
              </w:r>
            </w:sdtContent>
          </w:sdt>
          <w:r>
            <w:tab/>
          </w:r>
          <w:bookmarkStart w:id="33" w:name="_Toc12952_WPSOffice_Level2Page"/>
          <w:r>
            <w:t>21</w:t>
          </w:r>
          <w:bookmarkEnd w:id="33"/>
          <w:r>
            <w:fldChar w:fldCharType="end"/>
          </w:r>
        </w:p>
        <w:p w14:paraId="05B74731">
          <w:pPr>
            <w:pStyle w:val="35"/>
            <w:tabs>
              <w:tab w:val="right" w:leader="dot" w:pos="8845"/>
            </w:tabs>
          </w:pPr>
          <w:r>
            <w:fldChar w:fldCharType="begin"/>
          </w:r>
          <w:r>
            <w:instrText xml:space="preserve"> HYPERLINK \l _Toc6945_WPSOffice_Level2 </w:instrText>
          </w:r>
          <w:r>
            <w:fldChar w:fldCharType="separate"/>
          </w:r>
          <w:sdt>
            <w:sdtPr>
              <w:rPr>
                <w:rFonts w:ascii="Times New Roman" w:hAnsi="Times New Roman" w:eastAsia="仿宋_GB2312" w:cs="Times New Roman"/>
                <w:kern w:val="2"/>
                <w:sz w:val="32"/>
                <w:szCs w:val="32"/>
                <w:lang w:val="en-US" w:eastAsia="zh-CN" w:bidi="ar-SA"/>
              </w:rPr>
              <w:id w:val="147453994"/>
              <w:placeholder>
                <w:docPart w:val="{39becba5-a4a7-4b3e-a960-20d3c8b04874}"/>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三、支出决算表</w:t>
              </w:r>
            </w:sdtContent>
          </w:sdt>
          <w:r>
            <w:tab/>
          </w:r>
          <w:bookmarkStart w:id="34" w:name="_Toc6945_WPSOffice_Level2Page"/>
          <w:r>
            <w:t>21</w:t>
          </w:r>
          <w:bookmarkEnd w:id="34"/>
          <w:r>
            <w:fldChar w:fldCharType="end"/>
          </w:r>
        </w:p>
        <w:p w14:paraId="6DDEE08D">
          <w:pPr>
            <w:pStyle w:val="35"/>
            <w:tabs>
              <w:tab w:val="right" w:leader="dot" w:pos="8845"/>
            </w:tabs>
          </w:pPr>
          <w:r>
            <w:fldChar w:fldCharType="begin"/>
          </w:r>
          <w:r>
            <w:instrText xml:space="preserve"> HYPERLINK \l _Toc23001_WPSOffice_Level2 </w:instrText>
          </w:r>
          <w:r>
            <w:fldChar w:fldCharType="separate"/>
          </w:r>
          <w:sdt>
            <w:sdtPr>
              <w:rPr>
                <w:rFonts w:ascii="Times New Roman" w:hAnsi="Times New Roman" w:eastAsia="仿宋_GB2312" w:cs="Times New Roman"/>
                <w:kern w:val="2"/>
                <w:sz w:val="32"/>
                <w:szCs w:val="32"/>
                <w:lang w:val="en-US" w:eastAsia="zh-CN" w:bidi="ar-SA"/>
              </w:rPr>
              <w:id w:val="147471208"/>
              <w:placeholder>
                <w:docPart w:val="{643e9fcd-57c9-4442-a1a2-789dfee0e68b}"/>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四、财政拨款收入支出决算总表</w:t>
              </w:r>
            </w:sdtContent>
          </w:sdt>
          <w:r>
            <w:tab/>
          </w:r>
          <w:bookmarkStart w:id="35" w:name="_Toc23001_WPSOffice_Level2Page"/>
          <w:r>
            <w:t>21</w:t>
          </w:r>
          <w:bookmarkEnd w:id="35"/>
          <w:r>
            <w:fldChar w:fldCharType="end"/>
          </w:r>
        </w:p>
        <w:p w14:paraId="3EB61960">
          <w:pPr>
            <w:pStyle w:val="35"/>
            <w:tabs>
              <w:tab w:val="right" w:leader="dot" w:pos="8845"/>
            </w:tabs>
          </w:pPr>
          <w:r>
            <w:fldChar w:fldCharType="begin"/>
          </w:r>
          <w:r>
            <w:instrText xml:space="preserve"> HYPERLINK \l _Toc19240_WPSOffice_Level2 </w:instrText>
          </w:r>
          <w:r>
            <w:fldChar w:fldCharType="separate"/>
          </w:r>
          <w:sdt>
            <w:sdtPr>
              <w:rPr>
                <w:rFonts w:ascii="Times New Roman" w:hAnsi="Times New Roman" w:eastAsia="仿宋_GB2312" w:cs="Times New Roman"/>
                <w:kern w:val="2"/>
                <w:sz w:val="32"/>
                <w:szCs w:val="32"/>
                <w:lang w:val="en-US" w:eastAsia="zh-CN" w:bidi="ar-SA"/>
              </w:rPr>
              <w:id w:val="147471118"/>
              <w:placeholder>
                <w:docPart w:val="{0be611f0-ef75-4703-83d6-158150020c48}"/>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五、财政拨款支出决算明细表</w:t>
              </w:r>
            </w:sdtContent>
          </w:sdt>
          <w:r>
            <w:tab/>
          </w:r>
          <w:bookmarkStart w:id="36" w:name="_Toc19240_WPSOffice_Level2Page"/>
          <w:r>
            <w:t>21</w:t>
          </w:r>
          <w:bookmarkEnd w:id="36"/>
          <w:r>
            <w:fldChar w:fldCharType="end"/>
          </w:r>
        </w:p>
        <w:p w14:paraId="4E7C8C8E">
          <w:pPr>
            <w:pStyle w:val="35"/>
            <w:tabs>
              <w:tab w:val="right" w:leader="dot" w:pos="8845"/>
            </w:tabs>
          </w:pPr>
          <w:r>
            <w:fldChar w:fldCharType="begin"/>
          </w:r>
          <w:r>
            <w:instrText xml:space="preserve"> HYPERLINK \l _Toc27526_WPSOffice_Level2 </w:instrText>
          </w:r>
          <w:r>
            <w:fldChar w:fldCharType="separate"/>
          </w:r>
          <w:sdt>
            <w:sdtPr>
              <w:rPr>
                <w:rFonts w:ascii="Times New Roman" w:hAnsi="Times New Roman" w:eastAsia="仿宋_GB2312" w:cs="Times New Roman"/>
                <w:kern w:val="2"/>
                <w:sz w:val="32"/>
                <w:szCs w:val="32"/>
                <w:lang w:val="en-US" w:eastAsia="zh-CN" w:bidi="ar-SA"/>
              </w:rPr>
              <w:id w:val="147477899"/>
              <w:placeholder>
                <w:docPart w:val="{37cbe9b8-3663-4417-ba65-72a605afa159}"/>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六、一般公共预算财政拨款支出决算表</w:t>
              </w:r>
            </w:sdtContent>
          </w:sdt>
          <w:r>
            <w:tab/>
          </w:r>
          <w:bookmarkStart w:id="37" w:name="_Toc27526_WPSOffice_Level2Page"/>
          <w:r>
            <w:t>21</w:t>
          </w:r>
          <w:bookmarkEnd w:id="37"/>
          <w:r>
            <w:fldChar w:fldCharType="end"/>
          </w:r>
        </w:p>
        <w:p w14:paraId="16D7FD93">
          <w:pPr>
            <w:pStyle w:val="35"/>
            <w:tabs>
              <w:tab w:val="right" w:leader="dot" w:pos="8845"/>
            </w:tabs>
          </w:pPr>
          <w:r>
            <w:fldChar w:fldCharType="begin"/>
          </w:r>
          <w:r>
            <w:instrText xml:space="preserve"> HYPERLINK \l _Toc30591_WPSOffice_Level2 </w:instrText>
          </w:r>
          <w:r>
            <w:fldChar w:fldCharType="separate"/>
          </w:r>
          <w:sdt>
            <w:sdtPr>
              <w:rPr>
                <w:rFonts w:ascii="Times New Roman" w:hAnsi="Times New Roman" w:eastAsia="仿宋_GB2312" w:cs="Times New Roman"/>
                <w:kern w:val="2"/>
                <w:sz w:val="32"/>
                <w:szCs w:val="32"/>
                <w:lang w:val="en-US" w:eastAsia="zh-CN" w:bidi="ar-SA"/>
              </w:rPr>
              <w:id w:val="147462422"/>
              <w:placeholder>
                <w:docPart w:val="{a9020b39-712c-4baa-b81a-5a29d8af187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七、一般公共预算财政拨款支出决算明细表</w:t>
              </w:r>
            </w:sdtContent>
          </w:sdt>
          <w:r>
            <w:tab/>
          </w:r>
          <w:bookmarkStart w:id="38" w:name="_Toc30591_WPSOffice_Level2Page"/>
          <w:r>
            <w:t>21</w:t>
          </w:r>
          <w:bookmarkEnd w:id="38"/>
          <w:r>
            <w:fldChar w:fldCharType="end"/>
          </w:r>
        </w:p>
        <w:p w14:paraId="55CDCBEC">
          <w:pPr>
            <w:pStyle w:val="35"/>
            <w:tabs>
              <w:tab w:val="right" w:leader="dot" w:pos="8845"/>
            </w:tabs>
          </w:pPr>
          <w:r>
            <w:fldChar w:fldCharType="begin"/>
          </w:r>
          <w:r>
            <w:instrText xml:space="preserve"> HYPERLINK \l _Toc28298_WPSOffice_Level2 </w:instrText>
          </w:r>
          <w:r>
            <w:fldChar w:fldCharType="separate"/>
          </w:r>
          <w:sdt>
            <w:sdtPr>
              <w:rPr>
                <w:rFonts w:ascii="Times New Roman" w:hAnsi="Times New Roman" w:eastAsia="仿宋_GB2312" w:cs="Times New Roman"/>
                <w:kern w:val="2"/>
                <w:sz w:val="32"/>
                <w:szCs w:val="32"/>
                <w:lang w:val="en-US" w:eastAsia="zh-CN" w:bidi="ar-SA"/>
              </w:rPr>
              <w:id w:val="147470209"/>
              <w:placeholder>
                <w:docPart w:val="{00b8b072-c5ef-49d8-9797-5d50cce513c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八、一般公共预算财政拨款基本支出决算表</w:t>
              </w:r>
            </w:sdtContent>
          </w:sdt>
          <w:r>
            <w:tab/>
          </w:r>
          <w:bookmarkStart w:id="39" w:name="_Toc28298_WPSOffice_Level2Page"/>
          <w:r>
            <w:t>21</w:t>
          </w:r>
          <w:bookmarkEnd w:id="39"/>
          <w:r>
            <w:fldChar w:fldCharType="end"/>
          </w:r>
        </w:p>
        <w:p w14:paraId="67ACC91E">
          <w:pPr>
            <w:pStyle w:val="35"/>
            <w:tabs>
              <w:tab w:val="right" w:leader="dot" w:pos="8845"/>
            </w:tabs>
          </w:pPr>
          <w:r>
            <w:fldChar w:fldCharType="begin"/>
          </w:r>
          <w:r>
            <w:instrText xml:space="preserve"> HYPERLINK \l _Toc20980_WPSOffice_Level2 </w:instrText>
          </w:r>
          <w:r>
            <w:fldChar w:fldCharType="separate"/>
          </w:r>
          <w:sdt>
            <w:sdtPr>
              <w:rPr>
                <w:rFonts w:ascii="Times New Roman" w:hAnsi="Times New Roman" w:eastAsia="仿宋_GB2312" w:cs="Times New Roman"/>
                <w:kern w:val="2"/>
                <w:sz w:val="32"/>
                <w:szCs w:val="32"/>
                <w:lang w:val="en-US" w:eastAsia="zh-CN" w:bidi="ar-SA"/>
              </w:rPr>
              <w:id w:val="147454701"/>
              <w:placeholder>
                <w:docPart w:val="{f779a2cc-2d82-4868-8565-4c9d586d7297}"/>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九、一般公共预算财政拨款项目支出决算表</w:t>
              </w:r>
            </w:sdtContent>
          </w:sdt>
          <w:r>
            <w:tab/>
          </w:r>
          <w:bookmarkStart w:id="40" w:name="_Toc20980_WPSOffice_Level2Page"/>
          <w:r>
            <w:t>21</w:t>
          </w:r>
          <w:bookmarkEnd w:id="40"/>
          <w:r>
            <w:fldChar w:fldCharType="end"/>
          </w:r>
        </w:p>
        <w:p w14:paraId="5FA5EE3F">
          <w:pPr>
            <w:pStyle w:val="35"/>
            <w:tabs>
              <w:tab w:val="right" w:leader="dot" w:pos="8845"/>
            </w:tabs>
          </w:pPr>
          <w:r>
            <w:fldChar w:fldCharType="begin"/>
          </w:r>
          <w:r>
            <w:instrText xml:space="preserve"> HYPERLINK \l _Toc16842_WPSOffice_Level2 </w:instrText>
          </w:r>
          <w:r>
            <w:fldChar w:fldCharType="separate"/>
          </w:r>
          <w:sdt>
            <w:sdtPr>
              <w:rPr>
                <w:rFonts w:ascii="Times New Roman" w:hAnsi="Times New Roman" w:eastAsia="仿宋_GB2312" w:cs="Times New Roman"/>
                <w:kern w:val="2"/>
                <w:sz w:val="32"/>
                <w:szCs w:val="32"/>
                <w:lang w:val="en-US" w:eastAsia="zh-CN" w:bidi="ar-SA"/>
              </w:rPr>
              <w:id w:val="147457845"/>
              <w:placeholder>
                <w:docPart w:val="{84e8efe5-2c30-4060-bb18-a815e0747c1f}"/>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十、政府性基金预算财政拨款收入支出决算表</w:t>
              </w:r>
            </w:sdtContent>
          </w:sdt>
          <w:r>
            <w:tab/>
          </w:r>
          <w:bookmarkStart w:id="41" w:name="_Toc16842_WPSOffice_Level2Page"/>
          <w:r>
            <w:t>21</w:t>
          </w:r>
          <w:bookmarkEnd w:id="41"/>
          <w:r>
            <w:fldChar w:fldCharType="end"/>
          </w:r>
        </w:p>
        <w:p w14:paraId="33F286CF">
          <w:pPr>
            <w:pStyle w:val="35"/>
            <w:tabs>
              <w:tab w:val="right" w:leader="dot" w:pos="8845"/>
            </w:tabs>
          </w:pPr>
          <w:r>
            <w:fldChar w:fldCharType="begin"/>
          </w:r>
          <w:r>
            <w:instrText xml:space="preserve"> HYPERLINK \l _Toc2298_WPSOffice_Level2 </w:instrText>
          </w:r>
          <w:r>
            <w:fldChar w:fldCharType="separate"/>
          </w:r>
          <w:sdt>
            <w:sdtPr>
              <w:rPr>
                <w:rFonts w:ascii="Times New Roman" w:hAnsi="Times New Roman" w:eastAsia="仿宋_GB2312" w:cs="Times New Roman"/>
                <w:kern w:val="2"/>
                <w:sz w:val="32"/>
                <w:szCs w:val="32"/>
                <w:lang w:val="en-US" w:eastAsia="zh-CN" w:bidi="ar-SA"/>
              </w:rPr>
              <w:id w:val="147457795"/>
              <w:placeholder>
                <w:docPart w:val="{606b6d2c-0f09-45c7-be69-a26f868ba552}"/>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十一、国有资本经营预算财政拨款收入支出决算表</w:t>
              </w:r>
            </w:sdtContent>
          </w:sdt>
          <w:r>
            <w:tab/>
          </w:r>
          <w:bookmarkStart w:id="42" w:name="_Toc2298_WPSOffice_Level2Page"/>
          <w:r>
            <w:t>21</w:t>
          </w:r>
          <w:bookmarkEnd w:id="42"/>
          <w:r>
            <w:fldChar w:fldCharType="end"/>
          </w:r>
        </w:p>
        <w:p w14:paraId="42CA8B6D">
          <w:pPr>
            <w:pStyle w:val="35"/>
            <w:tabs>
              <w:tab w:val="right" w:leader="dot" w:pos="8845"/>
            </w:tabs>
          </w:pPr>
          <w:r>
            <w:fldChar w:fldCharType="begin"/>
          </w:r>
          <w:r>
            <w:instrText xml:space="preserve"> HYPERLINK \l _Toc130_WPSOffice_Level2 </w:instrText>
          </w:r>
          <w:r>
            <w:fldChar w:fldCharType="separate"/>
          </w:r>
          <w:sdt>
            <w:sdtPr>
              <w:rPr>
                <w:rFonts w:ascii="Times New Roman" w:hAnsi="Times New Roman" w:eastAsia="仿宋_GB2312" w:cs="Times New Roman"/>
                <w:kern w:val="2"/>
                <w:sz w:val="32"/>
                <w:szCs w:val="32"/>
                <w:lang w:val="en-US" w:eastAsia="zh-CN" w:bidi="ar-SA"/>
              </w:rPr>
              <w:id w:val="147480759"/>
              <w:placeholder>
                <w:docPart w:val="{84008d47-9023-4e8d-a7c8-594e934ece6e}"/>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十二、国有资本经营预算财政拨款支出决算表</w:t>
              </w:r>
            </w:sdtContent>
          </w:sdt>
          <w:r>
            <w:tab/>
          </w:r>
          <w:bookmarkStart w:id="43" w:name="_Toc130_WPSOffice_Level2Page"/>
          <w:r>
            <w:t>21</w:t>
          </w:r>
          <w:bookmarkEnd w:id="43"/>
          <w:r>
            <w:fldChar w:fldCharType="end"/>
          </w:r>
        </w:p>
        <w:p w14:paraId="75A88826">
          <w:pPr>
            <w:pStyle w:val="35"/>
            <w:tabs>
              <w:tab w:val="right" w:leader="dot" w:pos="8845"/>
            </w:tabs>
          </w:pPr>
          <w:r>
            <w:fldChar w:fldCharType="begin"/>
          </w:r>
          <w:r>
            <w:instrText xml:space="preserve"> HYPERLINK \l _Toc16146_WPSOffice_Level2 </w:instrText>
          </w:r>
          <w:r>
            <w:fldChar w:fldCharType="separate"/>
          </w:r>
          <w:sdt>
            <w:sdtPr>
              <w:rPr>
                <w:rFonts w:ascii="Times New Roman" w:hAnsi="Times New Roman" w:eastAsia="仿宋_GB2312" w:cs="Times New Roman"/>
                <w:kern w:val="2"/>
                <w:sz w:val="32"/>
                <w:szCs w:val="32"/>
                <w:lang w:val="en-US" w:eastAsia="zh-CN" w:bidi="ar-SA"/>
              </w:rPr>
              <w:id w:val="147469078"/>
              <w:placeholder>
                <w:docPart w:val="{939d6bb4-1ebb-4175-9d6d-e2a84a03aba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十三、财政拨款“三公”经费支出决算表</w:t>
              </w:r>
            </w:sdtContent>
          </w:sdt>
          <w:r>
            <w:tab/>
          </w:r>
          <w:bookmarkStart w:id="44" w:name="_Toc16146_WPSOffice_Level2Page"/>
          <w:r>
            <w:t>22</w:t>
          </w:r>
          <w:bookmarkEnd w:id="44"/>
          <w:r>
            <w:fldChar w:fldCharType="end"/>
          </w:r>
          <w:bookmarkEnd w:id="15"/>
        </w:p>
      </w:sdtContent>
    </w:sdt>
    <w:p w14:paraId="619CAB5D">
      <w:pPr>
        <w:rPr>
          <w:b/>
        </w:rPr>
      </w:pPr>
    </w:p>
    <w:p w14:paraId="7A8EAE68">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sz w:val="44"/>
          <w:szCs w:val="44"/>
        </w:rPr>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1CF41265">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45" w:name="_Toc13077_WPSOffice_Level1"/>
      <w:r>
        <w:rPr>
          <w:rFonts w:hint="default" w:ascii="Times New Roman" w:hAnsi="Times New Roman" w:eastAsia="方正小标宋简体" w:cs="Times New Roman"/>
          <w:b w:val="0"/>
          <w:sz w:val="44"/>
          <w:szCs w:val="44"/>
        </w:rPr>
        <w:t>第一部分 单位</w:t>
      </w:r>
      <w:r>
        <w:rPr>
          <w:rStyle w:val="28"/>
          <w:rFonts w:hint="default" w:ascii="Times New Roman" w:hAnsi="Times New Roman" w:eastAsia="方正小标宋简体" w:cs="Times New Roman"/>
          <w:b w:val="0"/>
          <w:bCs w:val="0"/>
          <w:sz w:val="44"/>
          <w:szCs w:val="44"/>
        </w:rPr>
        <w:t>概况</w:t>
      </w:r>
      <w:bookmarkEnd w:id="45"/>
    </w:p>
    <w:p w14:paraId="42D23DA4">
      <w:pPr>
        <w:pStyle w:val="4"/>
        <w:keepNext w:val="0"/>
        <w:keepLines w:val="0"/>
        <w:pageBreakBefore w:val="0"/>
        <w:widowControl/>
        <w:numPr>
          <w:ilvl w:val="0"/>
          <w:numId w:val="0"/>
        </w:numPr>
        <w:kinsoku/>
        <w:wordWrap/>
        <w:overflowPunct/>
        <w:topLinePunct w:val="0"/>
        <w:bidi w:val="0"/>
        <w:snapToGrid/>
        <w:spacing w:line="560" w:lineRule="exact"/>
        <w:textAlignment w:val="auto"/>
        <w:rPr>
          <w:rStyle w:val="29"/>
          <w:rFonts w:hint="default" w:ascii="Times New Roman" w:hAnsi="Times New Roman" w:eastAsia="黑体" w:cs="Times New Roman"/>
          <w:b w:val="0"/>
          <w:bCs w:val="0"/>
        </w:rPr>
      </w:pPr>
      <w:bookmarkStart w:id="46" w:name="_Toc12570_WPSOffice_Level2"/>
      <w:bookmarkStart w:id="47" w:name="_Toc15396600"/>
      <w:bookmarkStart w:id="48" w:name="_Toc15377197"/>
      <w:r>
        <w:rPr>
          <w:rFonts w:hint="default" w:ascii="Times New Roman" w:hAnsi="Times New Roman" w:eastAsia="黑体" w:cs="Times New Roman"/>
          <w:b w:val="0"/>
          <w:bCs w:val="0"/>
          <w:kern w:val="2"/>
          <w:sz w:val="32"/>
          <w:szCs w:val="32"/>
          <w:lang w:val="en-US" w:eastAsia="zh-CN" w:bidi="ar-SA"/>
        </w:rPr>
        <w:t>一、</w:t>
      </w:r>
      <w:r>
        <w:rPr>
          <w:rStyle w:val="29"/>
          <w:rFonts w:hint="default" w:ascii="Times New Roman" w:hAnsi="Times New Roman" w:eastAsia="黑体" w:cs="Times New Roman"/>
          <w:b w:val="0"/>
          <w:bCs w:val="0"/>
        </w:rPr>
        <w:t>主要职责</w:t>
      </w:r>
      <w:bookmarkEnd w:id="46"/>
    </w:p>
    <w:p w14:paraId="29708CD7">
      <w:pPr>
        <w:keepNext w:val="0"/>
        <w:keepLines w:val="0"/>
        <w:pageBreakBefore w:val="0"/>
        <w:widowControl/>
        <w:kinsoku/>
        <w:wordWrap/>
        <w:overflowPunct/>
        <w:topLinePunct w:val="0"/>
        <w:bidi w:val="0"/>
        <w:snapToGrid/>
        <w:spacing w:line="560" w:lineRule="exact"/>
        <w:textAlignment w:val="auto"/>
        <w:rPr>
          <w:rFonts w:hint="eastAsia"/>
          <w:lang w:eastAsia="zh-CN"/>
        </w:rPr>
      </w:pPr>
      <w:r>
        <w:rPr>
          <w:rFonts w:hint="eastAsia"/>
          <w:lang w:eastAsia="zh-CN"/>
        </w:rPr>
        <w:t>格萨拉彝族乡</w:t>
      </w:r>
      <w:r>
        <w:rPr>
          <w:rFonts w:hint="eastAsia"/>
        </w:rPr>
        <w:t>党政机构具有党委和政府两种职能，党委领导政府工作。主要是政治思想和方针政策的领导，干部的选拔，考核和监督，经济和行政工作中重大问题的决策。</w:t>
      </w:r>
      <w:r>
        <w:rPr>
          <w:rFonts w:hint="eastAsia"/>
          <w:lang w:eastAsia="zh-CN"/>
        </w:rPr>
        <w:t>乡</w:t>
      </w:r>
      <w:r>
        <w:rPr>
          <w:rFonts w:hint="eastAsia"/>
        </w:rPr>
        <w:t>政府是基层国家行政机关，行使本行政区的行政职能。</w:t>
      </w:r>
    </w:p>
    <w:p w14:paraId="6BC6ECA0">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rPr>
        <w:t>党委工作职责</w:t>
      </w:r>
    </w:p>
    <w:p w14:paraId="04FD0F81">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1）</w:t>
      </w:r>
      <w:r>
        <w:rPr>
          <w:rFonts w:hint="eastAsia" w:ascii="Times New Roman" w:hAnsi="Times New Roman" w:eastAsia="仿宋_GB2312"/>
          <w:sz w:val="32"/>
          <w:szCs w:val="32"/>
        </w:rPr>
        <w:t>保证党的路线、方针、政策的坚决贯彻执行。</w:t>
      </w:r>
    </w:p>
    <w:p w14:paraId="7B93BAD7">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（2）</w:t>
      </w:r>
      <w:r>
        <w:rPr>
          <w:rFonts w:hint="eastAsia" w:ascii="Times New Roman" w:hAnsi="Times New Roman" w:eastAsia="仿宋_GB2312"/>
          <w:sz w:val="32"/>
          <w:szCs w:val="32"/>
        </w:rPr>
        <w:t>保证监督职能。</w:t>
      </w:r>
    </w:p>
    <w:p w14:paraId="0F47071A">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（3）</w:t>
      </w:r>
      <w:r>
        <w:rPr>
          <w:rFonts w:hint="eastAsia" w:ascii="Times New Roman" w:hAnsi="Times New Roman" w:eastAsia="仿宋_GB2312"/>
          <w:sz w:val="32"/>
          <w:szCs w:val="32"/>
        </w:rPr>
        <w:t>教育和管理职能。</w:t>
      </w:r>
    </w:p>
    <w:p w14:paraId="504438EB">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（4）</w:t>
      </w:r>
      <w:r>
        <w:rPr>
          <w:rFonts w:hint="eastAsia" w:ascii="Times New Roman" w:hAnsi="Times New Roman" w:eastAsia="仿宋_GB2312"/>
          <w:sz w:val="32"/>
          <w:szCs w:val="32"/>
        </w:rPr>
        <w:t>服从和服务于经济建设的职能。</w:t>
      </w:r>
    </w:p>
    <w:p w14:paraId="15395CB8">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i w:val="0"/>
          <w:iCs w:val="0"/>
          <w:sz w:val="32"/>
          <w:szCs w:val="32"/>
          <w:lang w:eastAsia="zh-CN"/>
        </w:rPr>
      </w:pPr>
      <w:r>
        <w:rPr>
          <w:rFonts w:hint="eastAsia" w:ascii="Times New Roman" w:hAnsi="Times New Roman" w:eastAsia="仿宋_GB2312"/>
          <w:b/>
          <w:bCs/>
          <w:sz w:val="32"/>
          <w:szCs w:val="32"/>
        </w:rPr>
        <w:t>（5）</w:t>
      </w:r>
      <w:r>
        <w:rPr>
          <w:rFonts w:hint="eastAsia" w:ascii="Times New Roman" w:hAnsi="Times New Roman" w:eastAsia="仿宋_GB2312"/>
          <w:sz w:val="32"/>
          <w:szCs w:val="32"/>
        </w:rPr>
        <w:t>负责抓好本</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党建工作、群团工作、精神文明建设工作、新闻宣传工作。</w:t>
      </w:r>
    </w:p>
    <w:p w14:paraId="25B758BF">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i w:val="0"/>
          <w:iCs w:val="0"/>
          <w:sz w:val="32"/>
          <w:szCs w:val="32"/>
        </w:rPr>
        <w:t>（6）</w:t>
      </w:r>
      <w:r>
        <w:rPr>
          <w:rFonts w:hint="eastAsia" w:ascii="Times New Roman" w:hAnsi="Times New Roman" w:eastAsia="仿宋_GB2312"/>
          <w:i w:val="0"/>
          <w:iCs w:val="0"/>
          <w:sz w:val="32"/>
          <w:szCs w:val="32"/>
        </w:rPr>
        <w:t>完成县委、县政府交</w:t>
      </w:r>
      <w:r>
        <w:rPr>
          <w:rFonts w:hint="eastAsia" w:ascii="Times New Roman" w:hAnsi="Times New Roman" w:eastAsia="仿宋_GB2312"/>
          <w:sz w:val="32"/>
          <w:szCs w:val="32"/>
        </w:rPr>
        <w:t>给的其他工作任务。</w:t>
      </w:r>
    </w:p>
    <w:p w14:paraId="26A8911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2.政府职能</w:t>
      </w:r>
    </w:p>
    <w:p w14:paraId="2050611C">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（1）</w:t>
      </w:r>
      <w:r>
        <w:rPr>
          <w:rFonts w:hint="eastAsia" w:ascii="Times New Roman" w:hAnsi="Times New Roman" w:eastAsia="仿宋_GB2312"/>
          <w:sz w:val="32"/>
          <w:szCs w:val="32"/>
        </w:rPr>
        <w:t>制定和组织实施经济、科技和社会发展计划，制定资源开发技术改造和产业结构调整方案，组织指导好各</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业生产，搞好商品流通，协调好本</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与外地区的经济交流与合作，抓好招商引资，人才引进项目开发，不断培育市场体系，组织经济运行，促进经济发展。</w:t>
      </w:r>
    </w:p>
    <w:p w14:paraId="19189262">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（2）</w:t>
      </w:r>
      <w:r>
        <w:rPr>
          <w:rFonts w:hint="eastAsia" w:ascii="Times New Roman" w:hAnsi="Times New Roman" w:eastAsia="仿宋_GB2312"/>
          <w:sz w:val="32"/>
          <w:szCs w:val="32"/>
        </w:rPr>
        <w:t>制定并组织实施村（社区）建设规划，部署重点工程建设，地方道路建设及公共</w:t>
      </w:r>
      <w:r>
        <w:rPr>
          <w:rFonts w:hint="eastAsia" w:ascii="Times New Roman" w:hAnsi="Times New Roman" w:eastAsia="仿宋_GB2312"/>
          <w:sz w:val="32"/>
          <w:szCs w:val="32"/>
          <w:lang w:eastAsia="zh-CN"/>
        </w:rPr>
        <w:t>基础</w:t>
      </w:r>
      <w:r>
        <w:rPr>
          <w:rFonts w:hint="eastAsia" w:ascii="Times New Roman" w:hAnsi="Times New Roman" w:eastAsia="仿宋_GB2312"/>
          <w:sz w:val="32"/>
          <w:szCs w:val="32"/>
        </w:rPr>
        <w:t>设施，水利设施的管理，负责土地、林木、水等自然资源和生态环境的保护，做好护林防火工作。</w:t>
      </w:r>
    </w:p>
    <w:p w14:paraId="5BD062DA">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（3）</w:t>
      </w:r>
      <w:r>
        <w:rPr>
          <w:rFonts w:hint="eastAsia" w:ascii="Times New Roman" w:hAnsi="Times New Roman" w:eastAsia="仿宋_GB2312"/>
          <w:sz w:val="32"/>
          <w:szCs w:val="32"/>
        </w:rPr>
        <w:t>负责本行政区域内的民政、文化教育、卫生、体育等社会公益事业的综合性工作，维护一切经济单位和个人的正当经济权益，取缔非法经济活动，调解和处理民事纠纷，</w:t>
      </w:r>
      <w:r>
        <w:rPr>
          <w:rFonts w:hint="eastAsia" w:ascii="Times New Roman" w:hAnsi="Times New Roman" w:eastAsia="仿宋_GB2312"/>
          <w:sz w:val="32"/>
          <w:szCs w:val="32"/>
          <w:lang w:eastAsia="zh-CN"/>
        </w:rPr>
        <w:t>排查化解矛盾纠纷，</w:t>
      </w:r>
      <w:r>
        <w:rPr>
          <w:rFonts w:hint="eastAsia" w:ascii="Times New Roman" w:hAnsi="Times New Roman" w:eastAsia="仿宋_GB2312"/>
          <w:sz w:val="32"/>
          <w:szCs w:val="32"/>
        </w:rPr>
        <w:t>打击刑事犯罪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维护社会稳定。</w:t>
      </w:r>
    </w:p>
    <w:p w14:paraId="766AB6FB">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（4）</w:t>
      </w:r>
      <w:r>
        <w:rPr>
          <w:rFonts w:hint="eastAsia" w:ascii="Times New Roman" w:hAnsi="Times New Roman" w:eastAsia="仿宋_GB2312"/>
          <w:sz w:val="32"/>
          <w:szCs w:val="32"/>
        </w:rPr>
        <w:t>按计划组织本级财政收入和地方税的征收，完成国家财政计划，不断培植税源，管好财政资金，增强财政实力。</w:t>
      </w:r>
    </w:p>
    <w:p w14:paraId="3679C2ED">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（5）</w:t>
      </w:r>
      <w:r>
        <w:rPr>
          <w:rFonts w:hint="eastAsia" w:ascii="Times New Roman" w:hAnsi="Times New Roman" w:eastAsia="仿宋_GB2312"/>
          <w:sz w:val="32"/>
          <w:szCs w:val="32"/>
        </w:rPr>
        <w:t>抓好精神文明建设，丰富群众文化生活，提倡移风易俗，反对封建迷信，破除陈规陋习，树立社会主义新风尚。</w:t>
      </w:r>
    </w:p>
    <w:p w14:paraId="50AAB1B0">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（6）</w:t>
      </w:r>
      <w:r>
        <w:rPr>
          <w:rFonts w:hint="eastAsia" w:ascii="Times New Roman" w:hAnsi="Times New Roman" w:eastAsia="仿宋_GB2312"/>
          <w:sz w:val="32"/>
          <w:szCs w:val="32"/>
        </w:rPr>
        <w:t>完成上级政府交办的</w:t>
      </w:r>
      <w:r>
        <w:rPr>
          <w:rFonts w:hint="eastAsia"/>
          <w:sz w:val="32"/>
          <w:szCs w:val="32"/>
          <w:lang w:eastAsia="zh-CN"/>
        </w:rPr>
        <w:t>其他</w:t>
      </w:r>
      <w:r>
        <w:rPr>
          <w:rFonts w:hint="eastAsia" w:ascii="Times New Roman" w:hAnsi="Times New Roman" w:eastAsia="仿宋_GB2312"/>
          <w:sz w:val="32"/>
          <w:szCs w:val="32"/>
        </w:rPr>
        <w:t>事项</w:t>
      </w:r>
    </w:p>
    <w:p w14:paraId="57664DBC">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49" w:name="_Toc9406_WPSOffice_Level2"/>
      <w:r>
        <w:rPr>
          <w:rFonts w:hint="eastAsia" w:ascii="Times New Roman" w:hAnsi="Times New Roman" w:eastAsia="黑体" w:cs="Times New Roman"/>
          <w:b w:val="0"/>
          <w:bCs w:val="0"/>
          <w:kern w:val="2"/>
          <w:sz w:val="32"/>
          <w:szCs w:val="32"/>
          <w:lang w:val="en-US" w:eastAsia="zh-CN" w:bidi="ar-SA"/>
        </w:rPr>
        <w:t>二、机构设置</w:t>
      </w:r>
      <w:bookmarkEnd w:id="47"/>
      <w:bookmarkEnd w:id="48"/>
      <w:bookmarkEnd w:id="49"/>
    </w:p>
    <w:p w14:paraId="11BE0D0B">
      <w:pPr>
        <w:pStyle w:val="4"/>
        <w:keepNext w:val="0"/>
        <w:keepLines w:val="0"/>
        <w:pageBreakBefore w:val="0"/>
        <w:widowControl/>
        <w:numPr>
          <w:ilvl w:val="0"/>
          <w:numId w:val="0"/>
        </w:numPr>
        <w:kinsoku/>
        <w:wordWrap/>
        <w:overflowPunct/>
        <w:topLinePunct w:val="0"/>
        <w:bidi w:val="0"/>
        <w:snapToGrid/>
        <w:spacing w:line="560" w:lineRule="exact"/>
        <w:ind w:lef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bookmarkStart w:id="50" w:name="_Toc1433"/>
      <w:r>
        <w:rPr>
          <w:rFonts w:hint="eastAsia" w:ascii="Times New Roman" w:hAnsi="Times New Roman" w:eastAsia="仿宋_GB2312" w:cs="Times New Roman"/>
          <w:b w:val="0"/>
          <w:bCs w:val="0"/>
          <w:color w:val="auto"/>
          <w:kern w:val="2"/>
          <w:sz w:val="32"/>
          <w:szCs w:val="32"/>
          <w:lang w:val="en-US" w:eastAsia="zh-CN" w:bidi="ar-SA"/>
        </w:rPr>
        <w:t>盐边县格萨拉彝族乡人民政府行政单位1个，下属事业单位单位4个，其中：参照公务员法管理的事业单位0个，其他事业单位4个，即盐边县格萨拉彝族乡便民服务中心、盐边县格萨拉彝族乡村镇建设服务中心、盐边县格萨拉彝族乡宣传文化旅游服务中心、盐边县格萨拉彝族乡农业农村服务中心。</w:t>
      </w:r>
      <w:bookmarkEnd w:id="50"/>
    </w:p>
    <w:p w14:paraId="1D1A51C3">
      <w:pPr>
        <w:keepNext w:val="0"/>
        <w:keepLines w:val="0"/>
        <w:pageBreakBefore w:val="0"/>
        <w:widowControl/>
        <w:kinsoku/>
        <w:wordWrap/>
        <w:overflowPunct/>
        <w:topLinePunct w:val="0"/>
        <w:bidi w:val="0"/>
        <w:snapToGrid/>
        <w:spacing w:line="560" w:lineRule="exact"/>
        <w:jc w:val="left"/>
        <w:textAlignment w:val="auto"/>
        <w:rPr>
          <w:rFonts w:ascii="Times New Roman" w:hAnsi="Times New Roman" w:eastAsia="仿宋"/>
          <w:kern w:val="0"/>
          <w:sz w:val="32"/>
          <w:szCs w:val="32"/>
        </w:rPr>
      </w:pPr>
      <w:r>
        <w:rPr>
          <w:rFonts w:ascii="Times New Roman" w:hAnsi="Times New Roman" w:eastAsia="仿宋"/>
          <w:sz w:val="32"/>
          <w:szCs w:val="32"/>
        </w:rPr>
        <w:br w:type="page"/>
      </w:r>
    </w:p>
    <w:p w14:paraId="62F648B3">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sz w:val="44"/>
          <w:szCs w:val="44"/>
        </w:rPr>
      </w:pPr>
      <w:bookmarkStart w:id="51" w:name="_Toc15377204"/>
      <w:bookmarkStart w:id="52" w:name="_Toc15396602"/>
      <w:bookmarkStart w:id="53" w:name="_Toc12570_WPSOffice_Level1"/>
      <w:r>
        <w:rPr>
          <w:rFonts w:hint="eastAsia" w:ascii="Times New Roman" w:hAnsi="Times New Roman" w:eastAsia="方正小标宋简体" w:cs="Times New Roman"/>
          <w:b w:val="0"/>
          <w:sz w:val="44"/>
          <w:szCs w:val="44"/>
        </w:rPr>
        <w:t>第二部分 2023年度单位决算情况说明</w:t>
      </w:r>
      <w:bookmarkEnd w:id="51"/>
      <w:bookmarkEnd w:id="52"/>
      <w:bookmarkEnd w:id="53"/>
    </w:p>
    <w:p w14:paraId="7773825D">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54" w:name="_Toc15396603"/>
      <w:bookmarkStart w:id="55" w:name="_Toc15377205"/>
      <w:bookmarkStart w:id="56" w:name="_Toc1718_WPSOffice_Level2"/>
      <w:r>
        <w:rPr>
          <w:rFonts w:hint="default" w:ascii="Times New Roman" w:hAnsi="Times New Roman" w:eastAsia="黑体" w:cs="Times New Roman"/>
          <w:b w:val="0"/>
          <w:bCs w:val="0"/>
          <w:kern w:val="2"/>
          <w:sz w:val="32"/>
          <w:szCs w:val="32"/>
          <w:lang w:val="en-US" w:eastAsia="zh-CN" w:bidi="ar-SA"/>
        </w:rPr>
        <w:t>一、</w:t>
      </w:r>
      <w:r>
        <w:rPr>
          <w:rFonts w:hint="eastAsia" w:ascii="Times New Roman" w:hAnsi="Times New Roman" w:eastAsia="黑体" w:cs="Times New Roman"/>
          <w:b w:val="0"/>
          <w:bCs w:val="0"/>
          <w:kern w:val="2"/>
          <w:sz w:val="32"/>
          <w:szCs w:val="32"/>
          <w:lang w:val="en-US" w:eastAsia="zh-CN" w:bidi="ar-SA"/>
        </w:rPr>
        <w:t>收入支出决算总体情况说明</w:t>
      </w:r>
      <w:bookmarkEnd w:id="54"/>
      <w:bookmarkEnd w:id="55"/>
      <w:bookmarkEnd w:id="56"/>
    </w:p>
    <w:p w14:paraId="5462ADE6">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_GB2312"/>
          <w:sz w:val="32"/>
          <w:szCs w:val="32"/>
        </w:rPr>
        <w:t>2023年度收、支总计均为</w:t>
      </w:r>
      <w:r>
        <w:rPr>
          <w:rFonts w:hint="eastAsia" w:ascii="Times New Roman" w:hAnsi="Times New Roman" w:eastAsia="仿宋_GB2312"/>
          <w:b/>
          <w:sz w:val="32"/>
          <w:szCs w:val="32"/>
        </w:rPr>
        <w:t>1596.5</w:t>
      </w:r>
      <w:r>
        <w:rPr>
          <w:rFonts w:hint="eastAsia" w:ascii="Times New Roman" w:hAnsi="Times New Roman" w:eastAsia="仿宋_GB2312"/>
          <w:sz w:val="32"/>
          <w:szCs w:val="32"/>
        </w:rPr>
        <w:t>万元。与2022年度</w:t>
      </w:r>
      <w:r>
        <w:rPr>
          <w:rFonts w:hint="eastAsia" w:ascii="Times New Roman" w:hAnsi="Times New Roman" w:eastAsia="仿宋_GB2312"/>
          <w:sz w:val="32"/>
          <w:szCs w:val="32"/>
          <w:lang w:val="en-US" w:eastAsia="zh-CN"/>
        </w:rPr>
        <w:t>1509.12</w:t>
      </w:r>
      <w:r>
        <w:rPr>
          <w:rFonts w:hint="eastAsia" w:ascii="Times New Roman" w:hAnsi="Times New Roman" w:eastAsia="仿宋_GB2312"/>
          <w:sz w:val="32"/>
          <w:szCs w:val="32"/>
        </w:rPr>
        <w:t>相比，收、支总计各增加</w:t>
      </w:r>
      <w:r>
        <w:rPr>
          <w:rFonts w:hint="eastAsia" w:ascii="Times New Roman" w:hAnsi="Times New Roman" w:eastAsia="仿宋_GB2312"/>
          <w:sz w:val="32"/>
          <w:szCs w:val="32"/>
          <w:lang w:val="en-US" w:eastAsia="zh-CN"/>
        </w:rPr>
        <w:t>87.38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5.79</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项目数量增加及在编职工人员变动</w:t>
      </w:r>
      <w:r>
        <w:rPr>
          <w:rFonts w:hint="eastAsia" w:ascii="Times New Roman" w:hAnsi="Times New Roman" w:eastAsia="仿宋_GB2312"/>
          <w:sz w:val="32"/>
          <w:szCs w:val="32"/>
        </w:rPr>
        <w:t>。</w:t>
      </w:r>
    </w:p>
    <w:p w14:paraId="03A346A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2336" behindDoc="0" locked="0" layoutInCell="1" allowOverlap="1">
            <wp:simplePos x="0" y="0"/>
            <wp:positionH relativeFrom="column">
              <wp:posOffset>760095</wp:posOffset>
            </wp:positionH>
            <wp:positionV relativeFrom="paragraph">
              <wp:posOffset>194310</wp:posOffset>
            </wp:positionV>
            <wp:extent cx="4138930" cy="2743200"/>
            <wp:effectExtent l="4445" t="4445" r="952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2C5E73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9ECDB9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E33F60B">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BAF6F78">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16289D9">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2265DBD2">
      <w:pPr>
        <w:keepNext w:val="0"/>
        <w:keepLines w:val="0"/>
        <w:pageBreakBefore w:val="0"/>
        <w:widowControl/>
        <w:kinsoku/>
        <w:wordWrap/>
        <w:overflowPunct/>
        <w:topLinePunct w:val="0"/>
        <w:bidi w:val="0"/>
        <w:snapToGrid/>
        <w:spacing w:line="560" w:lineRule="exact"/>
        <w:ind w:firstLine="960" w:firstLineChars="300"/>
        <w:textAlignment w:val="auto"/>
        <w:rPr>
          <w:rFonts w:hint="eastAsia" w:ascii="Times New Roman" w:hAnsi="Times New Roman" w:eastAsia="仿宋"/>
          <w:sz w:val="32"/>
          <w:szCs w:val="32"/>
        </w:rPr>
      </w:pPr>
    </w:p>
    <w:p w14:paraId="3114DD31">
      <w:pPr>
        <w:keepNext w:val="0"/>
        <w:keepLines w:val="0"/>
        <w:pageBreakBefore w:val="0"/>
        <w:widowControl/>
        <w:kinsoku/>
        <w:wordWrap/>
        <w:overflowPunct/>
        <w:topLinePunct w:val="0"/>
        <w:bidi w:val="0"/>
        <w:snapToGrid/>
        <w:spacing w:line="560" w:lineRule="exact"/>
        <w:ind w:firstLine="960" w:firstLineChars="300"/>
        <w:textAlignment w:val="auto"/>
        <w:rPr>
          <w:rFonts w:hint="eastAsia" w:ascii="Times New Roman" w:hAnsi="Times New Roman" w:eastAsia="仿宋"/>
          <w:sz w:val="32"/>
          <w:szCs w:val="32"/>
        </w:rPr>
      </w:pPr>
    </w:p>
    <w:p w14:paraId="27757618">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eastAsia="仿宋"/>
          <w:sz w:val="32"/>
          <w:szCs w:val="32"/>
          <w:lang w:val="en-US" w:eastAsia="zh-CN"/>
        </w:rPr>
        <w:t>：</w:t>
      </w:r>
      <w:r>
        <w:rPr>
          <w:rFonts w:hint="eastAsia" w:ascii="Times New Roman" w:hAnsi="Times New Roman" w:eastAsia="仿宋"/>
          <w:sz w:val="32"/>
          <w:szCs w:val="32"/>
        </w:rPr>
        <w:t>收、支决算总计变动情况图</w:t>
      </w:r>
    </w:p>
    <w:p w14:paraId="518A15D9">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57" w:name="_Toc15396604"/>
      <w:bookmarkStart w:id="58" w:name="_Toc23572_WPSOffice_Level2"/>
      <w:bookmarkStart w:id="59" w:name="_Toc15377206"/>
      <w:r>
        <w:rPr>
          <w:rFonts w:hint="default" w:ascii="Times New Roman" w:hAnsi="Times New Roman" w:eastAsia="黑体" w:cs="Times New Roman"/>
          <w:b w:val="0"/>
          <w:bCs w:val="0"/>
          <w:kern w:val="2"/>
          <w:sz w:val="32"/>
          <w:szCs w:val="32"/>
          <w:lang w:val="en-US" w:eastAsia="zh-CN" w:bidi="ar-SA"/>
        </w:rPr>
        <w:t>二、</w:t>
      </w:r>
      <w:r>
        <w:rPr>
          <w:rFonts w:hint="eastAsia" w:ascii="Times New Roman" w:hAnsi="Times New Roman" w:eastAsia="黑体" w:cs="Times New Roman"/>
          <w:b w:val="0"/>
          <w:bCs w:val="0"/>
          <w:kern w:val="2"/>
          <w:sz w:val="32"/>
          <w:szCs w:val="32"/>
          <w:lang w:val="en-US" w:eastAsia="zh-CN" w:bidi="ar-SA"/>
        </w:rPr>
        <w:t>收入决算情况说明</w:t>
      </w:r>
      <w:bookmarkEnd w:id="57"/>
      <w:bookmarkEnd w:id="58"/>
      <w:bookmarkEnd w:id="59"/>
    </w:p>
    <w:p w14:paraId="6B5A047E">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hint="eastAsia" w:ascii="Times New Roman" w:hAnsi="Times New Roman" w:eastAsia="仿宋_GB2312"/>
          <w:sz w:val="32"/>
          <w:szCs w:val="32"/>
          <w:lang w:eastAsia="zh-CN"/>
        </w:rPr>
      </w:pPr>
      <w:bookmarkStart w:id="60" w:name="_Toc18350"/>
      <w:r>
        <w:rPr>
          <w:rFonts w:hint="eastAsia" w:ascii="Times New Roman" w:hAnsi="Times New Roman" w:eastAsia="仿宋_GB2312"/>
          <w:sz w:val="32"/>
          <w:szCs w:val="32"/>
        </w:rPr>
        <w:t>2023年度本年收入合计</w:t>
      </w:r>
      <w:r>
        <w:rPr>
          <w:rFonts w:ascii="Times New Roman" w:hAnsi="Times New Roman" w:eastAsia="仿宋_GB2312"/>
          <w:b/>
          <w:sz w:val="32"/>
          <w:szCs w:val="32"/>
        </w:rPr>
        <w:t>1591.5</w:t>
      </w:r>
      <w:r>
        <w:rPr>
          <w:rFonts w:hint="eastAsia" w:ascii="Times New Roman" w:hAnsi="Times New Roman" w:eastAsia="仿宋_GB2312"/>
          <w:sz w:val="32"/>
          <w:szCs w:val="32"/>
        </w:rPr>
        <w:t>万元，其中：一般公共预算财政拨款收入</w:t>
      </w:r>
      <w:r>
        <w:rPr>
          <w:rFonts w:ascii="Times New Roman" w:hAnsi="Times New Roman" w:eastAsia="仿宋_GB2312"/>
          <w:b/>
          <w:sz w:val="32"/>
          <w:szCs w:val="32"/>
        </w:rPr>
        <w:t>1576</w:t>
      </w:r>
      <w:r>
        <w:rPr>
          <w:rFonts w:hint="eastAsia" w:ascii="Times New Roman" w:hAnsi="Times New Roman" w:eastAsia="仿宋_GB2312"/>
          <w:sz w:val="32"/>
          <w:szCs w:val="32"/>
        </w:rPr>
        <w:t>万元，占</w:t>
      </w:r>
      <w:r>
        <w:rPr>
          <w:rFonts w:ascii="Times New Roman" w:hAnsi="Times New Roman" w:eastAsia="仿宋_GB2312"/>
          <w:b/>
          <w:sz w:val="32"/>
          <w:szCs w:val="32"/>
        </w:rPr>
        <w:t>99.02%</w:t>
      </w:r>
      <w:r>
        <w:rPr>
          <w:rFonts w:hint="eastAsia" w:ascii="Times New Roman" w:hAnsi="Times New Roman" w:eastAsia="仿宋_GB2312"/>
          <w:sz w:val="32"/>
          <w:szCs w:val="32"/>
        </w:rPr>
        <w:t>；政府性基金预算财政拨款收入</w:t>
      </w:r>
      <w:r>
        <w:rPr>
          <w:rFonts w:ascii="Times New Roman" w:hAnsi="Times New Roman" w:eastAsia="仿宋_GB2312"/>
          <w:b/>
          <w:sz w:val="32"/>
          <w:szCs w:val="32"/>
        </w:rPr>
        <w:t>15.5</w:t>
      </w:r>
      <w:r>
        <w:rPr>
          <w:rFonts w:hint="eastAsia" w:ascii="Times New Roman" w:hAnsi="Times New Roman" w:eastAsia="仿宋_GB2312"/>
          <w:sz w:val="32"/>
          <w:szCs w:val="32"/>
        </w:rPr>
        <w:t>万元，占</w:t>
      </w:r>
      <w:r>
        <w:rPr>
          <w:rFonts w:ascii="Times New Roman" w:hAnsi="Times New Roman" w:eastAsia="仿宋_GB2312"/>
          <w:b/>
          <w:sz w:val="32"/>
          <w:szCs w:val="32"/>
        </w:rPr>
        <w:t>0.9</w:t>
      </w:r>
      <w:r>
        <w:rPr>
          <w:rFonts w:hint="eastAsia" w:ascii="Times New Roman" w:hAnsi="Times New Roman" w:eastAsia="仿宋_GB2312"/>
          <w:b/>
          <w:sz w:val="32"/>
          <w:szCs w:val="32"/>
          <w:lang w:val="en-US" w:eastAsia="zh-CN"/>
        </w:rPr>
        <w:t>8</w:t>
      </w:r>
      <w:r>
        <w:rPr>
          <w:rFonts w:ascii="Times New Roman" w:hAnsi="Times New Roman" w:eastAsia="仿宋_GB2312"/>
          <w:sz w:val="32"/>
          <w:szCs w:val="32"/>
        </w:rPr>
        <w:t>%</w:t>
      </w:r>
      <w:bookmarkEnd w:id="60"/>
      <w:r>
        <w:rPr>
          <w:rFonts w:hint="eastAsia"/>
          <w:sz w:val="32"/>
          <w:szCs w:val="32"/>
          <w:lang w:eastAsia="zh-CN"/>
        </w:rPr>
        <w:t>。</w:t>
      </w:r>
    </w:p>
    <w:p w14:paraId="2B6EDA1A">
      <w:pPr>
        <w:keepNext w:val="0"/>
        <w:keepLines w:val="0"/>
        <w:pageBreakBefore w:val="0"/>
        <w:widowControl/>
        <w:kinsoku/>
        <w:wordWrap/>
        <w:overflowPunct/>
        <w:topLinePunct w:val="0"/>
        <w:bidi w:val="0"/>
        <w:snapToGrid/>
        <w:spacing w:line="560" w:lineRule="exact"/>
        <w:ind w:firstLine="643" w:firstLineChars="200"/>
        <w:textAlignment w:val="auto"/>
        <w:outlineLvl w:val="9"/>
        <w:rPr>
          <w:rFonts w:ascii="Times New Roman" w:hAnsi="Times New Roman" w:eastAsia="仿宋"/>
          <w:b/>
          <w:sz w:val="32"/>
          <w:szCs w:val="32"/>
        </w:rPr>
      </w:pPr>
    </w:p>
    <w:p w14:paraId="52C11C8A">
      <w:pPr>
        <w:keepNext w:val="0"/>
        <w:keepLines w:val="0"/>
        <w:pageBreakBefore w:val="0"/>
        <w:widowControl/>
        <w:kinsoku/>
        <w:wordWrap/>
        <w:overflowPunct/>
        <w:topLinePunct w:val="0"/>
        <w:bidi w:val="0"/>
        <w:snapToGrid/>
        <w:spacing w:line="560" w:lineRule="exact"/>
        <w:ind w:firstLine="640" w:firstLineChars="200"/>
        <w:textAlignment w:val="auto"/>
        <w:outlineLvl w:val="9"/>
        <w:rPr>
          <w:rFonts w:ascii="Times New Roman" w:hAnsi="Times New Roman" w:eastAsia="仿宋"/>
          <w:sz w:val="32"/>
          <w:szCs w:val="32"/>
        </w:rPr>
      </w:pPr>
    </w:p>
    <w:p w14:paraId="36533D9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drawing>
          <wp:anchor distT="0" distB="0" distL="114300" distR="114300" simplePos="0" relativeHeight="251660288" behindDoc="0" locked="0" layoutInCell="1" allowOverlap="1">
            <wp:simplePos x="0" y="0"/>
            <wp:positionH relativeFrom="column">
              <wp:posOffset>594360</wp:posOffset>
            </wp:positionH>
            <wp:positionV relativeFrom="paragraph">
              <wp:posOffset>-614680</wp:posOffset>
            </wp:positionV>
            <wp:extent cx="3860800" cy="2124710"/>
            <wp:effectExtent l="4445" t="4445" r="20955" b="234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5904B97">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31FFBDDB">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54147F72">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61463791">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图2</w:t>
      </w:r>
      <w:r>
        <w:rPr>
          <w:rFonts w:hint="eastAsia" w:eastAsia="仿宋"/>
          <w:sz w:val="32"/>
          <w:szCs w:val="32"/>
          <w:lang w:val="en-US" w:eastAsia="zh-CN"/>
        </w:rPr>
        <w:t>：</w:t>
      </w:r>
      <w:r>
        <w:rPr>
          <w:rFonts w:hint="eastAsia" w:ascii="Times New Roman" w:hAnsi="Times New Roman" w:eastAsia="仿宋"/>
          <w:sz w:val="32"/>
          <w:szCs w:val="32"/>
        </w:rPr>
        <w:t>收入决算结构图</w:t>
      </w:r>
    </w:p>
    <w:p w14:paraId="78439BE5">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1" w:name="_Toc5211_WPSOffice_Level2"/>
      <w:bookmarkStart w:id="62" w:name="_Toc15396605"/>
      <w:bookmarkStart w:id="63" w:name="_Toc15377207"/>
      <w:r>
        <w:rPr>
          <w:rFonts w:hint="default" w:ascii="Times New Roman" w:hAnsi="Times New Roman" w:eastAsia="黑体" w:cs="Times New Roman"/>
          <w:b w:val="0"/>
          <w:bCs w:val="0"/>
          <w:kern w:val="2"/>
          <w:sz w:val="32"/>
          <w:szCs w:val="32"/>
          <w:lang w:val="en-US" w:eastAsia="zh-CN" w:bidi="ar-SA"/>
        </w:rPr>
        <w:t>三、</w:t>
      </w:r>
      <w:r>
        <w:rPr>
          <w:rFonts w:hint="eastAsia" w:ascii="Times New Roman" w:hAnsi="Times New Roman" w:eastAsia="黑体" w:cs="Times New Roman"/>
          <w:b w:val="0"/>
          <w:bCs w:val="0"/>
          <w:kern w:val="2"/>
          <w:sz w:val="32"/>
          <w:szCs w:val="32"/>
          <w:lang w:val="en-US" w:eastAsia="zh-CN" w:bidi="ar-SA"/>
        </w:rPr>
        <w:t>支出决算情况说明</w:t>
      </w:r>
      <w:bookmarkEnd w:id="61"/>
      <w:bookmarkEnd w:id="62"/>
      <w:bookmarkEnd w:id="63"/>
    </w:p>
    <w:p w14:paraId="67FAA8C5">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ascii="Times New Roman" w:hAnsi="Times New Roman" w:eastAsia="仿宋_GB2312"/>
          <w:sz w:val="32"/>
          <w:szCs w:val="32"/>
        </w:rPr>
      </w:pPr>
      <w:bookmarkStart w:id="64" w:name="_Toc12479"/>
      <w:r>
        <w:rPr>
          <w:rFonts w:hint="eastAsia" w:ascii="Times New Roman" w:hAnsi="Times New Roman" w:eastAsia="仿宋_GB2312"/>
          <w:sz w:val="32"/>
          <w:szCs w:val="32"/>
        </w:rPr>
        <w:t>2023年度本年支出合计</w:t>
      </w:r>
      <w:r>
        <w:rPr>
          <w:rFonts w:ascii="Times New Roman" w:hAnsi="Times New Roman" w:eastAsia="仿宋_GB2312"/>
          <w:b/>
          <w:sz w:val="32"/>
          <w:szCs w:val="32"/>
        </w:rPr>
        <w:t>1591.5</w:t>
      </w:r>
      <w:r>
        <w:rPr>
          <w:rFonts w:hint="eastAsia" w:ascii="Times New Roman" w:hAnsi="Times New Roman" w:eastAsia="仿宋_GB2312"/>
          <w:sz w:val="32"/>
          <w:szCs w:val="32"/>
        </w:rPr>
        <w:t>万元，其中：基本支出</w:t>
      </w:r>
      <w:r>
        <w:rPr>
          <w:rFonts w:ascii="Times New Roman" w:hAnsi="Times New Roman" w:eastAsia="仿宋_GB2312"/>
          <w:b/>
          <w:sz w:val="32"/>
          <w:szCs w:val="32"/>
        </w:rPr>
        <w:t>1200.83</w:t>
      </w:r>
      <w:r>
        <w:rPr>
          <w:rFonts w:hint="eastAsia" w:ascii="Times New Roman" w:hAnsi="Times New Roman" w:eastAsia="仿宋_GB2312"/>
          <w:sz w:val="32"/>
          <w:szCs w:val="32"/>
        </w:rPr>
        <w:t>万元，占</w:t>
      </w:r>
      <w:r>
        <w:rPr>
          <w:rFonts w:ascii="Times New Roman" w:hAnsi="Times New Roman" w:eastAsia="仿宋_GB2312"/>
          <w:b/>
          <w:sz w:val="32"/>
          <w:szCs w:val="32"/>
        </w:rPr>
        <w:t>75.4</w:t>
      </w:r>
      <w:r>
        <w:rPr>
          <w:rFonts w:hint="eastAsia" w:ascii="Times New Roman" w:hAnsi="Times New Roman" w:eastAsia="仿宋_GB2312"/>
          <w:b/>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rPr>
        <w:t>；项目支出</w:t>
      </w:r>
      <w:r>
        <w:rPr>
          <w:rFonts w:ascii="Times New Roman" w:hAnsi="Times New Roman" w:eastAsia="仿宋_GB2312"/>
          <w:b/>
          <w:sz w:val="32"/>
          <w:szCs w:val="32"/>
        </w:rPr>
        <w:t>390.67</w:t>
      </w:r>
      <w:r>
        <w:rPr>
          <w:rFonts w:hint="eastAsia" w:ascii="Times New Roman" w:hAnsi="Times New Roman" w:eastAsia="仿宋_GB2312"/>
          <w:sz w:val="32"/>
          <w:szCs w:val="32"/>
        </w:rPr>
        <w:t>万元，占</w:t>
      </w:r>
      <w:r>
        <w:rPr>
          <w:rFonts w:ascii="Times New Roman" w:hAnsi="Times New Roman" w:eastAsia="仿宋_GB2312"/>
          <w:b/>
          <w:sz w:val="32"/>
          <w:szCs w:val="32"/>
        </w:rPr>
        <w:t>24.54</w:t>
      </w:r>
      <w:r>
        <w:rPr>
          <w:rFonts w:ascii="Times New Roman" w:hAnsi="Times New Roman" w:eastAsia="仿宋_GB2312"/>
          <w:sz w:val="32"/>
          <w:szCs w:val="32"/>
        </w:rPr>
        <w:t>%</w:t>
      </w:r>
      <w:r>
        <w:rPr>
          <w:rFonts w:hint="eastAsia" w:ascii="Times New Roman" w:hAnsi="Times New Roman" w:eastAsia="仿宋_GB2312"/>
          <w:sz w:val="32"/>
          <w:szCs w:val="32"/>
        </w:rPr>
        <w:t>。</w:t>
      </w:r>
      <w:bookmarkEnd w:id="64"/>
    </w:p>
    <w:p w14:paraId="3EBA00F0">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
          <w:sz w:val="32"/>
          <w:szCs w:val="32"/>
          <w:shd w:val="pct10" w:color="auto" w:fill="FFFFFF"/>
          <w:lang w:eastAsia="zh-CN"/>
        </w:rPr>
      </w:pPr>
      <w:r>
        <w:rPr>
          <w:rFonts w:hint="eastAsia" w:ascii="Times New Roman" w:hAnsi="Times New Roman"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832485</wp:posOffset>
            </wp:positionH>
            <wp:positionV relativeFrom="paragraph">
              <wp:posOffset>118745</wp:posOffset>
            </wp:positionV>
            <wp:extent cx="3879850" cy="2258060"/>
            <wp:effectExtent l="4445" t="4445" r="20955" b="234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C991AD0">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309D3E68">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154EB5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4742C5D">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45C1A457">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45859901">
      <w:pPr>
        <w:pStyle w:val="2"/>
        <w:rPr>
          <w:rFonts w:hint="eastAsia"/>
        </w:rPr>
      </w:pPr>
    </w:p>
    <w:p w14:paraId="415555C7">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图3：支出决算结构图</w:t>
      </w:r>
    </w:p>
    <w:p w14:paraId="20206BCA">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5" w:name="_Toc15377208"/>
      <w:bookmarkStart w:id="66" w:name="_Toc15396606"/>
      <w:bookmarkStart w:id="67" w:name="_Toc976_WPSOffice_Level2"/>
      <w:r>
        <w:rPr>
          <w:rFonts w:hint="eastAsia" w:ascii="Times New Roman" w:hAnsi="Times New Roman" w:eastAsia="黑体" w:cs="Times New Roman"/>
          <w:b w:val="0"/>
          <w:bCs w:val="0"/>
          <w:kern w:val="2"/>
          <w:sz w:val="32"/>
          <w:szCs w:val="32"/>
          <w:lang w:val="en-US" w:eastAsia="zh-CN" w:bidi="ar-SA"/>
        </w:rPr>
        <w:t>四、财政拨款收入支出决算总体情况说明</w:t>
      </w:r>
      <w:bookmarkEnd w:id="65"/>
      <w:bookmarkEnd w:id="66"/>
      <w:bookmarkEnd w:id="67"/>
    </w:p>
    <w:p w14:paraId="19C23FAF">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2023年度财政拨款收、支总计均为</w:t>
      </w:r>
      <w:r>
        <w:rPr>
          <w:rFonts w:ascii="Times New Roman" w:hAnsi="Times New Roman" w:eastAsia="仿宋_GB2312"/>
          <w:b/>
          <w:sz w:val="32"/>
          <w:szCs w:val="32"/>
        </w:rPr>
        <w:t>1591.5</w:t>
      </w:r>
      <w:r>
        <w:rPr>
          <w:rFonts w:hint="eastAsia" w:ascii="Times New Roman" w:hAnsi="Times New Roman" w:eastAsia="仿宋_GB2312"/>
          <w:sz w:val="32"/>
          <w:szCs w:val="32"/>
        </w:rPr>
        <w:t>万元。与2022年度相比，财政拨款收、支总计各增加</w:t>
      </w:r>
      <w:r>
        <w:rPr>
          <w:rFonts w:hint="eastAsia" w:ascii="Times New Roman" w:hAnsi="Times New Roman" w:eastAsia="仿宋_GB2312"/>
          <w:sz w:val="32"/>
          <w:szCs w:val="32"/>
          <w:lang w:val="en-US" w:eastAsia="zh-CN"/>
        </w:rPr>
        <w:t>82.38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5.45</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项目数量增加及在编职工人员变动</w:t>
      </w:r>
      <w:r>
        <w:rPr>
          <w:rFonts w:hint="eastAsia" w:ascii="Times New Roman" w:hAnsi="Times New Roman" w:eastAsia="仿宋_GB2312"/>
          <w:sz w:val="32"/>
          <w:szCs w:val="32"/>
        </w:rPr>
        <w:t>。</w:t>
      </w:r>
    </w:p>
    <w:p w14:paraId="13096C90">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3360" behindDoc="0" locked="0" layoutInCell="1" allowOverlap="1">
            <wp:simplePos x="0" y="0"/>
            <wp:positionH relativeFrom="column">
              <wp:posOffset>456565</wp:posOffset>
            </wp:positionH>
            <wp:positionV relativeFrom="paragraph">
              <wp:posOffset>147955</wp:posOffset>
            </wp:positionV>
            <wp:extent cx="4631690" cy="2952750"/>
            <wp:effectExtent l="4445" t="4445" r="1206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449ABA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C4046F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454B81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71CBD33">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CF1BE3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D45B622">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F74A4D3">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0DCE461">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77DF8D2B">
      <w:pPr>
        <w:keepNext w:val="0"/>
        <w:keepLines w:val="0"/>
        <w:pageBreakBefore w:val="0"/>
        <w:widowControl/>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图4：财政拨款收、支决算总计变动情况</w:t>
      </w:r>
    </w:p>
    <w:p w14:paraId="2B60E44E">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8" w:name="_Toc26688_WPSOffice_Level2"/>
      <w:bookmarkStart w:id="69" w:name="_Toc15396607"/>
      <w:bookmarkStart w:id="70" w:name="_Toc15377209"/>
      <w:r>
        <w:rPr>
          <w:rFonts w:hint="eastAsia" w:ascii="Times New Roman" w:hAnsi="Times New Roman" w:eastAsia="黑体" w:cs="Times New Roman"/>
          <w:b w:val="0"/>
          <w:bCs w:val="0"/>
          <w:kern w:val="2"/>
          <w:sz w:val="32"/>
          <w:szCs w:val="32"/>
          <w:lang w:val="en-US" w:eastAsia="zh-CN" w:bidi="ar-SA"/>
        </w:rPr>
        <w:t>五、一般公共预算财政拨款支出决算情况说明</w:t>
      </w:r>
      <w:bookmarkEnd w:id="68"/>
      <w:bookmarkEnd w:id="69"/>
      <w:bookmarkEnd w:id="70"/>
    </w:p>
    <w:p w14:paraId="6FC8C44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1" w:name="_Toc15377210"/>
      <w:r>
        <w:rPr>
          <w:rFonts w:hint="eastAsia" w:ascii="Times New Roman" w:hAnsi="Times New Roman" w:eastAsia="楷体" w:cs="Times New Roman"/>
          <w:b/>
          <w:bCs/>
          <w:sz w:val="32"/>
          <w:szCs w:val="32"/>
          <w:lang w:val="en-US" w:eastAsia="zh-CN"/>
        </w:rPr>
        <w:t>（一）一般公共预算财政拨款支出决算总体情况</w:t>
      </w:r>
      <w:bookmarkEnd w:id="71"/>
    </w:p>
    <w:p w14:paraId="1D758C1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2023年度一般公共预算财政拨款支出</w:t>
      </w:r>
      <w:r>
        <w:rPr>
          <w:rFonts w:ascii="Times New Roman" w:hAnsi="Times New Roman" w:eastAsia="仿宋_GB2312"/>
          <w:b/>
          <w:sz w:val="32"/>
          <w:szCs w:val="32"/>
        </w:rPr>
        <w:t>1576</w:t>
      </w:r>
      <w:r>
        <w:rPr>
          <w:rFonts w:hint="eastAsia" w:ascii="Times New Roman" w:hAnsi="Times New Roman" w:eastAsia="仿宋_GB2312"/>
          <w:sz w:val="32"/>
          <w:szCs w:val="32"/>
        </w:rPr>
        <w:t>万元，占本年支出合计的</w:t>
      </w:r>
      <w:r>
        <w:rPr>
          <w:rFonts w:ascii="Times New Roman" w:hAnsi="Times New Roman" w:eastAsia="仿宋_GB2312"/>
          <w:b/>
          <w:sz w:val="32"/>
          <w:szCs w:val="32"/>
        </w:rPr>
        <w:t>99.02</w:t>
      </w:r>
      <w:r>
        <w:rPr>
          <w:rFonts w:ascii="Times New Roman" w:hAnsi="Times New Roman" w:eastAsia="仿宋_GB2312"/>
          <w:sz w:val="32"/>
          <w:szCs w:val="32"/>
        </w:rPr>
        <w:t>%</w:t>
      </w:r>
      <w:r>
        <w:rPr>
          <w:rFonts w:hint="eastAsia" w:ascii="Times New Roman" w:hAnsi="Times New Roman" w:eastAsia="仿宋_GB2312"/>
          <w:sz w:val="32"/>
          <w:szCs w:val="32"/>
        </w:rPr>
        <w:t>。与2022年度相比，一般公共预算财政拨款支出增加</w:t>
      </w:r>
      <w:r>
        <w:rPr>
          <w:rFonts w:hint="eastAsia" w:ascii="Times New Roman" w:hAnsi="Times New Roman" w:eastAsia="仿宋_GB2312"/>
          <w:sz w:val="32"/>
          <w:szCs w:val="32"/>
          <w:lang w:val="en-US" w:eastAsia="zh-CN"/>
        </w:rPr>
        <w:t>66.88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4.43</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项目数量增加及人员变动。</w:t>
      </w:r>
    </w:p>
    <w:p w14:paraId="270DD1C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0FE0F10">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790AF14">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drawing>
          <wp:anchor distT="0" distB="0" distL="114300" distR="114300" simplePos="0" relativeHeight="251664384" behindDoc="0" locked="0" layoutInCell="1" allowOverlap="1">
            <wp:simplePos x="0" y="0"/>
            <wp:positionH relativeFrom="column">
              <wp:posOffset>761365</wp:posOffset>
            </wp:positionH>
            <wp:positionV relativeFrom="paragraph">
              <wp:posOffset>-528955</wp:posOffset>
            </wp:positionV>
            <wp:extent cx="3804920" cy="1734820"/>
            <wp:effectExtent l="4445" t="4445" r="19685" b="1333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B733E0E">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55947C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CE10594">
      <w:pPr>
        <w:keepNext w:val="0"/>
        <w:keepLines w:val="0"/>
        <w:pageBreakBefore w:val="0"/>
        <w:widowControl/>
        <w:kinsoku/>
        <w:wordWrap/>
        <w:overflowPunct/>
        <w:topLinePunct w:val="0"/>
        <w:autoSpaceDE/>
        <w:autoSpaceDN/>
        <w:bidi w:val="0"/>
        <w:adjustRightInd/>
        <w:snapToGrid/>
        <w:spacing w:before="313" w:beforeLines="10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图5：一般公共预算财政拨款支出决算变动情况</w:t>
      </w:r>
    </w:p>
    <w:p w14:paraId="09E54A4F">
      <w:pPr>
        <w:keepNext w:val="0"/>
        <w:keepLines w:val="0"/>
        <w:pageBreakBefore w:val="0"/>
        <w:widowControl/>
        <w:numPr>
          <w:ilvl w:val="0"/>
          <w:numId w:val="0"/>
        </w:numPr>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2" w:name="_Toc15377211"/>
      <w:r>
        <w:rPr>
          <w:rFonts w:hint="eastAsia" w:ascii="Times New Roman" w:hAnsi="Times New Roman" w:eastAsia="楷体" w:cs="Times New Roman"/>
          <w:b/>
          <w:bCs/>
          <w:sz w:val="32"/>
          <w:szCs w:val="32"/>
          <w:lang w:val="en-US" w:eastAsia="zh-CN"/>
        </w:rPr>
        <w:t>（二）一般公共预算财政拨款支出决算结构情况</w:t>
      </w:r>
      <w:bookmarkEnd w:id="72"/>
    </w:p>
    <w:p w14:paraId="75D336B0">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2023年度一般公共预算财政拨款支出</w:t>
      </w:r>
      <w:r>
        <w:rPr>
          <w:rFonts w:ascii="Times New Roman" w:hAnsi="Times New Roman" w:eastAsia="仿宋_GB2312"/>
          <w:b w:val="0"/>
          <w:bCs w:val="0"/>
          <w:sz w:val="32"/>
          <w:szCs w:val="32"/>
        </w:rPr>
        <w:t>1576</w:t>
      </w:r>
      <w:r>
        <w:rPr>
          <w:rFonts w:hint="eastAsia" w:ascii="Times New Roman" w:hAnsi="Times New Roman" w:eastAsia="仿宋_GB2312"/>
          <w:b w:val="0"/>
          <w:bCs w:val="0"/>
          <w:sz w:val="32"/>
          <w:szCs w:val="32"/>
        </w:rPr>
        <w:t>万元，主要用于以下方面</w:t>
      </w:r>
      <w:r>
        <w:rPr>
          <w:rFonts w:hint="eastAsia"/>
          <w:b w:val="0"/>
          <w:bCs w:val="0"/>
          <w:sz w:val="32"/>
          <w:szCs w:val="32"/>
          <w:lang w:eastAsia="zh-CN"/>
        </w:rPr>
        <w:t>：</w:t>
      </w:r>
      <w:r>
        <w:rPr>
          <w:rFonts w:hint="eastAsia" w:ascii="Times New Roman" w:hAnsi="Times New Roman" w:eastAsia="仿宋_GB2312"/>
          <w:b w:val="0"/>
          <w:bCs w:val="0"/>
          <w:sz w:val="32"/>
          <w:szCs w:val="32"/>
        </w:rPr>
        <w:t>一般公共服务支出</w:t>
      </w:r>
      <w:r>
        <w:rPr>
          <w:rFonts w:hint="eastAsia" w:ascii="Times New Roman" w:hAnsi="Times New Roman" w:eastAsia="仿宋_GB2312"/>
          <w:b w:val="0"/>
          <w:bCs w:val="0"/>
          <w:sz w:val="32"/>
          <w:szCs w:val="32"/>
          <w:lang w:val="en-US" w:eastAsia="zh-CN"/>
        </w:rPr>
        <w:t>622.37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39.49</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文化旅游体育与传媒支出</w:t>
      </w:r>
      <w:r>
        <w:rPr>
          <w:rFonts w:hint="eastAsia" w:ascii="Times New Roman" w:hAnsi="Times New Roman" w:eastAsia="仿宋_GB2312"/>
          <w:b w:val="0"/>
          <w:bCs w:val="0"/>
          <w:sz w:val="32"/>
          <w:szCs w:val="32"/>
          <w:lang w:val="en-US" w:eastAsia="zh-CN"/>
        </w:rPr>
        <w:t>49.27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3.12</w:t>
      </w:r>
      <w:r>
        <w:rPr>
          <w:rFonts w:hint="eastAsia" w:ascii="Times New Roman" w:hAnsi="Times New Roman" w:eastAsia="仿宋_GB2312"/>
          <w:b w:val="0"/>
          <w:bCs w:val="0"/>
          <w:sz w:val="32"/>
          <w:szCs w:val="32"/>
        </w:rPr>
        <w:t>%；社会保障和就业支出</w:t>
      </w:r>
      <w:r>
        <w:rPr>
          <w:rFonts w:hint="eastAsia" w:ascii="Times New Roman" w:hAnsi="Times New Roman" w:eastAsia="仿宋_GB2312"/>
          <w:b w:val="0"/>
          <w:bCs w:val="0"/>
          <w:sz w:val="32"/>
          <w:szCs w:val="32"/>
          <w:lang w:val="en-US" w:eastAsia="zh-CN"/>
        </w:rPr>
        <w:t>299.68</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19.01</w:t>
      </w:r>
      <w:r>
        <w:rPr>
          <w:rFonts w:hint="eastAsia" w:ascii="Times New Roman" w:hAnsi="Times New Roman" w:eastAsia="仿宋_GB2312"/>
          <w:b w:val="0"/>
          <w:bCs w:val="0"/>
          <w:sz w:val="32"/>
          <w:szCs w:val="32"/>
        </w:rPr>
        <w:t>%；卫生健康支出</w:t>
      </w:r>
      <w:r>
        <w:rPr>
          <w:rFonts w:hint="eastAsia" w:ascii="Times New Roman" w:hAnsi="Times New Roman" w:eastAsia="仿宋_GB2312"/>
          <w:b w:val="0"/>
          <w:bCs w:val="0"/>
          <w:sz w:val="32"/>
          <w:szCs w:val="32"/>
          <w:lang w:val="en-US" w:eastAsia="zh-CN"/>
        </w:rPr>
        <w:t>84</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5.32</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农林水支出</w:t>
      </w:r>
      <w:r>
        <w:rPr>
          <w:rFonts w:hint="eastAsia" w:ascii="Times New Roman" w:hAnsi="Times New Roman" w:eastAsia="仿宋_GB2312"/>
          <w:b w:val="0"/>
          <w:bCs w:val="0"/>
          <w:sz w:val="32"/>
          <w:szCs w:val="32"/>
          <w:lang w:val="en-US" w:eastAsia="zh-CN"/>
        </w:rPr>
        <w:t>422.93万元，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26.84</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自然资源海洋气象等支出20.00万元，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1.27</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住房保障支出</w:t>
      </w:r>
      <w:r>
        <w:rPr>
          <w:rFonts w:hint="eastAsia" w:ascii="Times New Roman" w:hAnsi="Times New Roman" w:eastAsia="仿宋_GB2312"/>
          <w:b w:val="0"/>
          <w:bCs w:val="0"/>
          <w:sz w:val="32"/>
          <w:szCs w:val="32"/>
          <w:lang w:val="en-US" w:eastAsia="zh-CN"/>
        </w:rPr>
        <w:t>65.57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4.15</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灾害防治及应急管理支出</w:t>
      </w:r>
      <w:r>
        <w:rPr>
          <w:rFonts w:hint="eastAsia" w:ascii="Times New Roman" w:hAnsi="Times New Roman" w:eastAsia="仿宋_GB2312"/>
          <w:b w:val="0"/>
          <w:bCs w:val="0"/>
          <w:sz w:val="32"/>
          <w:szCs w:val="32"/>
          <w:lang w:val="en-US" w:eastAsia="zh-CN"/>
        </w:rPr>
        <w:t>12.18万元，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0.8</w:t>
      </w:r>
      <w:r>
        <w:rPr>
          <w:rFonts w:hint="eastAsia" w:ascii="Times New Roman" w:hAnsi="Times New Roman" w:eastAsia="仿宋_GB2312"/>
          <w:b w:val="0"/>
          <w:bCs w:val="0"/>
          <w:sz w:val="32"/>
          <w:szCs w:val="32"/>
        </w:rPr>
        <w:t>%。</w:t>
      </w:r>
    </w:p>
    <w:p w14:paraId="1DB8CBF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b w:val="0"/>
          <w:bCs w:val="0"/>
          <w:lang w:val="en-US" w:eastAsia="zh-CN"/>
        </w:rPr>
        <w:pict>
          <v:shape id="_x0000_s1027" o:spid="_x0000_s1027" o:spt="75" type="#_x0000_t75" style="position:absolute;left:0pt;margin-left:66.85pt;margin-top:5.1pt;height:144.8pt;width:302.9pt;mso-wrap-distance-bottom:0pt;mso-wrap-distance-top:0pt;z-index:251665408;mso-width-relative:page;mso-height-relative:page;" o:ole="t" filled="f" o:preferrelative="t" stroked="f" coordsize="21600,21600">
            <v:path/>
            <v:fill on="f" focussize="0,0"/>
            <v:stroke on="f"/>
            <v:imagedata r:id="rId16" o:title=""/>
            <o:lock v:ext="edit" aspectratio="t"/>
            <w10:wrap type="topAndBottom"/>
          </v:shape>
          <o:OLEObject Type="Embed" ProgID="Excel.Chart.8" ShapeID="_x0000_s1027" DrawAspect="Content" ObjectID="_1468075725" r:id="rId15">
            <o:LockedField>false</o:LockedField>
          </o:OLEObject>
        </w:pict>
      </w:r>
      <w:r>
        <w:rPr>
          <w:rFonts w:hint="eastAsia" w:ascii="Times New Roman" w:hAnsi="Times New Roman" w:eastAsia="仿宋"/>
          <w:sz w:val="32"/>
          <w:szCs w:val="32"/>
        </w:rPr>
        <w:t>图6：一般公共预算财政拨款支出决算结构</w:t>
      </w:r>
    </w:p>
    <w:p w14:paraId="4660DCBA">
      <w:pPr>
        <w:pStyle w:val="2"/>
        <w:keepNext w:val="0"/>
        <w:keepLines w:val="0"/>
        <w:pageBreakBefore w:val="0"/>
        <w:widowControl/>
        <w:kinsoku/>
        <w:wordWrap/>
        <w:overflowPunct/>
        <w:topLinePunct w:val="0"/>
        <w:bidi w:val="0"/>
        <w:snapToGrid/>
        <w:spacing w:line="560" w:lineRule="exact"/>
        <w:textAlignment w:val="auto"/>
        <w:rPr>
          <w:rFonts w:ascii="Times New Roman" w:hAnsi="Times New Roman"/>
        </w:rPr>
      </w:pPr>
    </w:p>
    <w:p w14:paraId="6D9284E7">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3" w:name="_Toc15377212"/>
      <w:r>
        <w:rPr>
          <w:rFonts w:hint="eastAsia" w:ascii="Times New Roman" w:hAnsi="Times New Roman" w:eastAsia="楷体" w:cs="Times New Roman"/>
          <w:b/>
          <w:bCs/>
          <w:sz w:val="32"/>
          <w:szCs w:val="32"/>
          <w:lang w:val="en-US" w:eastAsia="zh-CN"/>
        </w:rPr>
        <w:t>（三）一般公共预算财政拨款支出决算具体情况</w:t>
      </w:r>
      <w:bookmarkEnd w:id="73"/>
    </w:p>
    <w:p w14:paraId="1989DCC5">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hint="eastAsia" w:ascii="Times New Roman" w:hAnsi="Times New Roman" w:eastAsia="仿宋_GB2312" w:cs="仿宋_GB2312"/>
          <w:b w:val="0"/>
          <w:bCs/>
          <w:sz w:val="32"/>
          <w:szCs w:val="32"/>
          <w:lang w:eastAsia="zh-CN"/>
        </w:rPr>
      </w:pPr>
      <w:bookmarkStart w:id="74" w:name="_Toc15377444"/>
      <w:bookmarkStart w:id="75" w:name="_Toc15377213"/>
      <w:bookmarkStart w:id="76" w:name="_Toc15378460"/>
      <w:bookmarkStart w:id="77" w:name="_Toc27718"/>
      <w:bookmarkStart w:id="78" w:name="_Toc15377214"/>
      <w:bookmarkStart w:id="79" w:name="_Toc15396608"/>
      <w:r>
        <w:rPr>
          <w:rFonts w:hint="eastAsia" w:ascii="Times New Roman" w:hAnsi="Times New Roman" w:eastAsia="仿宋_GB2312" w:cs="仿宋_GB2312"/>
          <w:b w:val="0"/>
          <w:bCs/>
          <w:sz w:val="32"/>
          <w:szCs w:val="32"/>
        </w:rPr>
        <w:t>2023年度一般公共预算支出决算数为1576</w:t>
      </w:r>
      <w:r>
        <w:rPr>
          <w:rFonts w:hint="eastAsia" w:ascii="Times New Roman" w:hAnsi="Times New Roman" w:cs="仿宋_GB2312"/>
          <w:b w:val="0"/>
          <w:bCs/>
          <w:sz w:val="32"/>
          <w:szCs w:val="32"/>
          <w:lang w:eastAsia="zh-CN"/>
        </w:rPr>
        <w:t>万元</w:t>
      </w:r>
      <w:r>
        <w:rPr>
          <w:rFonts w:hint="eastAsia" w:ascii="Times New Roman" w:hAnsi="Times New Roman" w:eastAsia="仿宋_GB2312" w:cs="仿宋_GB2312"/>
          <w:b w:val="0"/>
          <w:bCs/>
          <w:sz w:val="32"/>
          <w:szCs w:val="32"/>
        </w:rPr>
        <w:t>，</w:t>
      </w:r>
      <w:r>
        <w:rPr>
          <w:rStyle w:val="17"/>
          <w:rFonts w:hint="eastAsia" w:ascii="Times New Roman" w:hAnsi="Times New Roman" w:eastAsia="仿宋_GB2312" w:cs="仿宋_GB2312"/>
          <w:b w:val="0"/>
          <w:bCs/>
          <w:sz w:val="32"/>
          <w:szCs w:val="32"/>
        </w:rPr>
        <w:t>完成预算</w:t>
      </w:r>
      <w:r>
        <w:rPr>
          <w:rStyle w:val="17"/>
          <w:rFonts w:hint="eastAsia" w:ascii="Times New Roman" w:hAnsi="Times New Roman" w:eastAsia="仿宋_GB2312" w:cs="仿宋_GB2312"/>
          <w:b w:val="0"/>
          <w:bCs/>
          <w:sz w:val="32"/>
          <w:szCs w:val="32"/>
          <w:lang w:val="en-US" w:eastAsia="zh-CN"/>
        </w:rPr>
        <w:t>100</w:t>
      </w:r>
      <w:r>
        <w:rPr>
          <w:rStyle w:val="17"/>
          <w:rFonts w:hint="eastAsia" w:ascii="Times New Roman" w:hAnsi="Times New Roman" w:eastAsia="仿宋_GB2312" w:cs="仿宋_GB2312"/>
          <w:b w:val="0"/>
          <w:bCs/>
          <w:sz w:val="32"/>
          <w:szCs w:val="32"/>
        </w:rPr>
        <w:t>%。其中</w:t>
      </w:r>
      <w:bookmarkEnd w:id="74"/>
      <w:bookmarkEnd w:id="75"/>
      <w:bookmarkEnd w:id="76"/>
      <w:r>
        <w:rPr>
          <w:rStyle w:val="17"/>
          <w:rFonts w:hint="eastAsia" w:ascii="Times New Roman" w:hAnsi="Times New Roman" w:cs="仿宋_GB2312"/>
          <w:b w:val="0"/>
          <w:bCs/>
          <w:sz w:val="32"/>
          <w:szCs w:val="32"/>
          <w:lang w:eastAsia="zh-CN"/>
        </w:rPr>
        <w:t>：</w:t>
      </w:r>
      <w:bookmarkEnd w:id="77"/>
    </w:p>
    <w:p w14:paraId="1D3ED3A5">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b w:val="0"/>
          <w:bCs/>
          <w:color w:val="auto"/>
          <w:kern w:val="0"/>
          <w:sz w:val="32"/>
          <w:szCs w:val="32"/>
          <w:lang w:val="en-US" w:eastAsia="zh-CN"/>
        </w:rPr>
      </w:pPr>
      <w:r>
        <w:rPr>
          <w:rStyle w:val="17"/>
          <w:rFonts w:hint="eastAsia" w:ascii="Times New Roman" w:hAnsi="Times New Roman" w:eastAsia="仿宋_GB2312"/>
          <w:b/>
          <w:bCs w:val="0"/>
          <w:color w:val="auto"/>
          <w:sz w:val="32"/>
          <w:szCs w:val="32"/>
          <w:lang w:val="en-US" w:eastAsia="zh-CN"/>
        </w:rPr>
        <w:t>1</w:t>
      </w:r>
      <w:r>
        <w:rPr>
          <w:rStyle w:val="17"/>
          <w:rFonts w:hint="eastAsia" w:ascii="Times New Roman" w:hAnsi="Times New Roman" w:eastAsia="仿宋_GB2312"/>
          <w:b/>
          <w:bCs w:val="0"/>
          <w:color w:val="auto"/>
          <w:sz w:val="32"/>
          <w:szCs w:val="32"/>
        </w:rPr>
        <w:t>一般公共服务（</w:t>
      </w:r>
      <w:r>
        <w:rPr>
          <w:rStyle w:val="17"/>
          <w:rFonts w:hint="eastAsia" w:ascii="Times New Roman" w:hAnsi="Times New Roman"/>
          <w:b/>
          <w:bCs w:val="0"/>
          <w:color w:val="auto"/>
          <w:sz w:val="32"/>
          <w:szCs w:val="32"/>
          <w:lang w:val="en-US" w:eastAsia="zh-CN"/>
        </w:rPr>
        <w:t>201</w:t>
      </w:r>
      <w:r>
        <w:rPr>
          <w:rStyle w:val="17"/>
          <w:rFonts w:hint="eastAsia" w:ascii="Times New Roman" w:hAnsi="Times New Roman" w:eastAsia="仿宋_GB2312"/>
          <w:b/>
          <w:bCs w:val="0"/>
          <w:color w:val="auto"/>
          <w:sz w:val="32"/>
          <w:szCs w:val="32"/>
        </w:rPr>
        <w:t>类）</w:t>
      </w:r>
      <w:r>
        <w:rPr>
          <w:rFonts w:hint="eastAsia" w:ascii="Times New Roman" w:hAnsi="Times New Roman" w:eastAsia="仿宋_GB2312"/>
          <w:b/>
          <w:bCs w:val="0"/>
          <w:color w:val="auto"/>
          <w:kern w:val="0"/>
          <w:sz w:val="32"/>
          <w:szCs w:val="32"/>
          <w:lang w:val="en-US" w:eastAsia="zh-CN"/>
        </w:rPr>
        <w:t>人大事务</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lang w:val="en-US" w:eastAsia="zh-CN"/>
        </w:rPr>
        <w:t>行政运行</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19.94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人大会议（</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2.10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其他人大事务支出（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lang w:val="en-US" w:eastAsia="zh-CN"/>
        </w:rPr>
        <w:t>支出决算为4.92万元，</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政府办公厅（室）及相关机构事务（</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rPr>
        <w:t>款）行政运行（</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361.73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一般行政管理事务（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1.58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信访事务（</w:t>
      </w:r>
      <w:r>
        <w:rPr>
          <w:rFonts w:hint="eastAsia" w:ascii="Times New Roman" w:hAnsi="Times New Roman"/>
          <w:b/>
          <w:bCs w:val="0"/>
          <w:color w:val="auto"/>
          <w:kern w:val="0"/>
          <w:sz w:val="32"/>
          <w:szCs w:val="32"/>
          <w:lang w:val="en-US" w:eastAsia="zh-CN"/>
        </w:rPr>
        <w:t>08</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事业运行（</w:t>
      </w:r>
      <w:r>
        <w:rPr>
          <w:rFonts w:hint="eastAsia" w:ascii="Times New Roman" w:hAnsi="Times New Roman"/>
          <w:b/>
          <w:bCs w:val="0"/>
          <w:color w:val="auto"/>
          <w:kern w:val="0"/>
          <w:sz w:val="32"/>
          <w:szCs w:val="32"/>
          <w:lang w:val="en-US" w:eastAsia="zh-CN"/>
        </w:rPr>
        <w:t>50</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63.31</w:t>
      </w:r>
      <w:r>
        <w:rPr>
          <w:rFonts w:hint="eastAsia" w:ascii="Times New Roman" w:hAnsi="Times New Roman" w:eastAsia="仿宋_GB2312"/>
          <w:b w:val="0"/>
          <w:bCs/>
          <w:color w:val="auto"/>
          <w:kern w:val="0"/>
          <w:sz w:val="32"/>
          <w:szCs w:val="32"/>
        </w:rPr>
        <w:t>万元</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bCs w:val="0"/>
          <w:color w:val="auto"/>
          <w:kern w:val="0"/>
          <w:sz w:val="32"/>
          <w:szCs w:val="32"/>
          <w:lang w:val="en-US" w:eastAsia="zh-CN"/>
        </w:rPr>
        <w:t>其他政府办公厅（室）及相关机构事务支出（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81.96</w:t>
      </w:r>
      <w:r>
        <w:rPr>
          <w:rFonts w:hint="eastAsia" w:ascii="Times New Roman" w:hAnsi="Times New Roman" w:eastAsia="仿宋_GB2312"/>
          <w:b w:val="0"/>
          <w:bCs/>
          <w:color w:val="auto"/>
          <w:kern w:val="0"/>
          <w:sz w:val="32"/>
          <w:szCs w:val="32"/>
        </w:rPr>
        <w:t>万元</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val="0"/>
          <w:bCs/>
          <w:color w:val="auto"/>
          <w:kern w:val="0"/>
          <w:sz w:val="32"/>
          <w:szCs w:val="32"/>
          <w:lang w:val="en-US" w:eastAsia="zh-CN"/>
        </w:rPr>
        <w:t>；</w:t>
      </w:r>
      <w:r>
        <w:rPr>
          <w:rFonts w:hint="eastAsia" w:ascii="Times New Roman" w:hAnsi="Times New Roman" w:eastAsia="仿宋_GB2312"/>
          <w:b/>
          <w:bCs w:val="0"/>
          <w:color w:val="auto"/>
          <w:kern w:val="0"/>
          <w:sz w:val="32"/>
          <w:szCs w:val="32"/>
        </w:rPr>
        <w:t>民族事务（</w:t>
      </w:r>
      <w:r>
        <w:rPr>
          <w:rFonts w:hint="eastAsia" w:ascii="Times New Roman" w:hAnsi="Times New Roman"/>
          <w:b/>
          <w:bCs w:val="0"/>
          <w:color w:val="auto"/>
          <w:kern w:val="0"/>
          <w:sz w:val="32"/>
          <w:szCs w:val="32"/>
          <w:lang w:val="en-US" w:eastAsia="zh-CN"/>
        </w:rPr>
        <w:t>23</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eastAsia="zh-CN"/>
        </w:rPr>
        <w:t>民族工作专项</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lang w:eastAsia="zh-CN"/>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6.26万元，完成预算100%，</w:t>
      </w:r>
      <w:r>
        <w:rPr>
          <w:rFonts w:hint="eastAsia" w:ascii="Times New Roman" w:hAnsi="Times New Roman" w:eastAsia="仿宋_GB2312"/>
          <w:b/>
          <w:bCs w:val="0"/>
          <w:color w:val="auto"/>
          <w:kern w:val="0"/>
          <w:sz w:val="32"/>
          <w:szCs w:val="32"/>
        </w:rPr>
        <w:t>其他民族事务支出（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2.40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党委办公厅（室）及相关机构事务（</w:t>
      </w:r>
      <w:r>
        <w:rPr>
          <w:rFonts w:hint="eastAsia" w:ascii="Times New Roman" w:hAnsi="Times New Roman"/>
          <w:b/>
          <w:bCs w:val="0"/>
          <w:color w:val="auto"/>
          <w:kern w:val="0"/>
          <w:sz w:val="32"/>
          <w:szCs w:val="32"/>
          <w:lang w:val="en-US" w:eastAsia="zh-CN"/>
        </w:rPr>
        <w:t>31</w:t>
      </w:r>
      <w:r>
        <w:rPr>
          <w:rFonts w:hint="eastAsia" w:ascii="Times New Roman" w:hAnsi="Times New Roman" w:eastAsia="仿宋_GB2312"/>
          <w:b/>
          <w:bCs w:val="0"/>
          <w:color w:val="auto"/>
          <w:kern w:val="0"/>
          <w:sz w:val="32"/>
          <w:szCs w:val="32"/>
        </w:rPr>
        <w:t>款）行政运行（</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70.51</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val="en-US" w:eastAsia="zh-CN"/>
        </w:rPr>
        <w:t>一般行政管理事务（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5.67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0D758138">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2</w:t>
      </w:r>
      <w:r>
        <w:rPr>
          <w:rStyle w:val="17"/>
          <w:rFonts w:ascii="Times New Roman" w:hAnsi="Times New Roman" w:eastAsia="仿宋_GB2312"/>
          <w:b/>
          <w:bCs w:val="0"/>
          <w:color w:val="auto"/>
          <w:sz w:val="32"/>
          <w:szCs w:val="32"/>
        </w:rPr>
        <w:t>.</w:t>
      </w:r>
      <w:r>
        <w:rPr>
          <w:rStyle w:val="17"/>
          <w:rFonts w:hint="eastAsia" w:ascii="Times New Roman" w:hAnsi="Times New Roman" w:eastAsia="仿宋_GB2312"/>
          <w:b/>
          <w:bCs w:val="0"/>
          <w:color w:val="auto"/>
          <w:sz w:val="32"/>
          <w:szCs w:val="32"/>
        </w:rPr>
        <w:t>文化旅游体育与传媒（</w:t>
      </w:r>
      <w:r>
        <w:rPr>
          <w:rStyle w:val="17"/>
          <w:rFonts w:hint="eastAsia" w:ascii="Times New Roman" w:hAnsi="Times New Roman"/>
          <w:b/>
          <w:bCs w:val="0"/>
          <w:color w:val="auto"/>
          <w:sz w:val="32"/>
          <w:szCs w:val="32"/>
          <w:lang w:val="en-US" w:eastAsia="zh-CN"/>
        </w:rPr>
        <w:t>207</w:t>
      </w:r>
      <w:r>
        <w:rPr>
          <w:rStyle w:val="17"/>
          <w:rFonts w:hint="eastAsia" w:ascii="Times New Roman" w:hAnsi="Times New Roman" w:eastAsia="仿宋_GB2312"/>
          <w:b/>
          <w:bCs w:val="0"/>
          <w:color w:val="auto"/>
          <w:sz w:val="32"/>
          <w:szCs w:val="32"/>
        </w:rPr>
        <w:t>类）文化和旅游（</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rPr>
        <w:t>群众文化</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45.27</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rPr>
        <w:t>其他文化和旅游支出（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4.00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27F30C33">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3</w:t>
      </w:r>
      <w:r>
        <w:rPr>
          <w:rStyle w:val="17"/>
          <w:rFonts w:hint="eastAsia" w:ascii="Times New Roman" w:hAnsi="Times New Roman" w:eastAsia="仿宋_GB2312"/>
          <w:b/>
          <w:bCs w:val="0"/>
          <w:color w:val="auto"/>
          <w:sz w:val="32"/>
          <w:szCs w:val="32"/>
          <w:lang w:val="en-US" w:eastAsia="zh-CN"/>
        </w:rPr>
        <w:t>.</w:t>
      </w:r>
      <w:r>
        <w:rPr>
          <w:rStyle w:val="17"/>
          <w:rFonts w:hint="eastAsia" w:ascii="Times New Roman" w:hAnsi="Times New Roman" w:eastAsia="仿宋_GB2312"/>
          <w:b/>
          <w:bCs w:val="0"/>
          <w:color w:val="auto"/>
          <w:sz w:val="32"/>
          <w:szCs w:val="32"/>
        </w:rPr>
        <w:t>社会保障和就业（</w:t>
      </w:r>
      <w:r>
        <w:rPr>
          <w:rStyle w:val="17"/>
          <w:rFonts w:hint="eastAsia" w:ascii="Times New Roman" w:hAnsi="Times New Roman"/>
          <w:b/>
          <w:bCs w:val="0"/>
          <w:color w:val="auto"/>
          <w:sz w:val="32"/>
          <w:szCs w:val="32"/>
          <w:lang w:val="en-US" w:eastAsia="zh-CN"/>
        </w:rPr>
        <w:t>208</w:t>
      </w:r>
      <w:r>
        <w:rPr>
          <w:rStyle w:val="17"/>
          <w:rFonts w:hint="eastAsia" w:ascii="Times New Roman" w:hAnsi="Times New Roman" w:eastAsia="仿宋_GB2312"/>
          <w:b/>
          <w:bCs w:val="0"/>
          <w:color w:val="auto"/>
          <w:sz w:val="32"/>
          <w:szCs w:val="32"/>
        </w:rPr>
        <w:t>类）</w:t>
      </w:r>
      <w:r>
        <w:rPr>
          <w:rFonts w:hint="eastAsia" w:ascii="Times New Roman" w:hAnsi="Times New Roman" w:eastAsia="仿宋_GB2312"/>
          <w:b/>
          <w:bCs w:val="0"/>
          <w:color w:val="auto"/>
          <w:kern w:val="0"/>
          <w:sz w:val="32"/>
          <w:szCs w:val="32"/>
        </w:rPr>
        <w:t>人力资源和社会保障管理事务</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rPr>
        <w:t>社会保险经办机构</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103.47</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lang w:val="en-US" w:eastAsia="zh-CN"/>
        </w:rPr>
        <w:t>其他人力资源和社会保障管理事务支出（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38.16</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民政管理事务（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val="en-US" w:eastAsia="zh-CN"/>
        </w:rPr>
        <w:t>基层政权建设和社区治理</w:t>
      </w:r>
      <w:r>
        <w:rPr>
          <w:rFonts w:hint="eastAsia" w:ascii="Times New Roman" w:hAnsi="Times New Roman"/>
          <w:b/>
          <w:bCs w:val="0"/>
          <w:color w:val="auto"/>
          <w:kern w:val="0"/>
          <w:sz w:val="32"/>
          <w:szCs w:val="32"/>
          <w:lang w:val="en-US" w:eastAsia="zh-CN"/>
        </w:rPr>
        <w:t>08</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1.58</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其他民政管理事务支出（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6.19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行政事业单位养老支出（</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款）行政单位离退休（</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25.96</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事业单位离退休（</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14.77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机关事业单位基本养老保险缴费支出（</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95.26</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机关事业单位职业年金缴费支出（</w:t>
      </w:r>
      <w:r>
        <w:rPr>
          <w:rFonts w:hint="eastAsia" w:ascii="Times New Roman" w:hAnsi="Times New Roman"/>
          <w:b/>
          <w:bCs w:val="0"/>
          <w:color w:val="auto"/>
          <w:kern w:val="0"/>
          <w:sz w:val="32"/>
          <w:szCs w:val="32"/>
          <w:lang w:val="en-US" w:eastAsia="zh-CN"/>
        </w:rPr>
        <w:t>06</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7.79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特困人员救助供养（</w:t>
      </w:r>
      <w:r>
        <w:rPr>
          <w:rFonts w:hint="eastAsia" w:ascii="Times New Roman" w:hAnsi="Times New Roman"/>
          <w:b/>
          <w:bCs w:val="0"/>
          <w:color w:val="auto"/>
          <w:kern w:val="0"/>
          <w:sz w:val="32"/>
          <w:szCs w:val="32"/>
          <w:lang w:val="en-US" w:eastAsia="zh-CN"/>
        </w:rPr>
        <w:t>21</w:t>
      </w:r>
      <w:r>
        <w:rPr>
          <w:rFonts w:hint="eastAsia" w:ascii="Times New Roman" w:hAnsi="Times New Roman" w:eastAsia="仿宋_GB2312"/>
          <w:b/>
          <w:bCs w:val="0"/>
          <w:color w:val="auto"/>
          <w:kern w:val="0"/>
          <w:sz w:val="32"/>
          <w:szCs w:val="32"/>
        </w:rPr>
        <w:t>款）农村特困人员救助供养支出（</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6.49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6709DE7D">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Style w:val="17"/>
          <w:rFonts w:hint="eastAsia" w:ascii="Times New Roman" w:hAnsi="Times New Roman" w:eastAsia="仿宋_GB2312"/>
          <w:b w:val="0"/>
          <w:bCs/>
          <w:color w:val="auto"/>
          <w:sz w:val="32"/>
          <w:szCs w:val="32"/>
          <w:lang w:val="en-US" w:eastAsia="zh-CN"/>
        </w:rPr>
      </w:pPr>
      <w:r>
        <w:rPr>
          <w:rStyle w:val="17"/>
          <w:rFonts w:hint="eastAsia" w:ascii="Times New Roman" w:hAnsi="Times New Roman"/>
          <w:b/>
          <w:bCs w:val="0"/>
          <w:color w:val="auto"/>
          <w:sz w:val="32"/>
          <w:szCs w:val="32"/>
          <w:lang w:val="en-US" w:eastAsia="zh-CN"/>
        </w:rPr>
        <w:t>4</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sz w:val="32"/>
          <w:szCs w:val="32"/>
        </w:rPr>
        <w:t>卫生健康</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210</w:t>
      </w:r>
      <w:r>
        <w:rPr>
          <w:rStyle w:val="17"/>
          <w:rFonts w:hint="eastAsia" w:ascii="Times New Roman" w:hAnsi="Times New Roman" w:eastAsia="仿宋_GB2312"/>
          <w:b/>
          <w:bCs w:val="0"/>
          <w:color w:val="auto"/>
          <w:sz w:val="32"/>
          <w:szCs w:val="32"/>
        </w:rPr>
        <w:t>类）</w:t>
      </w:r>
      <w:r>
        <w:rPr>
          <w:rStyle w:val="17"/>
          <w:rFonts w:hint="eastAsia" w:ascii="Times New Roman" w:hAnsi="Times New Roman" w:eastAsia="仿宋_GB2312"/>
          <w:b/>
          <w:bCs w:val="0"/>
          <w:color w:val="auto"/>
          <w:sz w:val="32"/>
          <w:szCs w:val="32"/>
          <w:lang w:val="en-US" w:eastAsia="zh-CN"/>
        </w:rPr>
        <w:t>卫生健康支出（</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lang w:val="en-US" w:eastAsia="zh-CN"/>
        </w:rPr>
        <w:t>款）其他卫生健康管理事务支出（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3.95</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rPr>
        <w:t>公共卫生（</w:t>
      </w:r>
      <w:r>
        <w:rPr>
          <w:rStyle w:val="17"/>
          <w:rFonts w:hint="eastAsia" w:ascii="Times New Roman" w:hAnsi="Times New Roman"/>
          <w:b/>
          <w:bCs w:val="0"/>
          <w:color w:val="auto"/>
          <w:sz w:val="32"/>
          <w:szCs w:val="32"/>
          <w:lang w:val="en-US" w:eastAsia="zh-CN"/>
        </w:rPr>
        <w:t>04</w:t>
      </w:r>
      <w:r>
        <w:rPr>
          <w:rStyle w:val="17"/>
          <w:rFonts w:hint="eastAsia" w:ascii="Times New Roman" w:hAnsi="Times New Roman" w:eastAsia="仿宋_GB2312"/>
          <w:b/>
          <w:bCs w:val="0"/>
          <w:color w:val="auto"/>
          <w:sz w:val="32"/>
          <w:szCs w:val="32"/>
        </w:rPr>
        <w:t>款）重大公共卫生服务（</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Fonts w:hint="eastAsia" w:ascii="Times New Roman" w:hAnsi="Times New Roman" w:eastAsia="仿宋_GB2312"/>
          <w:b/>
          <w:bCs w:val="0"/>
          <w:color w:val="auto"/>
          <w:kern w:val="0"/>
          <w:sz w:val="32"/>
          <w:szCs w:val="32"/>
        </w:rPr>
        <w:t>行政事业单位医疗（</w:t>
      </w:r>
      <w:r>
        <w:rPr>
          <w:rFonts w:hint="eastAsia" w:ascii="Times New Roman" w:hAnsi="Times New Roman"/>
          <w:b/>
          <w:bCs w:val="0"/>
          <w:color w:val="auto"/>
          <w:kern w:val="0"/>
          <w:sz w:val="32"/>
          <w:szCs w:val="32"/>
          <w:lang w:val="en-US" w:eastAsia="zh-CN"/>
        </w:rPr>
        <w:t>11</w:t>
      </w:r>
      <w:r>
        <w:rPr>
          <w:rFonts w:hint="eastAsia" w:ascii="Times New Roman" w:hAnsi="Times New Roman" w:eastAsia="仿宋_GB2312"/>
          <w:b/>
          <w:bCs w:val="0"/>
          <w:color w:val="auto"/>
          <w:kern w:val="0"/>
          <w:sz w:val="32"/>
          <w:szCs w:val="32"/>
        </w:rPr>
        <w:t>款）行政单位医疗（</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22.41</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事业单位医疗</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23.43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公务员医疗补助（</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2.48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其他行政事业单位医疗支出（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21.74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4E88321C">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kern w:val="0"/>
          <w:sz w:val="32"/>
          <w:szCs w:val="32"/>
          <w:lang w:eastAsia="zh-CN"/>
        </w:rPr>
      </w:pPr>
      <w:r>
        <w:rPr>
          <w:rStyle w:val="17"/>
          <w:rFonts w:hint="eastAsia" w:ascii="Times New Roman" w:hAnsi="Times New Roman"/>
          <w:b/>
          <w:bCs w:val="0"/>
          <w:color w:val="auto"/>
          <w:sz w:val="32"/>
          <w:szCs w:val="32"/>
          <w:lang w:val="en-US" w:eastAsia="zh-CN"/>
        </w:rPr>
        <w:t>5</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kern w:val="0"/>
          <w:sz w:val="32"/>
          <w:szCs w:val="32"/>
        </w:rPr>
        <w:t>农林水支出（</w:t>
      </w:r>
      <w:r>
        <w:rPr>
          <w:rFonts w:hint="eastAsia" w:ascii="Times New Roman" w:hAnsi="Times New Roman"/>
          <w:b/>
          <w:bCs w:val="0"/>
          <w:color w:val="auto"/>
          <w:kern w:val="0"/>
          <w:sz w:val="32"/>
          <w:szCs w:val="32"/>
          <w:lang w:val="en-US" w:eastAsia="zh-CN"/>
        </w:rPr>
        <w:t>213</w:t>
      </w:r>
      <w:r>
        <w:rPr>
          <w:rFonts w:hint="eastAsia" w:ascii="Times New Roman" w:hAnsi="Times New Roman" w:eastAsia="仿宋_GB2312"/>
          <w:b/>
          <w:bCs w:val="0"/>
          <w:color w:val="auto"/>
          <w:kern w:val="0"/>
          <w:sz w:val="32"/>
          <w:szCs w:val="32"/>
        </w:rPr>
        <w:t>类）农业农村（</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款）事业运行（</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73.63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农业生产发展</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22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41.30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其他农业农村支出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7.25</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林业和草原（</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val="en-US" w:eastAsia="zh-CN"/>
        </w:rPr>
        <w:t>林业草原防灾减灾</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34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15</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val="en-US" w:eastAsia="zh-CN"/>
        </w:rPr>
        <w:t>水利（</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lang w:val="en-US" w:eastAsia="zh-CN"/>
        </w:rPr>
        <w:t>款）防汛（</w:t>
      </w:r>
      <w:r>
        <w:rPr>
          <w:rFonts w:hint="eastAsia" w:ascii="Times New Roman" w:hAnsi="Times New Roman"/>
          <w:b/>
          <w:bCs w:val="0"/>
          <w:color w:val="auto"/>
          <w:kern w:val="0"/>
          <w:sz w:val="32"/>
          <w:szCs w:val="32"/>
          <w:lang w:val="en-US" w:eastAsia="zh-CN"/>
        </w:rPr>
        <w:t>14</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3.79</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bCs w:val="0"/>
          <w:color w:val="auto"/>
          <w:sz w:val="32"/>
          <w:szCs w:val="32"/>
          <w:lang w:val="en-US" w:eastAsia="zh-CN"/>
        </w:rPr>
        <w:t>抗旱（</w:t>
      </w:r>
      <w:r>
        <w:rPr>
          <w:rStyle w:val="17"/>
          <w:rFonts w:hint="eastAsia" w:ascii="Times New Roman" w:hAnsi="Times New Roman"/>
          <w:b/>
          <w:bCs w:val="0"/>
          <w:color w:val="auto"/>
          <w:sz w:val="32"/>
          <w:szCs w:val="32"/>
          <w:lang w:val="en-US" w:eastAsia="zh-CN"/>
        </w:rPr>
        <w:t>15</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lang w:val="en-US" w:eastAsia="zh-CN"/>
        </w:rPr>
        <w:t>巩固脱贫攻坚成果衔接乡村振兴（</w:t>
      </w:r>
      <w:r>
        <w:rPr>
          <w:rStyle w:val="17"/>
          <w:rFonts w:hint="eastAsia" w:ascii="Times New Roman" w:hAnsi="Times New Roman"/>
          <w:b/>
          <w:bCs w:val="0"/>
          <w:color w:val="auto"/>
          <w:sz w:val="32"/>
          <w:szCs w:val="32"/>
          <w:lang w:val="en-US" w:eastAsia="zh-CN"/>
        </w:rPr>
        <w:t>05</w:t>
      </w:r>
      <w:r>
        <w:rPr>
          <w:rStyle w:val="17"/>
          <w:rFonts w:hint="eastAsia" w:ascii="Times New Roman" w:hAnsi="Times New Roman" w:eastAsia="仿宋_GB2312"/>
          <w:b/>
          <w:bCs w:val="0"/>
          <w:color w:val="auto"/>
          <w:sz w:val="32"/>
          <w:szCs w:val="32"/>
          <w:lang w:val="en-US" w:eastAsia="zh-CN"/>
        </w:rPr>
        <w:t>款）农村基础设施建设（</w:t>
      </w:r>
      <w:r>
        <w:rPr>
          <w:rStyle w:val="17"/>
          <w:rFonts w:hint="eastAsia" w:ascii="Times New Roman" w:hAnsi="Times New Roman"/>
          <w:b/>
          <w:bCs w:val="0"/>
          <w:color w:val="auto"/>
          <w:sz w:val="32"/>
          <w:szCs w:val="32"/>
          <w:lang w:val="en-US" w:eastAsia="zh-CN"/>
        </w:rPr>
        <w:t>04</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20.94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lang w:val="en-US" w:eastAsia="zh-CN"/>
        </w:rPr>
        <w:t>农村综合改革（</w:t>
      </w:r>
      <w:r>
        <w:rPr>
          <w:rStyle w:val="17"/>
          <w:rFonts w:hint="eastAsia" w:ascii="Times New Roman" w:hAnsi="Times New Roman"/>
          <w:b/>
          <w:bCs w:val="0"/>
          <w:color w:val="auto"/>
          <w:sz w:val="32"/>
          <w:szCs w:val="32"/>
          <w:lang w:val="en-US" w:eastAsia="zh-CN"/>
        </w:rPr>
        <w:t>07</w:t>
      </w:r>
      <w:r>
        <w:rPr>
          <w:rStyle w:val="17"/>
          <w:rFonts w:hint="eastAsia" w:ascii="Times New Roman" w:hAnsi="Times New Roman" w:eastAsia="仿宋_GB2312"/>
          <w:b/>
          <w:bCs w:val="0"/>
          <w:color w:val="auto"/>
          <w:sz w:val="32"/>
          <w:szCs w:val="32"/>
          <w:lang w:val="en-US" w:eastAsia="zh-CN"/>
        </w:rPr>
        <w:t>款）对村级公益事业建设的补助（</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1.20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对村民委员会和村党支部的补助（</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209.83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eastAsia="zh-CN"/>
        </w:rPr>
        <w:t>其他农林水支出（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eastAsia="zh-CN"/>
        </w:rPr>
        <w:t>款）</w:t>
      </w:r>
      <w:r>
        <w:rPr>
          <w:rFonts w:hint="eastAsia" w:ascii="Times New Roman" w:hAnsi="Times New Roman" w:eastAsia="仿宋_GB2312"/>
          <w:b/>
          <w:bCs w:val="0"/>
          <w:color w:val="auto"/>
          <w:kern w:val="0"/>
          <w:sz w:val="32"/>
          <w:szCs w:val="32"/>
          <w:lang w:val="en-US" w:eastAsia="zh-CN"/>
        </w:rPr>
        <w:t>其他农林水支出</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49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5D219B4D">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Style w:val="17"/>
          <w:rFonts w:hint="eastAsia" w:ascii="Times New Roman" w:hAnsi="Times New Roman" w:eastAsia="仿宋_GB2312"/>
          <w:b w:val="0"/>
          <w:bCs/>
          <w:color w:val="auto"/>
          <w:sz w:val="32"/>
          <w:szCs w:val="32"/>
          <w:lang w:eastAsia="zh-CN"/>
        </w:rPr>
      </w:pPr>
      <w:r>
        <w:rPr>
          <w:rFonts w:hint="eastAsia" w:ascii="Times New Roman" w:hAnsi="Times New Roman"/>
          <w:b/>
          <w:bCs w:val="0"/>
          <w:color w:val="auto"/>
          <w:kern w:val="0"/>
          <w:sz w:val="32"/>
          <w:szCs w:val="32"/>
          <w:lang w:val="en-US" w:eastAsia="zh-CN"/>
        </w:rPr>
        <w:t>6</w:t>
      </w:r>
      <w:r>
        <w:rPr>
          <w:rFonts w:hint="eastAsia" w:ascii="Times New Roman" w:hAnsi="Times New Roman" w:eastAsia="仿宋_GB2312"/>
          <w:b/>
          <w:bCs w:val="0"/>
          <w:color w:val="auto"/>
          <w:kern w:val="0"/>
          <w:sz w:val="32"/>
          <w:szCs w:val="32"/>
          <w:lang w:val="en-US" w:eastAsia="zh-CN"/>
        </w:rPr>
        <w:t>.自然资源海洋气象等支出（</w:t>
      </w:r>
      <w:r>
        <w:rPr>
          <w:rFonts w:hint="eastAsia" w:ascii="Times New Roman" w:hAnsi="Times New Roman"/>
          <w:b/>
          <w:bCs w:val="0"/>
          <w:color w:val="auto"/>
          <w:kern w:val="0"/>
          <w:sz w:val="32"/>
          <w:szCs w:val="32"/>
          <w:lang w:val="en-US" w:eastAsia="zh-CN"/>
        </w:rPr>
        <w:t>220</w:t>
      </w:r>
      <w:r>
        <w:rPr>
          <w:rFonts w:hint="eastAsia" w:ascii="Times New Roman" w:hAnsi="Times New Roman" w:eastAsia="仿宋_GB2312"/>
          <w:b/>
          <w:bCs w:val="0"/>
          <w:color w:val="auto"/>
          <w:kern w:val="0"/>
          <w:sz w:val="32"/>
          <w:szCs w:val="32"/>
          <w:lang w:val="en-US" w:eastAsia="zh-CN"/>
        </w:rPr>
        <w:t>类）气象事务（</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lang w:val="en-US" w:eastAsia="zh-CN"/>
        </w:rPr>
        <w:t>款）气象服务（</w:t>
      </w:r>
      <w:r>
        <w:rPr>
          <w:rFonts w:hint="eastAsia" w:ascii="Times New Roman" w:hAnsi="Times New Roman"/>
          <w:b/>
          <w:bCs w:val="0"/>
          <w:color w:val="auto"/>
          <w:kern w:val="0"/>
          <w:sz w:val="32"/>
          <w:szCs w:val="32"/>
          <w:lang w:val="en-US" w:eastAsia="zh-CN"/>
        </w:rPr>
        <w:t>09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20.00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218EEA3E">
      <w:pPr>
        <w:pStyle w:val="2"/>
        <w:keepNext w:val="0"/>
        <w:keepLines w:val="0"/>
        <w:pageBreakBefore w:val="0"/>
        <w:widowControl/>
        <w:kinsoku/>
        <w:wordWrap/>
        <w:overflowPunct/>
        <w:topLinePunct w:val="0"/>
        <w:bidi w:val="0"/>
        <w:snapToGrid/>
        <w:spacing w:line="560" w:lineRule="exact"/>
        <w:ind w:firstLine="643"/>
        <w:textAlignment w:val="auto"/>
        <w:rPr>
          <w:rFonts w:hint="eastAsia" w:ascii="Times New Roman" w:hAnsi="Times New Roman" w:eastAsia="仿宋_GB2312"/>
          <w:b w:val="0"/>
          <w:bCs/>
          <w:color w:val="auto"/>
          <w:kern w:val="0"/>
          <w:sz w:val="32"/>
          <w:szCs w:val="32"/>
          <w:lang w:eastAsia="zh-CN"/>
        </w:rPr>
      </w:pPr>
      <w:r>
        <w:rPr>
          <w:rStyle w:val="17"/>
          <w:rFonts w:hint="eastAsia" w:ascii="Times New Roman" w:hAnsi="Times New Roman" w:eastAsia="仿宋_GB2312"/>
          <w:b/>
          <w:bCs w:val="0"/>
          <w:color w:val="auto"/>
          <w:sz w:val="32"/>
          <w:szCs w:val="32"/>
          <w:lang w:val="en-US" w:eastAsia="zh-CN"/>
        </w:rPr>
        <w:t>7.</w:t>
      </w:r>
      <w:r>
        <w:rPr>
          <w:rFonts w:hint="eastAsia" w:ascii="Times New Roman" w:hAnsi="Times New Roman" w:eastAsia="仿宋_GB2312"/>
          <w:b/>
          <w:bCs w:val="0"/>
          <w:color w:val="auto"/>
          <w:kern w:val="0"/>
          <w:sz w:val="32"/>
          <w:szCs w:val="32"/>
        </w:rPr>
        <w:t>住房保障支出（</w:t>
      </w:r>
      <w:r>
        <w:rPr>
          <w:rFonts w:hint="eastAsia" w:ascii="Times New Roman" w:hAnsi="Times New Roman" w:eastAsia="仿宋_GB2312"/>
          <w:b/>
          <w:bCs w:val="0"/>
          <w:color w:val="auto"/>
          <w:kern w:val="0"/>
          <w:sz w:val="32"/>
          <w:szCs w:val="32"/>
          <w:lang w:val="en-US" w:eastAsia="zh-CN"/>
        </w:rPr>
        <w:t>221</w:t>
      </w:r>
      <w:r>
        <w:rPr>
          <w:rFonts w:hint="eastAsia" w:ascii="Times New Roman" w:hAnsi="Times New Roman" w:eastAsia="仿宋_GB2312"/>
          <w:b/>
          <w:bCs w:val="0"/>
          <w:color w:val="auto"/>
          <w:kern w:val="0"/>
          <w:sz w:val="32"/>
          <w:szCs w:val="32"/>
        </w:rPr>
        <w:t>类）住房改革支出（</w:t>
      </w:r>
      <w:r>
        <w:rPr>
          <w:rFonts w:hint="eastAsia" w:ascii="Times New Roman" w:hAnsi="Times New Roman" w:eastAsia="仿宋_GB2312"/>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款）住房公积金（</w:t>
      </w:r>
      <w:r>
        <w:rPr>
          <w:rFonts w:hint="eastAsia" w:ascii="Times New Roman" w:hAnsi="Times New Roman" w:eastAsia="仿宋_GB2312"/>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65.57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7893F894">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8</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kern w:val="0"/>
          <w:sz w:val="32"/>
          <w:szCs w:val="32"/>
        </w:rPr>
        <w:t>灾害防治及应急管理支出（</w:t>
      </w:r>
      <w:r>
        <w:rPr>
          <w:rFonts w:hint="eastAsia" w:ascii="Times New Roman" w:hAnsi="Times New Roman"/>
          <w:b/>
          <w:bCs w:val="0"/>
          <w:color w:val="auto"/>
          <w:kern w:val="0"/>
          <w:sz w:val="32"/>
          <w:szCs w:val="32"/>
          <w:lang w:val="en-US" w:eastAsia="zh-CN"/>
        </w:rPr>
        <w:t>224</w:t>
      </w:r>
      <w:r>
        <w:rPr>
          <w:rFonts w:hint="eastAsia" w:ascii="Times New Roman" w:hAnsi="Times New Roman" w:eastAsia="仿宋_GB2312"/>
          <w:b/>
          <w:bCs w:val="0"/>
          <w:color w:val="auto"/>
          <w:kern w:val="0"/>
          <w:sz w:val="32"/>
          <w:szCs w:val="32"/>
        </w:rPr>
        <w:t>类）应急管理事务（</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款）安全监</w:t>
      </w:r>
      <w:r>
        <w:rPr>
          <w:rFonts w:hint="eastAsia" w:ascii="Times New Roman" w:hAnsi="Times New Roman" w:eastAsia="仿宋_GB2312"/>
          <w:b/>
          <w:bCs w:val="0"/>
          <w:color w:val="auto"/>
          <w:kern w:val="0"/>
          <w:sz w:val="32"/>
          <w:szCs w:val="32"/>
          <w:lang w:eastAsia="zh-CN"/>
        </w:rPr>
        <w:t>管</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06</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12.18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44D4659B">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0" w:name="_Toc28534_WPSOffice_Level2"/>
      <w:r>
        <w:rPr>
          <w:rFonts w:hint="eastAsia" w:ascii="Times New Roman" w:hAnsi="Times New Roman" w:eastAsia="黑体" w:cs="Times New Roman"/>
          <w:b w:val="0"/>
          <w:bCs w:val="0"/>
          <w:kern w:val="2"/>
          <w:sz w:val="32"/>
          <w:szCs w:val="32"/>
          <w:lang w:val="en-US" w:eastAsia="zh-CN" w:bidi="ar-SA"/>
        </w:rPr>
        <w:t>六、一般公共预算财政拨款基本支出决算情况说明</w:t>
      </w:r>
      <w:bookmarkEnd w:id="78"/>
      <w:bookmarkEnd w:id="79"/>
      <w:bookmarkEnd w:id="80"/>
      <w:r>
        <w:rPr>
          <w:rFonts w:hint="eastAsia" w:ascii="Times New Roman" w:hAnsi="Times New Roman" w:eastAsia="黑体" w:cs="Times New Roman"/>
          <w:b w:val="0"/>
          <w:bCs w:val="0"/>
          <w:kern w:val="2"/>
          <w:sz w:val="32"/>
          <w:szCs w:val="32"/>
          <w:lang w:val="en-US" w:eastAsia="zh-CN" w:bidi="ar-SA"/>
        </w:rPr>
        <w:tab/>
      </w:r>
    </w:p>
    <w:p w14:paraId="408B4759">
      <w:pPr>
        <w:keepNext w:val="0"/>
        <w:keepLines w:val="0"/>
        <w:pageBreakBefore w:val="0"/>
        <w:widowControl/>
        <w:kinsoku/>
        <w:wordWrap/>
        <w:overflowPunct/>
        <w:topLinePunct w:val="0"/>
        <w:bidi w:val="0"/>
        <w:snapToGrid/>
        <w:spacing w:line="56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2023年度一般公共预算财政拨款基本支出</w:t>
      </w:r>
      <w:r>
        <w:rPr>
          <w:rFonts w:ascii="Times New Roman" w:hAnsi="Times New Roman" w:eastAsia="仿宋_GB2312"/>
          <w:b/>
          <w:sz w:val="32"/>
          <w:szCs w:val="32"/>
        </w:rPr>
        <w:t>1200.83</w:t>
      </w:r>
      <w:r>
        <w:rPr>
          <w:rFonts w:hint="eastAsia" w:ascii="Times New Roman" w:hAnsi="Times New Roman" w:eastAsia="仿宋_GB2312"/>
          <w:sz w:val="32"/>
          <w:szCs w:val="32"/>
        </w:rPr>
        <w:t>万元，其中：</w:t>
      </w:r>
    </w:p>
    <w:p w14:paraId="0A7A3AA4">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sz w:val="32"/>
          <w:szCs w:val="32"/>
          <w:lang w:eastAsia="zh-CN"/>
        </w:rPr>
      </w:pPr>
      <w:r>
        <w:rPr>
          <w:rFonts w:hint="eastAsia" w:ascii="Times New Roman" w:hAnsi="Times New Roman" w:eastAsia="仿宋_GB2312"/>
          <w:sz w:val="32"/>
          <w:szCs w:val="32"/>
        </w:rPr>
        <w:t>人员经费</w:t>
      </w:r>
      <w:r>
        <w:rPr>
          <w:rFonts w:ascii="Times New Roman" w:hAnsi="Times New Roman" w:eastAsia="仿宋_GB2312"/>
          <w:b/>
          <w:sz w:val="32"/>
          <w:szCs w:val="32"/>
        </w:rPr>
        <w:t>1044.64</w:t>
      </w:r>
      <w:r>
        <w:rPr>
          <w:rFonts w:hint="eastAsia" w:ascii="Times New Roman" w:hAnsi="Times New Roman" w:eastAsia="仿宋_GB2312"/>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sz w:val="32"/>
          <w:szCs w:val="32"/>
          <w:lang w:eastAsia="zh-CN"/>
        </w:rPr>
        <w:t>。</w:t>
      </w:r>
    </w:p>
    <w:p w14:paraId="54D262D9">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仿宋_GB2312"/>
          <w:sz w:val="32"/>
          <w:szCs w:val="32"/>
        </w:rPr>
        <w:t>公用经费</w:t>
      </w:r>
      <w:r>
        <w:rPr>
          <w:rFonts w:ascii="Times New Roman" w:hAnsi="Times New Roman" w:eastAsia="仿宋_GB2312"/>
          <w:b/>
          <w:sz w:val="32"/>
          <w:szCs w:val="32"/>
        </w:rPr>
        <w:t>156.2</w:t>
      </w:r>
      <w:r>
        <w:rPr>
          <w:rFonts w:hint="eastAsia" w:ascii="Times New Roman" w:hAnsi="Times New Roman"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ascii="Times New Roman" w:hAnsi="Times New Roman" w:eastAsia="仿宋_GB2312"/>
          <w:sz w:val="32"/>
          <w:szCs w:val="32"/>
        </w:rPr>
        <w:br w:type="textWrapping"/>
      </w:r>
      <w:bookmarkStart w:id="81" w:name="_Toc15396609"/>
      <w:bookmarkStart w:id="82" w:name="_Toc15377215"/>
      <w:r>
        <w:rPr>
          <w:rFonts w:hint="eastAsia" w:ascii="Times New Roman" w:hAnsi="Times New Roman" w:eastAsia="黑体" w:cs="Times New Roman"/>
          <w:b w:val="0"/>
          <w:bCs w:val="0"/>
          <w:kern w:val="2"/>
          <w:sz w:val="32"/>
          <w:szCs w:val="32"/>
          <w:lang w:val="en-US" w:eastAsia="zh-CN" w:bidi="ar-SA"/>
        </w:rPr>
        <w:t>七、财政拨款“三公”经费支出决算情况说明</w:t>
      </w:r>
      <w:bookmarkEnd w:id="81"/>
      <w:bookmarkEnd w:id="82"/>
    </w:p>
    <w:p w14:paraId="3B6B3B5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83" w:name="_Toc15377216"/>
      <w:r>
        <w:rPr>
          <w:rFonts w:hint="eastAsia" w:ascii="Times New Roman" w:hAnsi="Times New Roman" w:eastAsia="楷体" w:cs="Times New Roman"/>
          <w:b/>
          <w:bCs/>
          <w:sz w:val="32"/>
          <w:szCs w:val="32"/>
          <w:lang w:val="en-US" w:eastAsia="zh-CN"/>
        </w:rPr>
        <w:t>（一）“三公”经费财政拨款支出决算总体情况说明</w:t>
      </w:r>
      <w:bookmarkEnd w:id="83"/>
    </w:p>
    <w:p w14:paraId="0E1D9755">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Times New Roman" w:hAnsi="Times New Roman" w:eastAsia="仿宋_GB2312"/>
          <w:b/>
          <w:sz w:val="32"/>
          <w:szCs w:val="32"/>
        </w:rPr>
      </w:pPr>
      <w:r>
        <w:rPr>
          <w:rFonts w:hint="eastAsia" w:ascii="Times New Roman" w:hAnsi="Times New Roman" w:eastAsia="仿宋_GB2312"/>
          <w:sz w:val="32"/>
          <w:szCs w:val="32"/>
        </w:rPr>
        <w:t>2023年度“三公”经费财政拨款支出决算为</w:t>
      </w:r>
      <w:r>
        <w:rPr>
          <w:rFonts w:ascii="Times New Roman" w:hAnsi="Times New Roman" w:eastAsia="仿宋_GB2312"/>
          <w:b/>
          <w:sz w:val="32"/>
          <w:szCs w:val="32"/>
        </w:rPr>
        <w:t>6.47</w:t>
      </w:r>
      <w:r>
        <w:rPr>
          <w:rFonts w:hint="eastAsia" w:ascii="Times New Roman" w:hAnsi="Times New Roman" w:eastAsia="仿宋_GB2312"/>
          <w:sz w:val="32"/>
          <w:szCs w:val="32"/>
        </w:rPr>
        <w:t>万元，完成预算</w:t>
      </w:r>
      <w:r>
        <w:rPr>
          <w:rFonts w:ascii="Times New Roman" w:hAnsi="Times New Roman" w:eastAsia="仿宋_GB2312"/>
          <w:b/>
          <w:sz w:val="32"/>
          <w:szCs w:val="32"/>
        </w:rPr>
        <w:t>100</w:t>
      </w:r>
      <w:r>
        <w:rPr>
          <w:rFonts w:ascii="Times New Roman" w:hAnsi="Times New Roman" w:eastAsia="仿宋_GB2312"/>
          <w:sz w:val="32"/>
          <w:szCs w:val="32"/>
        </w:rPr>
        <w:t>%</w:t>
      </w:r>
      <w:r>
        <w:rPr>
          <w:rFonts w:hint="eastAsia" w:ascii="Times New Roman" w:hAnsi="Times New Roman" w:eastAsia="仿宋_GB2312"/>
          <w:sz w:val="32"/>
          <w:szCs w:val="32"/>
        </w:rPr>
        <w:t>，较上年度增加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304.38%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预算数持平。</w:t>
      </w:r>
    </w:p>
    <w:p w14:paraId="30633BB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84" w:name="_Toc15377217"/>
      <w:r>
        <w:rPr>
          <w:rFonts w:hint="eastAsia" w:ascii="Times New Roman" w:hAnsi="Times New Roman" w:eastAsia="楷体" w:cs="Times New Roman"/>
          <w:b/>
          <w:bCs/>
          <w:sz w:val="32"/>
          <w:szCs w:val="32"/>
          <w:lang w:val="en-US" w:eastAsia="zh-CN"/>
        </w:rPr>
        <w:t>（二）“三公”经费财政拨款支出决算具体情况说明</w:t>
      </w:r>
      <w:bookmarkEnd w:id="84"/>
    </w:p>
    <w:p w14:paraId="0A24866F">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2023年度“三公”经费财政拨款支出决算中，因公出国（境）费支出决算</w:t>
      </w:r>
      <w:r>
        <w:rPr>
          <w:rFonts w:ascii="Times New Roman" w:hAnsi="Times New Roman" w:eastAsia="仿宋_GB2312"/>
          <w:b/>
          <w:sz w:val="32"/>
          <w:szCs w:val="32"/>
        </w:rPr>
        <w:t>0</w:t>
      </w:r>
      <w:r>
        <w:rPr>
          <w:rFonts w:hint="eastAsia" w:ascii="Times New Roman" w:hAnsi="Times New Roman" w:eastAsia="仿宋_GB2312"/>
          <w:sz w:val="32"/>
          <w:szCs w:val="32"/>
        </w:rPr>
        <w:t>万元，占</w:t>
      </w:r>
      <w:r>
        <w:rPr>
          <w:rFonts w:ascii="Times New Roman" w:hAnsi="Times New Roman" w:eastAsia="仿宋_GB2312"/>
          <w:b/>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；公务用车购置及运行维护费支出决算</w:t>
      </w:r>
      <w:r>
        <w:rPr>
          <w:rFonts w:ascii="Times New Roman" w:hAnsi="Times New Roman" w:eastAsia="仿宋_GB2312"/>
          <w:b/>
          <w:sz w:val="32"/>
          <w:szCs w:val="32"/>
        </w:rPr>
        <w:t>6.47</w:t>
      </w:r>
      <w:r>
        <w:rPr>
          <w:rFonts w:hint="eastAsia" w:ascii="Times New Roman" w:hAnsi="Times New Roman" w:eastAsia="仿宋_GB2312"/>
          <w:sz w:val="32"/>
          <w:szCs w:val="32"/>
        </w:rPr>
        <w:t>万元，占</w:t>
      </w:r>
      <w:r>
        <w:rPr>
          <w:rFonts w:ascii="Times New Roman" w:hAnsi="Times New Roman" w:eastAsia="仿宋_GB2312"/>
          <w:b/>
          <w:sz w:val="32"/>
          <w:szCs w:val="32"/>
        </w:rPr>
        <w:t>100</w:t>
      </w:r>
      <w:r>
        <w:rPr>
          <w:rFonts w:ascii="Times New Roman" w:hAnsi="Times New Roman" w:eastAsia="仿宋_GB2312"/>
          <w:sz w:val="32"/>
          <w:szCs w:val="32"/>
        </w:rPr>
        <w:t>%</w:t>
      </w:r>
      <w:r>
        <w:rPr>
          <w:rFonts w:hint="eastAsia" w:ascii="Times New Roman" w:hAnsi="Times New Roman" w:eastAsia="仿宋_GB2312"/>
          <w:sz w:val="32"/>
          <w:szCs w:val="32"/>
        </w:rPr>
        <w:t>；公务接待费支出决算</w:t>
      </w:r>
      <w:r>
        <w:rPr>
          <w:rFonts w:ascii="Times New Roman" w:hAnsi="Times New Roman" w:eastAsia="仿宋_GB2312"/>
          <w:b/>
          <w:sz w:val="32"/>
          <w:szCs w:val="32"/>
        </w:rPr>
        <w:t>0</w:t>
      </w:r>
      <w:r>
        <w:rPr>
          <w:rFonts w:hint="eastAsia" w:ascii="Times New Roman" w:hAnsi="Times New Roman" w:eastAsia="仿宋_GB2312"/>
          <w:sz w:val="32"/>
          <w:szCs w:val="32"/>
        </w:rPr>
        <w:t>万元，占</w:t>
      </w:r>
      <w:r>
        <w:rPr>
          <w:rFonts w:ascii="Times New Roman" w:hAnsi="Times New Roman" w:eastAsia="仿宋_GB2312"/>
          <w:b/>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。具体情况如下：</w:t>
      </w:r>
    </w:p>
    <w:p w14:paraId="1C804784">
      <w:pPr>
        <w:pStyle w:val="2"/>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pict>
          <v:shape id="_x0000_s1029" o:spid="_x0000_s1029" o:spt="75" alt="" type="#_x0000_t75" style="position:absolute;left:0pt;margin-left:95.9pt;margin-top:4.35pt;height:148.7pt;width:244.8pt;mso-wrap-distance-left:9pt;mso-wrap-distance-right:9pt;z-index:-251651072;mso-width-relative:page;mso-height-relative:page;" o:ole="t" filled="f" o:preferrelative="t" stroked="f" coordsize="21600,21600" wrapcoords="21592 -2 0 0 0 21600 21592 21602 8 21602 21600 21600 21600 0 8 -2 21592 -2">
            <v:path/>
            <v:fill on="f" focussize="0,0"/>
            <v:stroke on="f"/>
            <v:imagedata r:id="rId18" o:title=""/>
            <o:lock v:ext="edit" aspectratio="t"/>
            <w10:wrap type="tight"/>
          </v:shape>
          <o:OLEObject Type="Embed" ProgID="Excel.Chart.8" ShapeID="_x0000_s1029" DrawAspect="Content" ObjectID="_1468075726" r:id="rId17">
            <o:LockedField>false</o:LockedField>
          </o:OLEObject>
        </w:pict>
      </w:r>
    </w:p>
    <w:p w14:paraId="3E30917A">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bookmarkStart w:id="226" w:name="_GoBack"/>
      <w:bookmarkEnd w:id="226"/>
    </w:p>
    <w:p w14:paraId="0A9B60CA">
      <w:pPr>
        <w:pStyle w:val="2"/>
        <w:rPr>
          <w:rFonts w:hint="eastAsia"/>
        </w:rPr>
      </w:pPr>
    </w:p>
    <w:p w14:paraId="4796BE8F">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p>
    <w:p w14:paraId="58CCCB55">
      <w:pPr>
        <w:keepNext w:val="0"/>
        <w:keepLines w:val="0"/>
        <w:pageBreakBefore w:val="0"/>
        <w:widowControl/>
        <w:kinsoku/>
        <w:wordWrap/>
        <w:overflowPunct/>
        <w:topLinePunct w:val="0"/>
        <w:autoSpaceDE/>
        <w:autoSpaceDN/>
        <w:bidi w:val="0"/>
        <w:adjustRightInd/>
        <w:snapToGrid/>
        <w:spacing w:before="313" w:beforeLines="10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图7：“三公”经费财政拨款支出结构</w:t>
      </w:r>
    </w:p>
    <w:p w14:paraId="6F402419">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sz w:val="32"/>
          <w:szCs w:val="32"/>
        </w:rPr>
      </w:pPr>
      <w:bookmarkStart w:id="85" w:name="_Toc15377218"/>
      <w:bookmarkStart w:id="86" w:name="_Toc15396610"/>
      <w:r>
        <w:rPr>
          <w:rFonts w:hint="eastAsia" w:ascii="Times New Roman" w:hAnsi="Times New Roman" w:eastAsia="仿宋_GB2312"/>
          <w:b/>
          <w:sz w:val="32"/>
          <w:szCs w:val="32"/>
          <w:lang w:val="en-US" w:eastAsia="zh-CN"/>
        </w:rPr>
        <w:t>1.</w:t>
      </w:r>
      <w:r>
        <w:rPr>
          <w:rFonts w:hint="eastAsia" w:ascii="Times New Roman" w:hAnsi="Times New Roman" w:eastAsia="仿宋_GB2312"/>
          <w:b/>
          <w:sz w:val="32"/>
          <w:szCs w:val="32"/>
        </w:rPr>
        <w:t>因公出国（境）经费支出</w:t>
      </w:r>
      <w:r>
        <w:rPr>
          <w:rFonts w:ascii="Times New Roman" w:hAnsi="Times New Roman" w:eastAsia="仿宋_GB2312"/>
          <w:b/>
          <w:bCs w:val="0"/>
          <w:sz w:val="32"/>
          <w:szCs w:val="32"/>
        </w:rPr>
        <w:t>0</w:t>
      </w:r>
      <w:r>
        <w:rPr>
          <w:rFonts w:hint="eastAsia" w:ascii="Times New Roman" w:hAnsi="Times New Roman" w:eastAsia="仿宋_GB2312"/>
          <w:b/>
          <w:bCs w:val="0"/>
          <w:sz w:val="32"/>
          <w:szCs w:val="32"/>
        </w:rPr>
        <w:t>万元</w:t>
      </w:r>
      <w:r>
        <w:rPr>
          <w:rFonts w:hint="eastAsia" w:ascii="Times New Roman" w:hAnsi="Times New Roman" w:eastAsia="仿宋_GB2312"/>
          <w:sz w:val="32"/>
          <w:szCs w:val="32"/>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Cs/>
          <w:sz w:val="32"/>
          <w:szCs w:val="32"/>
        </w:rPr>
        <w:t>0</w:t>
      </w:r>
      <w:r>
        <w:rPr>
          <w:rStyle w:val="17"/>
          <w:rFonts w:ascii="Times New Roman" w:hAnsi="Times New Roman" w:eastAsia="仿宋_GB2312"/>
          <w:b w:val="0"/>
          <w:bCs/>
          <w:sz w:val="32"/>
          <w:szCs w:val="32"/>
        </w:rPr>
        <w:t>%</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全年安排因公出国（境）团组</w:t>
      </w:r>
      <w:r>
        <w:rPr>
          <w:rFonts w:ascii="Times New Roman" w:hAnsi="Times New Roman" w:eastAsia="仿宋_GB2312"/>
          <w:b/>
          <w:sz w:val="32"/>
          <w:szCs w:val="32"/>
        </w:rPr>
        <w:t>0</w:t>
      </w:r>
      <w:r>
        <w:rPr>
          <w:rFonts w:hint="eastAsia" w:ascii="Times New Roman" w:hAnsi="Times New Roman" w:eastAsia="仿宋_GB2312"/>
          <w:sz w:val="32"/>
          <w:szCs w:val="32"/>
        </w:rPr>
        <w:t>次，出国（境）</w:t>
      </w:r>
      <w:r>
        <w:rPr>
          <w:rFonts w:ascii="Times New Roman" w:hAnsi="Times New Roman" w:eastAsia="仿宋_GB2312"/>
          <w:b/>
          <w:sz w:val="32"/>
          <w:szCs w:val="32"/>
        </w:rPr>
        <w:t>0</w:t>
      </w:r>
      <w:r>
        <w:rPr>
          <w:rFonts w:hint="eastAsia" w:ascii="Times New Roman" w:hAnsi="Times New Roman" w:eastAsia="仿宋_GB2312"/>
          <w:sz w:val="32"/>
          <w:szCs w:val="32"/>
        </w:rPr>
        <w:t>人。因公出国（境）支出决算比2022年增加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我单位无此项支出</w:t>
      </w:r>
      <w:r>
        <w:rPr>
          <w:rFonts w:hint="eastAsia" w:ascii="Times New Roman" w:hAnsi="Times New Roman" w:eastAsia="仿宋_GB2312"/>
          <w:sz w:val="32"/>
          <w:szCs w:val="32"/>
        </w:rPr>
        <w:t>。</w:t>
      </w:r>
    </w:p>
    <w:p w14:paraId="1C998AEC">
      <w:pPr>
        <w:pStyle w:val="2"/>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开支内容包括：无</w:t>
      </w:r>
    </w:p>
    <w:p w14:paraId="51F6D78B">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公务用车购置及运行维护费支出</w:t>
      </w:r>
      <w:r>
        <w:rPr>
          <w:rFonts w:ascii="Times New Roman" w:hAnsi="Times New Roman" w:eastAsia="仿宋_GB2312"/>
          <w:b/>
          <w:sz w:val="32"/>
          <w:szCs w:val="32"/>
        </w:rPr>
        <w:t>6.47</w:t>
      </w:r>
      <w:r>
        <w:rPr>
          <w:rFonts w:hint="eastAsia" w:ascii="Times New Roman" w:hAnsi="Times New Roman" w:eastAsia="仿宋_GB2312"/>
          <w:b/>
          <w:bCs/>
          <w:sz w:val="32"/>
          <w:szCs w:val="32"/>
        </w:rPr>
        <w:t>万元</w:t>
      </w:r>
      <w:r>
        <w:rPr>
          <w:rFonts w:hint="eastAsia"/>
          <w:b/>
          <w:bCs/>
          <w:sz w:val="32"/>
          <w:szCs w:val="32"/>
          <w:lang w:eastAsia="zh-CN"/>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Cs/>
          <w:sz w:val="32"/>
          <w:szCs w:val="32"/>
        </w:rPr>
        <w:t>100</w:t>
      </w:r>
      <w:r>
        <w:rPr>
          <w:rStyle w:val="17"/>
          <w:rFonts w:ascii="Times New Roman" w:hAnsi="Times New Roman" w:eastAsia="仿宋_GB2312"/>
          <w:b w:val="0"/>
          <w:bCs/>
          <w:sz w:val="32"/>
          <w:szCs w:val="32"/>
        </w:rPr>
        <w:t>%</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公务用车购置及运行维护费支出决算比2022年度增加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304.38</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2022年公务用车运行维护费预算时未将本单位车辆纳入</w:t>
      </w:r>
      <w:r>
        <w:rPr>
          <w:rFonts w:hint="eastAsia" w:ascii="Times New Roman" w:hAnsi="Times New Roman" w:eastAsia="仿宋_GB2312"/>
          <w:sz w:val="32"/>
          <w:szCs w:val="32"/>
        </w:rPr>
        <w:t>。</w:t>
      </w:r>
    </w:p>
    <w:p w14:paraId="084217E9">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其中：</w:t>
      </w:r>
      <w:r>
        <w:rPr>
          <w:rFonts w:hint="eastAsia" w:ascii="Times New Roman" w:hAnsi="Times New Roman" w:eastAsia="仿宋_GB2312"/>
          <w:b/>
          <w:sz w:val="32"/>
          <w:szCs w:val="32"/>
        </w:rPr>
        <w:t>公务用车购置支出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。全年按规定更新购置公务用车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万元，越野车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万元。截至2023年</w:t>
      </w:r>
      <w:r>
        <w:rPr>
          <w:rFonts w:ascii="Times New Roman" w:hAnsi="Times New Roman" w:eastAsia="仿宋_GB2312"/>
          <w:sz w:val="32"/>
          <w:szCs w:val="32"/>
        </w:rPr>
        <w:t>12</w:t>
      </w:r>
      <w:r>
        <w:rPr>
          <w:rFonts w:hint="eastAsia" w:ascii="Times New Roman" w:hAnsi="Times New Roman" w:eastAsia="仿宋_GB2312"/>
          <w:sz w:val="32"/>
          <w:szCs w:val="32"/>
        </w:rPr>
        <w:t>月31日，单位共有公务用车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辆、越野车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BCD93A2">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公务用车运行维护费支出</w:t>
      </w:r>
      <w:r>
        <w:rPr>
          <w:rFonts w:ascii="Times New Roman" w:hAnsi="Times New Roman" w:eastAsia="仿宋_GB2312"/>
          <w:b/>
          <w:sz w:val="32"/>
          <w:szCs w:val="32"/>
        </w:rPr>
        <w:t>6.47</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。主要用于</w:t>
      </w:r>
      <w:r>
        <w:rPr>
          <w:rFonts w:hint="eastAsia" w:ascii="Times New Roman" w:hAnsi="Times New Roman" w:eastAsia="仿宋_GB2312"/>
          <w:bCs/>
          <w:color w:val="000000"/>
          <w:kern w:val="0"/>
          <w:sz w:val="32"/>
          <w:szCs w:val="32"/>
        </w:rPr>
        <w:t>防汛、森林草原防灭火专项</w:t>
      </w:r>
      <w:r>
        <w:rPr>
          <w:rFonts w:hint="eastAsia" w:ascii="Times New Roman" w:hAnsi="Times New Roman" w:eastAsia="仿宋_GB2312"/>
          <w:bCs/>
          <w:color w:val="000000"/>
          <w:kern w:val="0"/>
          <w:sz w:val="32"/>
          <w:szCs w:val="32"/>
          <w:lang w:eastAsia="zh-CN"/>
        </w:rPr>
        <w:t>以及日常入户工作</w:t>
      </w:r>
      <w:r>
        <w:rPr>
          <w:rFonts w:hint="eastAsia" w:ascii="Times New Roman" w:hAnsi="Times New Roman" w:eastAsia="仿宋_GB2312"/>
          <w:sz w:val="32"/>
          <w:szCs w:val="32"/>
        </w:rPr>
        <w:t>等所需的公务用车燃料费、维修费、过路过桥费、保险费等支出。</w:t>
      </w:r>
    </w:p>
    <w:p w14:paraId="2207687D">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公务接待费支出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 w:val="0"/>
          <w:bCs/>
          <w:sz w:val="32"/>
          <w:szCs w:val="32"/>
        </w:rPr>
        <w:t>0%</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公务接待费支出决算比2022年度减少</w:t>
      </w:r>
      <w:r>
        <w:rPr>
          <w:rFonts w:hint="eastAsia" w:ascii="Times New Roman" w:hAnsi="Times New Roman" w:eastAsia="仿宋_GB2312"/>
          <w:sz w:val="32"/>
          <w:szCs w:val="32"/>
          <w:lang w:val="en-US" w:eastAsia="zh-CN"/>
        </w:rPr>
        <w:t>0.2万</w:t>
      </w:r>
      <w:r>
        <w:rPr>
          <w:rFonts w:hint="eastAsia" w:ascii="Times New Roman" w:hAnsi="Times New Roman" w:eastAsia="仿宋_GB2312"/>
          <w:sz w:val="32"/>
          <w:szCs w:val="32"/>
        </w:rPr>
        <w:t>元，下降</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我乡接待费用支出</w:t>
      </w:r>
      <w:r>
        <w:rPr>
          <w:rFonts w:hint="eastAsia"/>
          <w:sz w:val="32"/>
          <w:szCs w:val="32"/>
          <w:lang w:eastAsia="zh-CN"/>
        </w:rPr>
        <w:t>频次减少</w:t>
      </w:r>
      <w:r>
        <w:rPr>
          <w:rFonts w:hint="eastAsia" w:ascii="Times New Roman" w:hAnsi="Times New Roman" w:eastAsia="仿宋_GB2312"/>
          <w:sz w:val="32"/>
          <w:szCs w:val="32"/>
        </w:rPr>
        <w:t>。其中：</w:t>
      </w:r>
    </w:p>
    <w:p w14:paraId="495627A4">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国内公务接待支出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，主要用于执行公务、开展业务活动开支的交通费、住宿费、用餐费等。国内公务接待</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批次，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人次（不包括陪同人员），共计支出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321C7E1">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外事接待支出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，外事接待</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批次，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人次（不包括陪同人员），共计支出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D97F36C">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7" w:name="_Toc5493_WPSOffice_Level2"/>
      <w:r>
        <w:rPr>
          <w:rFonts w:hint="eastAsia" w:ascii="Times New Roman" w:hAnsi="Times New Roman" w:eastAsia="黑体" w:cs="Times New Roman"/>
          <w:b w:val="0"/>
          <w:bCs w:val="0"/>
          <w:kern w:val="2"/>
          <w:sz w:val="32"/>
          <w:szCs w:val="32"/>
          <w:lang w:val="en-US" w:eastAsia="zh-CN" w:bidi="ar-SA"/>
        </w:rPr>
        <w:t>八、政府性基金预算支出决算情况说明</w:t>
      </w:r>
      <w:bookmarkEnd w:id="85"/>
      <w:bookmarkEnd w:id="86"/>
      <w:bookmarkEnd w:id="87"/>
    </w:p>
    <w:p w14:paraId="0A7C2B4C">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2023年度政府性基金预算财政拨款支出</w:t>
      </w:r>
      <w:r>
        <w:rPr>
          <w:rFonts w:ascii="Times New Roman" w:hAnsi="Times New Roman" w:eastAsia="仿宋_GB2312"/>
          <w:b/>
          <w:color w:val="auto"/>
          <w:sz w:val="32"/>
          <w:szCs w:val="32"/>
        </w:rPr>
        <w:t>15.5</w:t>
      </w:r>
      <w:r>
        <w:rPr>
          <w:rFonts w:hint="eastAsia" w:ascii="Times New Roman" w:hAnsi="Times New Roman" w:eastAsia="仿宋_GB2312"/>
          <w:color w:val="auto"/>
          <w:sz w:val="32"/>
          <w:szCs w:val="32"/>
        </w:rPr>
        <w:t>万元。</w:t>
      </w:r>
      <w:r>
        <w:rPr>
          <w:rFonts w:hint="eastAsia" w:ascii="Times New Roman" w:hAnsi="Times New Roman"/>
          <w:color w:val="auto"/>
          <w:sz w:val="32"/>
          <w:szCs w:val="32"/>
          <w:lang w:eastAsia="zh-CN"/>
        </w:rPr>
        <w:t>主要用于土地整</w:t>
      </w:r>
      <w:r>
        <w:rPr>
          <w:rFonts w:hint="eastAsia"/>
          <w:color w:val="auto"/>
          <w:sz w:val="32"/>
          <w:szCs w:val="32"/>
          <w:lang w:eastAsia="zh-CN"/>
        </w:rPr>
        <w:t>理耕地流出整改费用</w:t>
      </w:r>
      <w:r>
        <w:rPr>
          <w:rFonts w:hint="eastAsia" w:ascii="Times New Roman" w:hAnsi="Times New Roman"/>
          <w:color w:val="auto"/>
          <w:sz w:val="32"/>
          <w:szCs w:val="32"/>
          <w:lang w:eastAsia="zh-CN"/>
        </w:rPr>
        <w:t>支出。</w:t>
      </w:r>
    </w:p>
    <w:p w14:paraId="332D6C63">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8" w:name="_Toc9473_WPSOffice_Level2"/>
      <w:bookmarkStart w:id="89" w:name="_Toc15377219"/>
      <w:bookmarkStart w:id="90" w:name="_Toc15396611"/>
      <w:r>
        <w:rPr>
          <w:rFonts w:hint="eastAsia" w:ascii="Times New Roman" w:hAnsi="Times New Roman" w:eastAsia="黑体" w:cs="Times New Roman"/>
          <w:b w:val="0"/>
          <w:bCs w:val="0"/>
          <w:kern w:val="2"/>
          <w:sz w:val="32"/>
          <w:szCs w:val="32"/>
          <w:lang w:val="en-US" w:eastAsia="zh-CN" w:bidi="ar-SA"/>
        </w:rPr>
        <w:t>九、国有资本经营预算支出决算情况说明</w:t>
      </w:r>
      <w:bookmarkEnd w:id="88"/>
      <w:bookmarkEnd w:id="89"/>
      <w:bookmarkEnd w:id="90"/>
    </w:p>
    <w:p w14:paraId="41F823E6">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cs="方正小标宋简体"/>
          <w:sz w:val="32"/>
          <w:szCs w:val="44"/>
        </w:rPr>
      </w:pPr>
      <w:r>
        <w:rPr>
          <w:rFonts w:hint="eastAsia" w:ascii="Times New Roman" w:hAnsi="Times New Roman" w:eastAsia="仿宋_GB2312"/>
          <w:sz w:val="32"/>
          <w:szCs w:val="32"/>
        </w:rPr>
        <w:t>2023年度国有资本经营预算财政拨款支出</w:t>
      </w:r>
      <w:r>
        <w:rPr>
          <w:rFonts w:ascii="Times New Roman" w:hAnsi="Times New Roman" w:eastAsia="仿宋_GB2312"/>
          <w:b/>
          <w:sz w:val="32"/>
          <w:szCs w:val="32"/>
        </w:rPr>
        <w:t>0</w:t>
      </w:r>
      <w:r>
        <w:rPr>
          <w:rFonts w:hint="eastAsia" w:ascii="Times New Roman" w:hAnsi="Times New Roman" w:eastAsia="仿宋_GB2312"/>
          <w:sz w:val="32"/>
          <w:szCs w:val="32"/>
        </w:rPr>
        <w:t>万元。</w:t>
      </w:r>
    </w:p>
    <w:p w14:paraId="5C0FE0BE">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91" w:name="_Toc5235_WPSOffice_Level2"/>
      <w:bookmarkStart w:id="92" w:name="_Toc15377221"/>
      <w:bookmarkStart w:id="93" w:name="_Toc15396612"/>
      <w:r>
        <w:rPr>
          <w:rFonts w:hint="eastAsia" w:ascii="Times New Roman" w:hAnsi="Times New Roman" w:eastAsia="黑体" w:cs="Times New Roman"/>
          <w:b w:val="0"/>
          <w:bCs w:val="0"/>
          <w:kern w:val="2"/>
          <w:sz w:val="32"/>
          <w:szCs w:val="32"/>
          <w:lang w:val="en-US" w:eastAsia="zh-CN" w:bidi="ar-SA"/>
        </w:rPr>
        <w:t>十、其他重要事项的情况说明</w:t>
      </w:r>
      <w:bookmarkEnd w:id="91"/>
      <w:bookmarkEnd w:id="92"/>
      <w:bookmarkEnd w:id="93"/>
    </w:p>
    <w:p w14:paraId="3BCA4FD0">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4" w:name="_Toc15377222"/>
      <w:r>
        <w:rPr>
          <w:rFonts w:hint="eastAsia" w:ascii="Times New Roman" w:hAnsi="Times New Roman" w:eastAsia="楷体" w:cs="Times New Roman"/>
          <w:b/>
          <w:bCs/>
          <w:sz w:val="32"/>
          <w:szCs w:val="32"/>
          <w:lang w:val="en-US" w:eastAsia="zh-CN"/>
        </w:rPr>
        <w:t>（一）机关运行经费支出情况</w:t>
      </w:r>
      <w:bookmarkEnd w:id="94"/>
    </w:p>
    <w:p w14:paraId="32CE2722">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b w:val="0"/>
          <w:bCs w:val="0"/>
          <w:sz w:val="32"/>
          <w:szCs w:val="32"/>
        </w:rPr>
        <w:t>2023年度，</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机关运行经费支出</w:t>
      </w:r>
      <w:r>
        <w:rPr>
          <w:rFonts w:ascii="Times New Roman" w:hAnsi="Times New Roman" w:eastAsia="仿宋_GB2312"/>
          <w:b w:val="0"/>
          <w:bCs w:val="0"/>
          <w:sz w:val="32"/>
          <w:szCs w:val="32"/>
        </w:rPr>
        <w:t>156.2</w:t>
      </w:r>
      <w:r>
        <w:rPr>
          <w:rFonts w:hint="eastAsia" w:ascii="Times New Roman" w:hAnsi="Times New Roman" w:eastAsia="仿宋_GB2312"/>
          <w:b w:val="0"/>
          <w:bCs w:val="0"/>
          <w:sz w:val="32"/>
          <w:szCs w:val="32"/>
        </w:rPr>
        <w:t>万元，比2022年度</w:t>
      </w:r>
      <w:r>
        <w:rPr>
          <w:rFonts w:hint="eastAsia" w:ascii="Times New Roman" w:hAnsi="Times New Roman" w:eastAsia="仿宋_GB2312"/>
          <w:sz w:val="32"/>
          <w:szCs w:val="32"/>
          <w:lang w:val="en-US" w:eastAsia="zh-CN"/>
        </w:rPr>
        <w:t>168.59万元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12.39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7.35</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厉行节约，属正常变动</w:t>
      </w:r>
      <w:r>
        <w:rPr>
          <w:rFonts w:hint="eastAsia" w:ascii="Times New Roman" w:hAnsi="Times New Roman" w:eastAsia="仿宋_GB2312"/>
          <w:sz w:val="32"/>
          <w:szCs w:val="32"/>
        </w:rPr>
        <w:t>。</w:t>
      </w:r>
    </w:p>
    <w:p w14:paraId="5DA6003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5" w:name="_Toc15377223"/>
      <w:r>
        <w:rPr>
          <w:rFonts w:hint="eastAsia" w:ascii="Times New Roman" w:hAnsi="Times New Roman" w:eastAsia="楷体" w:cs="Times New Roman"/>
          <w:b/>
          <w:bCs/>
          <w:sz w:val="32"/>
          <w:szCs w:val="32"/>
          <w:lang w:val="en-US" w:eastAsia="zh-CN"/>
        </w:rPr>
        <w:t>（二）政府采购支出情况</w:t>
      </w:r>
      <w:bookmarkEnd w:id="95"/>
    </w:p>
    <w:p w14:paraId="7A0E26C6">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2023年度，</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政府采购支出总额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万元，其中：政府采购货物支出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万元、政府采购工程支出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万元、政府采购服务支出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万元。授予中小企业合同金额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万元，占政府采购支出总额的</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，其中：授予小微企业合同金额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万元，占政府采购支出总额的</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w:t>
      </w:r>
    </w:p>
    <w:p w14:paraId="76C65DA3">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6" w:name="_Toc15377224"/>
      <w:r>
        <w:rPr>
          <w:rFonts w:hint="eastAsia" w:ascii="Times New Roman" w:hAnsi="Times New Roman" w:eastAsia="楷体" w:cs="Times New Roman"/>
          <w:b/>
          <w:bCs/>
          <w:sz w:val="32"/>
          <w:szCs w:val="32"/>
          <w:lang w:val="en-US" w:eastAsia="zh-CN"/>
        </w:rPr>
        <w:t>（三）国有资产占有使用情况</w:t>
      </w:r>
      <w:bookmarkEnd w:id="96"/>
    </w:p>
    <w:p w14:paraId="54FF6295">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截至2023年</w:t>
      </w:r>
      <w:r>
        <w:rPr>
          <w:rFonts w:ascii="Times New Roman" w:hAnsi="Times New Roman" w:eastAsia="仿宋_GB2312"/>
          <w:b w:val="0"/>
          <w:bCs w:val="0"/>
          <w:sz w:val="32"/>
          <w:szCs w:val="32"/>
        </w:rPr>
        <w:t>12</w:t>
      </w:r>
      <w:r>
        <w:rPr>
          <w:rFonts w:hint="eastAsia" w:ascii="Times New Roman" w:hAnsi="Times New Roman" w:eastAsia="仿宋_GB2312"/>
          <w:b w:val="0"/>
          <w:bCs w:val="0"/>
          <w:sz w:val="32"/>
          <w:szCs w:val="32"/>
        </w:rPr>
        <w:t>月</w:t>
      </w:r>
      <w:r>
        <w:rPr>
          <w:rFonts w:ascii="Times New Roman" w:hAnsi="Times New Roman" w:eastAsia="仿宋_GB2312"/>
          <w:b w:val="0"/>
          <w:bCs w:val="0"/>
          <w:sz w:val="32"/>
          <w:szCs w:val="32"/>
        </w:rPr>
        <w:t>31</w:t>
      </w:r>
      <w:r>
        <w:rPr>
          <w:rFonts w:hint="eastAsia" w:ascii="Times New Roman" w:hAnsi="Times New Roman" w:eastAsia="仿宋_GB2312"/>
          <w:b w:val="0"/>
          <w:bCs w:val="0"/>
          <w:sz w:val="32"/>
          <w:szCs w:val="32"/>
        </w:rPr>
        <w:t>日，</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共有车辆1辆，其中：主要领导干部用车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辆、机要通信用车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辆、应急保障用车</w:t>
      </w: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辆、其他用车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辆。单价</w:t>
      </w:r>
      <w:r>
        <w:rPr>
          <w:rFonts w:ascii="Times New Roman" w:hAnsi="Times New Roman" w:eastAsia="仿宋_GB2312"/>
          <w:b w:val="0"/>
          <w:bCs w:val="0"/>
          <w:sz w:val="32"/>
          <w:szCs w:val="32"/>
        </w:rPr>
        <w:t>100</w:t>
      </w:r>
      <w:r>
        <w:rPr>
          <w:rFonts w:hint="eastAsia" w:ascii="Times New Roman" w:hAnsi="Times New Roman" w:eastAsia="仿宋_GB2312"/>
          <w:b w:val="0"/>
          <w:bCs w:val="0"/>
          <w:sz w:val="32"/>
          <w:szCs w:val="32"/>
        </w:rPr>
        <w:t>万元以上设备（不含车辆）</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台（套）。</w:t>
      </w:r>
    </w:p>
    <w:p w14:paraId="6E70A4A5">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（四）预算绩效管理情况</w:t>
      </w:r>
    </w:p>
    <w:p w14:paraId="0920A5EE">
      <w:pPr>
        <w:spacing w:line="590" w:lineRule="exact"/>
        <w:ind w:firstLine="640"/>
        <w:jc w:val="both"/>
        <w:rPr>
          <w:rFonts w:hint="eastAsia" w:ascii="仿宋_GB2312" w:hAnsi="Times New Roman" w:eastAsia="仿宋_GB2312"/>
          <w:sz w:val="32"/>
          <w:szCs w:val="32"/>
        </w:rPr>
      </w:pPr>
      <w:bookmarkStart w:id="97" w:name="_Toc15377225"/>
      <w:bookmarkStart w:id="98" w:name="_Toc15396613"/>
      <w:r>
        <w:rPr>
          <w:rFonts w:hint="eastAsia" w:ascii="Times New Roman" w:hAnsi="Times New Roman" w:eastAsia="仿宋_GB2312" w:cs="仿宋_GB2312"/>
          <w:sz w:val="32"/>
          <w:szCs w:val="32"/>
        </w:rPr>
        <w:t>根据预算绩效管理要求，本部门在2023年度预算编制阶段，组织对</w:t>
      </w:r>
      <w:r>
        <w:rPr>
          <w:rFonts w:hint="eastAsia" w:ascii="Times New Roman" w:hAnsi="Times New Roman" w:eastAsia="仿宋_GB2312"/>
          <w:sz w:val="32"/>
          <w:szCs w:val="32"/>
          <w:lang w:eastAsia="zh-CN"/>
        </w:rPr>
        <w:t>①</w:t>
      </w:r>
      <w:r>
        <w:rPr>
          <w:rFonts w:hint="eastAsia" w:ascii="Times New Roman" w:hAnsi="Times New Roman" w:eastAsia="仿宋_GB2312"/>
          <w:sz w:val="32"/>
          <w:szCs w:val="32"/>
        </w:rPr>
        <w:t>根据盐财资农</w:t>
      </w:r>
      <w:r>
        <w:rPr>
          <w:rFonts w:hint="eastAsia" w:ascii="Times New Roman" w:hAnsi="Times New Roman"/>
          <w:sz w:val="32"/>
          <w:szCs w:val="32"/>
          <w:lang w:eastAsia="zh-CN"/>
        </w:rPr>
        <w:t>〔</w:t>
      </w:r>
      <w:r>
        <w:rPr>
          <w:rFonts w:hint="eastAsia" w:ascii="Times New Roman" w:hAnsi="Times New Roman" w:eastAsia="仿宋_GB2312"/>
          <w:sz w:val="32"/>
          <w:szCs w:val="32"/>
        </w:rPr>
        <w:t>2023</w:t>
      </w:r>
      <w:r>
        <w:rPr>
          <w:rFonts w:hint="eastAsia" w:ascii="Times New Roman" w:hAnsi="Times New Roman"/>
          <w:sz w:val="32"/>
          <w:szCs w:val="32"/>
          <w:lang w:eastAsia="zh-CN"/>
        </w:rPr>
        <w:t>〕</w:t>
      </w:r>
      <w:r>
        <w:rPr>
          <w:rFonts w:hint="eastAsia" w:ascii="Times New Roman" w:hAnsi="Times New Roman" w:eastAsia="仿宋_GB2312"/>
          <w:sz w:val="32"/>
          <w:szCs w:val="32"/>
        </w:rPr>
        <w:t>7号关于下达2021年度烤烟生产扶持发展资金</w:t>
      </w:r>
      <w:r>
        <w:rPr>
          <w:rFonts w:hint="eastAsia" w:ascii="Times New Roman" w:hAnsi="Times New Roman" w:eastAsia="仿宋_GB2312"/>
          <w:sz w:val="32"/>
          <w:szCs w:val="32"/>
          <w:lang w:eastAsia="zh-CN"/>
        </w:rPr>
        <w:t>，②根据盐财资建〔2023〕312号关于下达省级投资土地整理补充耕地项目排查整改资金，③根据盐财资行〔2023〕524号下达格萨拉彝族乡维稳工作专项经费，④</w:t>
      </w:r>
      <w:r>
        <w:rPr>
          <w:rFonts w:hint="eastAsia" w:ascii="Times New Roman" w:hAnsi="Times New Roman" w:eastAsia="仿宋_GB2312"/>
          <w:sz w:val="32"/>
          <w:szCs w:val="32"/>
          <w:lang w:val="zh-CN"/>
        </w:rPr>
        <w:t>盐财资行〔202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454</w:t>
      </w:r>
      <w:r>
        <w:rPr>
          <w:rFonts w:hint="eastAsia" w:ascii="Times New Roman" w:hAnsi="Times New Roman" w:eastAsia="仿宋_GB2312"/>
          <w:sz w:val="32"/>
          <w:szCs w:val="32"/>
          <w:lang w:val="zh-CN"/>
        </w:rPr>
        <w:t>号关于下</w:t>
      </w:r>
      <w:r>
        <w:rPr>
          <w:rFonts w:hint="eastAsia" w:ascii="Times New Roman" w:hAnsi="Times New Roman" w:eastAsia="仿宋_GB2312"/>
          <w:sz w:val="32"/>
          <w:szCs w:val="32"/>
          <w:lang w:val="zh-CN" w:eastAsia="zh-CN"/>
        </w:rPr>
        <w:t>达格萨拉乡、温泉乡森林防火边界监控项目专项</w:t>
      </w:r>
      <w:r>
        <w:rPr>
          <w:rFonts w:hint="eastAsia" w:ascii="Times New Roman" w:hAnsi="Times New Roman" w:eastAsia="仿宋_GB2312"/>
          <w:sz w:val="32"/>
          <w:szCs w:val="32"/>
          <w:lang w:val="zh-CN"/>
        </w:rPr>
        <w:t>经费</w:t>
      </w:r>
      <w:r>
        <w:rPr>
          <w:rFonts w:hint="eastAsia" w:ascii="Times New Roman" w:hAnsi="Times New Roman" w:eastAsia="仿宋_GB2312"/>
          <w:sz w:val="32"/>
          <w:szCs w:val="32"/>
        </w:rPr>
        <w:t>的通知</w:t>
      </w:r>
      <w:r>
        <w:rPr>
          <w:rFonts w:hint="eastAsia" w:ascii="Times New Roman" w:hAnsi="Times New Roman" w:eastAsia="仿宋_GB2312"/>
          <w:sz w:val="32"/>
          <w:szCs w:val="32"/>
          <w:lang w:eastAsia="zh-CN"/>
        </w:rPr>
        <w:t>，⑤</w:t>
      </w:r>
      <w:r>
        <w:rPr>
          <w:rFonts w:hint="eastAsia" w:ascii="Times New Roman" w:hAnsi="Times New Roman" w:eastAsia="仿宋_GB2312"/>
          <w:sz w:val="32"/>
          <w:szCs w:val="32"/>
          <w:lang w:val="zh-CN"/>
        </w:rPr>
        <w:t>盐财资行〔202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lang w:val="zh-CN"/>
        </w:rPr>
        <w:t>号</w:t>
      </w:r>
      <w:r>
        <w:rPr>
          <w:rFonts w:hint="eastAsia" w:ascii="Times New Roman" w:hAnsi="Times New Roman" w:eastAsia="仿宋_GB2312"/>
          <w:sz w:val="32"/>
          <w:szCs w:val="32"/>
          <w:lang w:val="zh-CN" w:eastAsia="zh-CN"/>
        </w:rPr>
        <w:t>关于下达</w:t>
      </w:r>
      <w:r>
        <w:rPr>
          <w:rFonts w:hint="eastAsia" w:ascii="Times New Roman" w:hAnsi="Times New Roman" w:eastAsia="仿宋_GB2312"/>
          <w:sz w:val="32"/>
          <w:szCs w:val="32"/>
          <w:lang w:val="en-US" w:eastAsia="zh-CN"/>
        </w:rPr>
        <w:t>2023年度驻村工作队专项工作经费的通知</w:t>
      </w:r>
      <w:r>
        <w:rPr>
          <w:rFonts w:hint="eastAsia" w:ascii="Times New Roman" w:hAnsi="Times New Roman" w:eastAsia="仿宋_GB2312"/>
          <w:sz w:val="32"/>
          <w:szCs w:val="32"/>
        </w:rPr>
        <w:t>等</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w:t>
      </w:r>
      <w:r>
        <w:rPr>
          <w:rFonts w:hint="eastAsia" w:ascii="Times New Roman" w:hAnsi="Times New Roman" w:eastAsia="仿宋_GB2312" w:cs="仿宋_GB2312"/>
          <w:sz w:val="32"/>
          <w:szCs w:val="32"/>
        </w:rPr>
        <w:t>项目开展了预算事前绩效评估，对</w:t>
      </w: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rPr>
        <w:t>个项目编制了绩效目标，预算执行过程中，选取</w:t>
      </w: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rPr>
        <w:t>个项目开展绩效监控</w:t>
      </w:r>
      <w:r>
        <w:rPr>
          <w:rFonts w:hint="eastAsia" w:ascii="Times New Roman" w:hAnsi="Times New Roman" w:eastAsia="仿宋_GB2312" w:cs="仿宋_GB2312"/>
          <w:sz w:val="32"/>
          <w:szCs w:val="32"/>
          <w:lang w:eastAsia="zh-CN"/>
        </w:rPr>
        <w:t>，组织对</w:t>
      </w:r>
      <w:r>
        <w:rPr>
          <w:rFonts w:hint="eastAsia" w:ascii="Times New Roman" w:hAnsi="Times New Roman" w:eastAsia="仿宋_GB2312" w:cs="仿宋_GB2312"/>
          <w:sz w:val="32"/>
          <w:szCs w:val="32"/>
          <w:lang w:val="en-US" w:eastAsia="zh-CN"/>
        </w:rPr>
        <w:t>5</w:t>
      </w:r>
      <w:r>
        <w:rPr>
          <w:rFonts w:hint="eastAsia" w:ascii="仿宋_GB2312" w:hAnsi="Times New Roman" w:eastAsia="仿宋_GB2312"/>
          <w:sz w:val="32"/>
          <w:szCs w:val="32"/>
        </w:rPr>
        <w:t>个项目开展绩效自评，绩效自评表详见第四部分附件。</w:t>
      </w:r>
    </w:p>
    <w:p w14:paraId="09368AAB">
      <w:pPr>
        <w:keepNext w:val="0"/>
        <w:keepLines w:val="0"/>
        <w:pageBreakBefore w:val="0"/>
        <w:widowControl/>
        <w:numPr>
          <w:ilvl w:val="0"/>
          <w:numId w:val="0"/>
        </w:numPr>
        <w:tabs>
          <w:tab w:val="left" w:pos="1026"/>
          <w:tab w:val="center" w:pos="5533"/>
        </w:tabs>
        <w:kinsoku/>
        <w:wordWrap/>
        <w:overflowPunct/>
        <w:topLinePunct w:val="0"/>
        <w:bidi w:val="0"/>
        <w:spacing w:line="600" w:lineRule="exact"/>
        <w:jc w:val="left"/>
        <w:outlineLvl w:val="9"/>
        <w:rPr>
          <w:rFonts w:hint="eastAsia" w:ascii="Times New Roman" w:hAnsi="Times New Roman" w:eastAsia="黑体"/>
          <w:sz w:val="44"/>
          <w:szCs w:val="44"/>
          <w:lang w:eastAsia="zh-CN"/>
        </w:rPr>
      </w:pPr>
    </w:p>
    <w:bookmarkEnd w:id="97"/>
    <w:bookmarkEnd w:id="98"/>
    <w:p w14:paraId="4EE0C93D">
      <w:pPr>
        <w:pStyle w:val="14"/>
        <w:keepNext w:val="0"/>
        <w:keepLines w:val="0"/>
        <w:pageBreakBefore w:val="0"/>
        <w:widowControl/>
        <w:kinsoku/>
        <w:wordWrap/>
        <w:overflowPunct/>
        <w:topLinePunct w:val="0"/>
        <w:bidi w:val="0"/>
        <w:spacing w:line="560" w:lineRule="exact"/>
        <w:ind w:left="0" w:leftChars="0" w:firstLine="640"/>
        <w:rPr>
          <w:rFonts w:ascii="Times New Roman" w:hAnsi="Times New Roman" w:eastAsia="仿宋_GB2312" w:cs="仿宋"/>
          <w:sz w:val="32"/>
          <w:lang w:val="zh-CN"/>
        </w:rPr>
      </w:pPr>
      <w:bookmarkStart w:id="99" w:name="_Toc15377226"/>
      <w:r>
        <w:rPr>
          <w:rFonts w:ascii="Times New Roman" w:hAnsi="Times New Roman"/>
          <w:b/>
          <w:sz w:val="44"/>
          <w:szCs w:val="44"/>
        </w:rPr>
        <w:br w:type="page"/>
      </w:r>
      <w:bookmarkStart w:id="100" w:name="_Toc15396618"/>
    </w:p>
    <w:p w14:paraId="0B2FFD35">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sz w:val="44"/>
          <w:szCs w:val="44"/>
        </w:rPr>
      </w:pPr>
      <w:bookmarkStart w:id="101" w:name="_Toc9406_WPSOffice_Level1"/>
      <w:r>
        <w:rPr>
          <w:rFonts w:hint="eastAsia" w:ascii="Times New Roman" w:hAnsi="Times New Roman" w:eastAsia="方正小标宋简体" w:cs="Times New Roman"/>
          <w:b w:val="0"/>
          <w:sz w:val="44"/>
          <w:szCs w:val="44"/>
          <w:lang w:eastAsia="zh-CN"/>
        </w:rPr>
        <w:t>第三部分</w:t>
      </w:r>
      <w:r>
        <w:rPr>
          <w:rFonts w:hint="eastAsia" w:ascii="Times New Roman" w:hAnsi="Times New Roman" w:eastAsia="方正小标宋简体" w:cs="Times New Roman"/>
          <w:b w:val="0"/>
          <w:sz w:val="44"/>
          <w:szCs w:val="44"/>
          <w:lang w:val="en-US" w:eastAsia="zh-CN"/>
        </w:rPr>
        <w:t xml:space="preserve"> </w:t>
      </w:r>
      <w:r>
        <w:rPr>
          <w:rFonts w:hint="eastAsia" w:ascii="Times New Roman" w:hAnsi="Times New Roman" w:eastAsia="方正小标宋简体" w:cs="Times New Roman"/>
          <w:b w:val="0"/>
          <w:sz w:val="44"/>
          <w:szCs w:val="44"/>
        </w:rPr>
        <w:t>名词解释</w:t>
      </w:r>
      <w:bookmarkEnd w:id="101"/>
    </w:p>
    <w:p w14:paraId="26DEF8A7">
      <w:pPr>
        <w:keepNext w:val="0"/>
        <w:keepLines w:val="0"/>
        <w:pageBreakBefore w:val="0"/>
        <w:widowControl/>
        <w:kinsoku/>
        <w:wordWrap/>
        <w:overflowPunct/>
        <w:topLinePunct w:val="0"/>
        <w:bidi w:val="0"/>
        <w:spacing w:line="600" w:lineRule="exact"/>
        <w:jc w:val="left"/>
        <w:rPr>
          <w:rFonts w:ascii="Times New Roman" w:hAnsi="Times New Roman"/>
          <w:b/>
          <w:sz w:val="44"/>
          <w:szCs w:val="44"/>
        </w:rPr>
      </w:pPr>
    </w:p>
    <w:p w14:paraId="565AC225">
      <w:pPr>
        <w:pStyle w:val="26"/>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olor w:val="auto"/>
          <w:sz w:val="32"/>
          <w:szCs w:val="32"/>
        </w:rPr>
      </w:pPr>
      <w:bookmarkStart w:id="102" w:name="_Toc8903"/>
      <w:r>
        <w:rPr>
          <w:rFonts w:ascii="Times New Roman" w:hAnsi="Times New Roman" w:eastAsia="仿宋_GB2312"/>
          <w:b/>
          <w:bCs/>
          <w:color w:val="auto"/>
          <w:sz w:val="32"/>
          <w:szCs w:val="32"/>
        </w:rPr>
        <w:t>1.</w:t>
      </w:r>
      <w:r>
        <w:rPr>
          <w:rFonts w:hint="eastAsia" w:ascii="Times New Roman" w:hAnsi="Times New Roman" w:eastAsia="仿宋_GB2312"/>
          <w:b/>
          <w:bCs/>
          <w:color w:val="auto"/>
          <w:sz w:val="32"/>
          <w:szCs w:val="32"/>
        </w:rPr>
        <w:t>财政拨款收入：</w:t>
      </w:r>
      <w:r>
        <w:rPr>
          <w:rFonts w:hint="eastAsia" w:ascii="Times New Roman" w:hAnsi="Times New Roman" w:eastAsia="仿宋_GB2312"/>
          <w:color w:val="auto"/>
          <w:sz w:val="32"/>
          <w:szCs w:val="32"/>
        </w:rPr>
        <w:t>指单位从同级财政部门取得的财政预算资金。</w:t>
      </w:r>
      <w:bookmarkEnd w:id="102"/>
    </w:p>
    <w:p w14:paraId="435B044D">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2.</w:t>
      </w:r>
      <w:r>
        <w:rPr>
          <w:rFonts w:hint="eastAsia" w:ascii="Times New Roman" w:hAnsi="Times New Roman" w:eastAsia="仿宋_GB2312"/>
          <w:b/>
          <w:bCs/>
          <w:color w:val="auto"/>
          <w:sz w:val="32"/>
          <w:szCs w:val="32"/>
        </w:rPr>
        <w:t>事业收入：</w:t>
      </w:r>
      <w:r>
        <w:rPr>
          <w:rFonts w:hint="eastAsia" w:ascii="Times New Roman" w:hAnsi="Times New Roman" w:eastAsia="仿宋_GB2312"/>
          <w:color w:val="auto"/>
          <w:sz w:val="32"/>
          <w:szCs w:val="32"/>
        </w:rPr>
        <w:t>指事业单位开展专业业务活动及辅助活动取得的收入。如二级预算单位事业收入情况等。</w:t>
      </w:r>
    </w:p>
    <w:p w14:paraId="34142909">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3.</w:t>
      </w:r>
      <w:r>
        <w:rPr>
          <w:rFonts w:hint="eastAsia" w:ascii="Times New Roman" w:hAnsi="Times New Roman" w:eastAsia="仿宋_GB2312"/>
          <w:b/>
          <w:bCs/>
          <w:color w:val="auto"/>
          <w:sz w:val="32"/>
          <w:szCs w:val="32"/>
        </w:rPr>
        <w:t>经营收入：</w:t>
      </w:r>
      <w:r>
        <w:rPr>
          <w:rFonts w:hint="eastAsia" w:ascii="Times New Roman" w:hAnsi="Times New Roman" w:eastAsia="仿宋_GB2312"/>
          <w:color w:val="auto"/>
          <w:sz w:val="32"/>
          <w:szCs w:val="32"/>
        </w:rPr>
        <w:t>指事业单位在专业业务活动及其辅助活动之外开展非独立核算经营活动取得的收入。如二级预算单位经营收入情况等。</w:t>
      </w:r>
    </w:p>
    <w:p w14:paraId="1139B606">
      <w:pPr>
        <w:pStyle w:val="26"/>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olor w:val="auto"/>
          <w:sz w:val="32"/>
          <w:szCs w:val="32"/>
        </w:rPr>
      </w:pPr>
      <w:bookmarkStart w:id="103" w:name="_Toc10461"/>
      <w:r>
        <w:rPr>
          <w:rFonts w:ascii="Times New Roman" w:hAnsi="Times New Roman" w:eastAsia="仿宋_GB2312"/>
          <w:b/>
          <w:bCs/>
          <w:color w:val="auto"/>
          <w:sz w:val="32"/>
          <w:szCs w:val="32"/>
        </w:rPr>
        <w:t>4.</w:t>
      </w:r>
      <w:r>
        <w:rPr>
          <w:rFonts w:hint="eastAsia" w:ascii="Times New Roman" w:hAnsi="Times New Roman" w:eastAsia="仿宋_GB2312"/>
          <w:b/>
          <w:bCs/>
          <w:color w:val="auto"/>
          <w:sz w:val="32"/>
          <w:szCs w:val="32"/>
        </w:rPr>
        <w:t>其他收入：</w:t>
      </w:r>
      <w:r>
        <w:rPr>
          <w:rFonts w:hint="eastAsia" w:ascii="Times New Roman" w:hAnsi="Times New Roman" w:eastAsia="仿宋_GB2312"/>
          <w:color w:val="auto"/>
          <w:sz w:val="32"/>
          <w:szCs w:val="32"/>
        </w:rPr>
        <w:t>指单位取得的除上述收入以外的各项收入。</w:t>
      </w:r>
      <w:bookmarkEnd w:id="103"/>
    </w:p>
    <w:p w14:paraId="66370232">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5.</w:t>
      </w:r>
      <w:r>
        <w:rPr>
          <w:rFonts w:hint="eastAsia" w:ascii="Times New Roman" w:hAnsi="Times New Roman" w:eastAsia="仿宋_GB2312"/>
          <w:b/>
          <w:bCs/>
          <w:color w:val="auto"/>
          <w:sz w:val="32"/>
          <w:szCs w:val="32"/>
        </w:rPr>
        <w:t>使用非财政拨款结余（含专用结余）：</w:t>
      </w:r>
      <w:r>
        <w:rPr>
          <w:rFonts w:hint="eastAsia" w:ascii="Times New Roman" w:hAnsi="Times New Roman" w:eastAsia="仿宋_GB2312"/>
          <w:color w:val="auto"/>
          <w:sz w:val="32"/>
          <w:szCs w:val="32"/>
        </w:rPr>
        <w:t>指事业单位使用以前年度积累的非财政拨款结余弥补当年收支差额的金额。</w:t>
      </w:r>
      <w:r>
        <w:rPr>
          <w:rFonts w:ascii="Times New Roman" w:hAnsi="Times New Roman" w:eastAsia="仿宋_GB2312"/>
          <w:color w:val="auto"/>
          <w:sz w:val="32"/>
          <w:szCs w:val="32"/>
        </w:rPr>
        <w:t xml:space="preserve"> </w:t>
      </w:r>
    </w:p>
    <w:p w14:paraId="7CB516B9">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6.</w:t>
      </w:r>
      <w:r>
        <w:rPr>
          <w:rFonts w:hint="eastAsia" w:ascii="Times New Roman" w:hAnsi="Times New Roman" w:eastAsia="仿宋_GB2312"/>
          <w:b/>
          <w:bCs/>
          <w:color w:val="auto"/>
          <w:sz w:val="32"/>
          <w:szCs w:val="32"/>
        </w:rPr>
        <w:t>年初结转和结余：</w:t>
      </w:r>
      <w:r>
        <w:rPr>
          <w:rFonts w:hint="eastAsia" w:ascii="Times New Roman" w:hAnsi="Times New Roman" w:eastAsia="仿宋_GB2312"/>
          <w:color w:val="auto"/>
          <w:sz w:val="32"/>
          <w:szCs w:val="32"/>
        </w:rPr>
        <w:t>指以前年度尚未完成、结转到本年按有关规定继续使用的资金。</w:t>
      </w:r>
      <w:r>
        <w:rPr>
          <w:rFonts w:ascii="Times New Roman" w:hAnsi="Times New Roman" w:eastAsia="仿宋_GB2312"/>
          <w:color w:val="auto"/>
          <w:sz w:val="32"/>
          <w:szCs w:val="32"/>
        </w:rPr>
        <w:t xml:space="preserve"> </w:t>
      </w:r>
    </w:p>
    <w:p w14:paraId="60927621">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7.</w:t>
      </w:r>
      <w:r>
        <w:rPr>
          <w:rFonts w:hint="eastAsia" w:ascii="Times New Roman" w:hAnsi="Times New Roman" w:eastAsia="仿宋_GB2312"/>
          <w:b/>
          <w:bCs/>
          <w:color w:val="auto"/>
          <w:sz w:val="32"/>
          <w:szCs w:val="32"/>
        </w:rPr>
        <w:t>结余分配：</w:t>
      </w:r>
      <w:r>
        <w:rPr>
          <w:rFonts w:hint="eastAsia" w:ascii="Times New Roman" w:hAnsi="Times New Roman" w:eastAsia="仿宋_GB2312"/>
          <w:color w:val="auto"/>
          <w:sz w:val="32"/>
          <w:szCs w:val="32"/>
        </w:rPr>
        <w:t>指事业单位按照会计制度规定缴纳的所得税、提取的专用结余以及转入非财政拨款结余的金额等。</w:t>
      </w:r>
    </w:p>
    <w:p w14:paraId="2821FEEA">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8</w:t>
      </w:r>
      <w:r>
        <w:rPr>
          <w:rFonts w:hint="eastAsia" w:ascii="Times New Roman" w:hAnsi="Times New Roman" w:eastAsia="仿宋_GB2312"/>
          <w:b/>
          <w:bCs/>
          <w:color w:val="auto"/>
          <w:sz w:val="32"/>
          <w:szCs w:val="32"/>
        </w:rPr>
        <w:t>.年末结转和结余：</w:t>
      </w:r>
      <w:r>
        <w:rPr>
          <w:rFonts w:hint="eastAsia" w:ascii="Times New Roman" w:hAnsi="Times New Roman" w:eastAsia="仿宋_GB2312"/>
          <w:color w:val="auto"/>
          <w:sz w:val="32"/>
          <w:szCs w:val="32"/>
        </w:rPr>
        <w:t>指单位按有关规定结转到下年或以后年度继续使用的资金。</w:t>
      </w:r>
    </w:p>
    <w:p w14:paraId="649BCDBD">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hint="eastAsia" w:ascii="Times New Roman" w:hAnsi="Times New Roman" w:eastAsia="仿宋_GB2312" w:cs="仿宋"/>
          <w:b/>
          <w:bCs/>
          <w:color w:val="auto"/>
          <w:kern w:val="0"/>
          <w:sz w:val="32"/>
          <w:szCs w:val="32"/>
          <w:lang w:val="en-US" w:eastAsia="zh-CN" w:bidi="ar-SA"/>
        </w:rPr>
      </w:pPr>
      <w:bookmarkStart w:id="104" w:name="_Toc29162"/>
      <w:r>
        <w:rPr>
          <w:rFonts w:ascii="Times New Roman" w:hAnsi="Times New Roman" w:eastAsia="仿宋_GB2312" w:cs="仿宋"/>
          <w:b/>
          <w:bCs/>
          <w:color w:val="auto"/>
          <w:kern w:val="0"/>
          <w:sz w:val="32"/>
          <w:szCs w:val="32"/>
          <w:lang w:val="en-US" w:eastAsia="zh-CN" w:bidi="ar-SA"/>
        </w:rPr>
        <w:t>9.</w:t>
      </w:r>
      <w:r>
        <w:rPr>
          <w:rFonts w:hint="eastAsia" w:ascii="Times New Roman" w:hAnsi="Times New Roman" w:eastAsia="仿宋_GB2312" w:cs="仿宋"/>
          <w:b/>
          <w:bCs/>
          <w:color w:val="auto"/>
          <w:kern w:val="0"/>
          <w:sz w:val="32"/>
          <w:szCs w:val="32"/>
          <w:lang w:val="en-US" w:eastAsia="zh-CN" w:bidi="ar-SA"/>
        </w:rPr>
        <w:t>一般公共服务</w:t>
      </w:r>
      <w:bookmarkEnd w:id="104"/>
    </w:p>
    <w:p w14:paraId="6578F114">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05" w:name="_Toc6974_WPSOffice_Level2"/>
      <w:bookmarkStart w:id="106" w:name="_Toc7247_WPSOffice_Level2"/>
      <w:bookmarkStart w:id="107" w:name="_Toc17357_WPSOffice_Level2"/>
      <w:bookmarkStart w:id="108" w:name="_Toc17665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人大事务</w:t>
      </w:r>
      <w:bookmarkEnd w:id="105"/>
      <w:bookmarkEnd w:id="106"/>
      <w:bookmarkEnd w:id="107"/>
      <w:bookmarkEnd w:id="108"/>
    </w:p>
    <w:p w14:paraId="377991F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2010101：指反映行政单位（包括实行公务员管理的事业单位）的基本支出。</w:t>
      </w:r>
    </w:p>
    <w:p w14:paraId="555BBE5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2010104：指反映各级人大召开人民代表大会等专门会议的支出。</w:t>
      </w:r>
    </w:p>
    <w:p w14:paraId="2477A33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2010108：指反映人大代表开展各类视察等方面的支出。</w:t>
      </w:r>
    </w:p>
    <w:p w14:paraId="2128688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09" w:name="_Toc19622_WPSOffice_Level2"/>
      <w:bookmarkStart w:id="110" w:name="_Toc16273_WPSOffice_Level2"/>
      <w:bookmarkStart w:id="111" w:name="_Toc22441_WPSOffice_Level2"/>
      <w:bookmarkStart w:id="112" w:name="_Toc29919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政府办公厅（室）及相关机构事务</w:t>
      </w:r>
      <w:bookmarkEnd w:id="109"/>
      <w:bookmarkEnd w:id="110"/>
      <w:bookmarkEnd w:id="111"/>
      <w:bookmarkEnd w:id="112"/>
    </w:p>
    <w:p w14:paraId="785E6EB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2010301：指反映行政单位（包括实行公务员管理的事业单位）的基本支出。</w:t>
      </w:r>
    </w:p>
    <w:p w14:paraId="3C56E79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2010302：指反映行政单位（包括实行公务员管理的事业单位）未单独设置项级科目的其他项目支出。</w:t>
      </w:r>
    </w:p>
    <w:p w14:paraId="5C1B962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2010308：指反映各级政府用于接待群众来信来访方面的支出。</w:t>
      </w:r>
    </w:p>
    <w:p w14:paraId="4ADB06B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13" w:name="_Toc26558_WPSOffice_Level2"/>
      <w:bookmarkStart w:id="114" w:name="_Toc5741_WPSOffice_Level2"/>
      <w:bookmarkStart w:id="115" w:name="_Toc29843_WPSOffice_Level2"/>
      <w:bookmarkStart w:id="116" w:name="_Toc15291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财政事务</w:t>
      </w:r>
      <w:bookmarkEnd w:id="113"/>
      <w:bookmarkEnd w:id="114"/>
      <w:bookmarkEnd w:id="115"/>
      <w:bookmarkEnd w:id="116"/>
    </w:p>
    <w:p w14:paraId="3E0C37F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2010601：指反映行政单位（包括实行公务员管理的事业单位）的基本支出。</w:t>
      </w:r>
    </w:p>
    <w:p w14:paraId="0141283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2010602：指反映行政单位（包括实行公务员管理的事业单位）未单独设置项级科目的其他项目支出。</w:t>
      </w:r>
    </w:p>
    <w:p w14:paraId="16E9573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2010650：指反映事业单位的基本支出，不包括行政单位（包括实行公务员管理的事业单位）后勤服务中心、医务室等附属事业单位。</w:t>
      </w:r>
    </w:p>
    <w:p w14:paraId="1106A35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17" w:name="_Toc24868_WPSOffice_Level2"/>
      <w:bookmarkStart w:id="118" w:name="_Toc21151_WPSOffice_Level2"/>
      <w:bookmarkStart w:id="119" w:name="_Toc11976_WPSOffice_Level2"/>
      <w:bookmarkStart w:id="120" w:name="_Toc28355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党委办公厅（室）及相关机构事务</w:t>
      </w:r>
      <w:bookmarkEnd w:id="117"/>
      <w:bookmarkEnd w:id="118"/>
      <w:bookmarkEnd w:id="119"/>
      <w:bookmarkEnd w:id="120"/>
    </w:p>
    <w:p w14:paraId="5F3C07C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2013101：指反映行政单位（包括实行公务员管理的事业单位）的基本支出。</w:t>
      </w:r>
    </w:p>
    <w:p w14:paraId="6E431ECD">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s="仿宋"/>
          <w:b/>
          <w:bCs/>
          <w:color w:val="auto"/>
          <w:kern w:val="0"/>
          <w:sz w:val="32"/>
          <w:szCs w:val="32"/>
          <w:lang w:val="en-US" w:eastAsia="zh-CN" w:bidi="ar-SA"/>
        </w:rPr>
      </w:pPr>
      <w:bookmarkStart w:id="121" w:name="_Toc10946"/>
      <w:r>
        <w:rPr>
          <w:rFonts w:ascii="Times New Roman" w:hAnsi="Times New Roman" w:eastAsia="仿宋_GB2312" w:cs="仿宋"/>
          <w:b/>
          <w:bCs/>
          <w:color w:val="auto"/>
          <w:kern w:val="0"/>
          <w:sz w:val="32"/>
          <w:szCs w:val="32"/>
          <w:lang w:val="en-US" w:eastAsia="zh-CN" w:bidi="ar-SA"/>
        </w:rPr>
        <w:t>1</w:t>
      </w:r>
      <w:r>
        <w:rPr>
          <w:rFonts w:hint="eastAsia" w:ascii="Times New Roman" w:hAnsi="Times New Roman" w:eastAsia="仿宋_GB2312" w:cs="仿宋"/>
          <w:b/>
          <w:bCs/>
          <w:color w:val="auto"/>
          <w:kern w:val="0"/>
          <w:sz w:val="32"/>
          <w:szCs w:val="32"/>
          <w:lang w:val="en-US" w:eastAsia="zh-CN" w:bidi="ar-SA"/>
        </w:rPr>
        <w:t>0</w:t>
      </w:r>
      <w:r>
        <w:rPr>
          <w:rFonts w:ascii="Times New Roman" w:hAnsi="Times New Roman" w:eastAsia="仿宋_GB2312" w:cs="仿宋"/>
          <w:b/>
          <w:bCs/>
          <w:color w:val="auto"/>
          <w:kern w:val="0"/>
          <w:sz w:val="32"/>
          <w:szCs w:val="32"/>
          <w:lang w:val="en-US" w:eastAsia="zh-CN" w:bidi="ar-SA"/>
        </w:rPr>
        <w:t>.</w:t>
      </w:r>
      <w:r>
        <w:rPr>
          <w:rFonts w:hint="eastAsia" w:ascii="Times New Roman" w:hAnsi="Times New Roman" w:eastAsia="仿宋_GB2312" w:cs="仿宋"/>
          <w:b/>
          <w:bCs/>
          <w:color w:val="auto"/>
          <w:kern w:val="0"/>
          <w:sz w:val="32"/>
          <w:szCs w:val="32"/>
          <w:lang w:val="en-US" w:eastAsia="zh-CN" w:bidi="ar-SA"/>
        </w:rPr>
        <w:t>文化体育与传媒文化</w:t>
      </w:r>
      <w:bookmarkEnd w:id="121"/>
    </w:p>
    <w:p w14:paraId="390747D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2070109：指反映群众文化方面的支出，包括基层文化馆（站）、群众艺术馆支出等。</w:t>
      </w:r>
    </w:p>
    <w:p w14:paraId="5FE1AB9A">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2070</w:t>
      </w:r>
      <w:r>
        <w:rPr>
          <w:rFonts w:hint="eastAsia" w:ascii="Times New Roman" w:hAnsi="Times New Roman" w:eastAsia="仿宋_GB2312"/>
          <w:bCs/>
          <w:color w:val="000000"/>
          <w:kern w:val="0"/>
          <w:sz w:val="32"/>
          <w:szCs w:val="32"/>
          <w:lang w:val="en-US" w:eastAsia="zh-CN"/>
        </w:rPr>
        <w:t>1</w:t>
      </w:r>
      <w:r>
        <w:rPr>
          <w:rFonts w:hint="eastAsia" w:ascii="Times New Roman" w:hAnsi="Times New Roman" w:eastAsia="仿宋_GB2312"/>
          <w:bCs/>
          <w:color w:val="000000"/>
          <w:kern w:val="0"/>
          <w:sz w:val="32"/>
          <w:szCs w:val="32"/>
        </w:rPr>
        <w:t>99：指反映除上述项目以外其他用于</w:t>
      </w:r>
      <w:r>
        <w:rPr>
          <w:rFonts w:hint="eastAsia" w:ascii="Times New Roman" w:hAnsi="Times New Roman" w:eastAsia="仿宋_GB2312"/>
          <w:bCs/>
          <w:color w:val="000000"/>
          <w:kern w:val="0"/>
          <w:sz w:val="32"/>
          <w:szCs w:val="32"/>
          <w:lang w:eastAsia="zh-CN"/>
        </w:rPr>
        <w:t>文化和旅游方面</w:t>
      </w:r>
      <w:r>
        <w:rPr>
          <w:rFonts w:hint="eastAsia" w:ascii="Times New Roman" w:hAnsi="Times New Roman" w:eastAsia="仿宋_GB2312"/>
          <w:bCs/>
          <w:color w:val="000000"/>
          <w:kern w:val="0"/>
          <w:sz w:val="32"/>
          <w:szCs w:val="32"/>
        </w:rPr>
        <w:t>的支出。</w:t>
      </w:r>
    </w:p>
    <w:p w14:paraId="0EAD021C">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hint="eastAsia" w:ascii="Times New Roman" w:hAnsi="Times New Roman" w:eastAsia="仿宋_GB2312" w:cs="仿宋"/>
          <w:b/>
          <w:bCs/>
          <w:color w:val="auto"/>
          <w:kern w:val="0"/>
          <w:sz w:val="32"/>
          <w:szCs w:val="32"/>
          <w:lang w:val="en-US" w:eastAsia="zh-CN" w:bidi="ar-SA"/>
        </w:rPr>
      </w:pPr>
      <w:bookmarkStart w:id="122" w:name="_Toc4719"/>
      <w:r>
        <w:rPr>
          <w:rFonts w:ascii="Times New Roman" w:hAnsi="Times New Roman" w:eastAsia="仿宋_GB2312" w:cs="仿宋"/>
          <w:b/>
          <w:bCs/>
          <w:color w:val="auto"/>
          <w:kern w:val="0"/>
          <w:sz w:val="32"/>
          <w:szCs w:val="32"/>
          <w:lang w:val="en-US" w:eastAsia="zh-CN" w:bidi="ar-SA"/>
        </w:rPr>
        <w:t>1</w:t>
      </w: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w:t>
      </w:r>
      <w:r>
        <w:rPr>
          <w:rFonts w:hint="eastAsia" w:ascii="Times New Roman" w:hAnsi="Times New Roman" w:eastAsia="仿宋_GB2312" w:cs="仿宋"/>
          <w:b/>
          <w:bCs/>
          <w:color w:val="auto"/>
          <w:kern w:val="0"/>
          <w:sz w:val="32"/>
          <w:szCs w:val="32"/>
          <w:lang w:val="en-US" w:eastAsia="zh-CN" w:bidi="ar-SA"/>
        </w:rPr>
        <w:t>社会保障和就业</w:t>
      </w:r>
      <w:bookmarkEnd w:id="122"/>
    </w:p>
    <w:p w14:paraId="10834F3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23" w:name="_Toc27211_WPSOffice_Level2"/>
      <w:bookmarkStart w:id="124" w:name="_Toc30487_WPSOffice_Level2"/>
      <w:bookmarkStart w:id="125" w:name="_Toc31398_WPSOffice_Level2"/>
      <w:bookmarkStart w:id="126" w:name="_Toc780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人力资源和社会保障管理事务</w:t>
      </w:r>
      <w:bookmarkEnd w:id="123"/>
      <w:bookmarkEnd w:id="124"/>
      <w:bookmarkEnd w:id="125"/>
      <w:bookmarkEnd w:id="126"/>
    </w:p>
    <w:p w14:paraId="3F4B591F">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2080109：指反映社会保险经办机构开展业务工作的支出。</w:t>
      </w:r>
    </w:p>
    <w:p w14:paraId="321F1D4E">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27" w:name="_Toc13899_WPSOffice_Level2"/>
      <w:bookmarkStart w:id="128" w:name="_Toc19809_WPSOffice_Level2"/>
      <w:bookmarkStart w:id="129" w:name="_Toc31840_WPSOffice_Level2"/>
      <w:bookmarkStart w:id="130" w:name="_Toc2060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民政管理事务</w:t>
      </w:r>
      <w:bookmarkEnd w:id="127"/>
      <w:bookmarkEnd w:id="128"/>
      <w:bookmarkEnd w:id="129"/>
      <w:bookmarkEnd w:id="130"/>
    </w:p>
    <w:p w14:paraId="49723B0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2080299：指反映民政部门接待来访、</w:t>
      </w:r>
      <w:r>
        <w:rPr>
          <w:rFonts w:hint="eastAsia" w:eastAsia="仿宋_GB2312"/>
          <w:bCs/>
          <w:color w:val="000000"/>
          <w:kern w:val="0"/>
          <w:sz w:val="32"/>
          <w:szCs w:val="32"/>
          <w:lang w:eastAsia="zh-CN"/>
        </w:rPr>
        <w:t>法制建设</w:t>
      </w:r>
      <w:r>
        <w:rPr>
          <w:rFonts w:hint="eastAsia" w:ascii="Times New Roman" w:hAnsi="Times New Roman" w:eastAsia="仿宋_GB2312"/>
          <w:bCs/>
          <w:color w:val="000000"/>
          <w:kern w:val="0"/>
          <w:sz w:val="32"/>
          <w:szCs w:val="32"/>
        </w:rPr>
        <w:t>、政策宣传方面的支出，以及开展优抚安置、救灾减灾、社会救助、社会福利、婚姻登记、社会事务、信息化建设等专项业务的支出。</w:t>
      </w:r>
    </w:p>
    <w:p w14:paraId="744BBBE9">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1" w:name="_Toc24333_WPSOffice_Level2"/>
      <w:bookmarkStart w:id="132" w:name="_Toc25637_WPSOffice_Level2"/>
      <w:bookmarkStart w:id="133" w:name="_Toc18666_WPSOffice_Level2"/>
      <w:bookmarkStart w:id="134" w:name="_Toc1463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行政事业单位离退休</w:t>
      </w:r>
      <w:bookmarkEnd w:id="131"/>
      <w:bookmarkEnd w:id="132"/>
      <w:bookmarkEnd w:id="133"/>
      <w:bookmarkEnd w:id="134"/>
    </w:p>
    <w:p w14:paraId="6BA8323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2080504：指反映未实行归口管理的行政单位（包括实行公务员管理的事业单位）开支的离退休支出。</w:t>
      </w:r>
    </w:p>
    <w:p w14:paraId="6EDFAE5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2080505：指反映机关事业单位实施养老保险制度由单位缴纳的基本养老保险费支出。</w:t>
      </w:r>
    </w:p>
    <w:p w14:paraId="6FC4258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5" w:name="_Toc25955_WPSOffice_Level2"/>
      <w:bookmarkStart w:id="136" w:name="_Toc17567_WPSOffice_Level2"/>
      <w:bookmarkStart w:id="137" w:name="_Toc26769_WPSOffice_Level2"/>
      <w:bookmarkStart w:id="138" w:name="_Toc1148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抚恤</w:t>
      </w:r>
      <w:bookmarkEnd w:id="135"/>
      <w:bookmarkEnd w:id="136"/>
      <w:bookmarkEnd w:id="137"/>
      <w:bookmarkEnd w:id="138"/>
    </w:p>
    <w:p w14:paraId="6969863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2080802：指反映按规定用于伤残人员的抚恤金和按规定开支的各种伤残补助费。</w:t>
      </w:r>
    </w:p>
    <w:p w14:paraId="75C3CF5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9" w:name="_Toc27262_WPSOffice_Level2"/>
      <w:bookmarkStart w:id="140" w:name="_Toc1406_WPSOffice_Level2"/>
      <w:bookmarkStart w:id="141" w:name="_Toc21884_WPSOffice_Level2"/>
      <w:bookmarkStart w:id="142" w:name="_Toc1945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5）</w:t>
      </w:r>
      <w:r>
        <w:rPr>
          <w:rFonts w:hint="eastAsia" w:ascii="Times New Roman" w:hAnsi="Times New Roman" w:eastAsia="仿宋_GB2312"/>
          <w:bCs/>
          <w:color w:val="000000"/>
          <w:kern w:val="0"/>
          <w:sz w:val="32"/>
          <w:szCs w:val="32"/>
        </w:rPr>
        <w:t>特困人员供养</w:t>
      </w:r>
      <w:bookmarkEnd w:id="139"/>
      <w:bookmarkEnd w:id="140"/>
      <w:bookmarkEnd w:id="141"/>
      <w:bookmarkEnd w:id="142"/>
    </w:p>
    <w:p w14:paraId="0B391E9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2082102：指反映农村特困人员救助供养支出。</w:t>
      </w:r>
    </w:p>
    <w:p w14:paraId="71B16726">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43" w:name="_Toc31285"/>
      <w:r>
        <w:rPr>
          <w:rFonts w:hint="eastAsia" w:ascii="Times New Roman" w:hAnsi="Times New Roman" w:eastAsia="仿宋_GB2312" w:cs="仿宋"/>
          <w:b/>
          <w:bCs/>
          <w:color w:val="auto"/>
          <w:kern w:val="0"/>
          <w:sz w:val="32"/>
          <w:szCs w:val="32"/>
          <w:lang w:val="en-US" w:eastAsia="zh-CN" w:bidi="ar-SA"/>
        </w:rPr>
        <w:t>12．节能环保支出</w:t>
      </w:r>
      <w:bookmarkEnd w:id="143"/>
    </w:p>
    <w:p w14:paraId="5EE3523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44" w:name="_Toc26991_WPSOffice_Level2"/>
      <w:bookmarkStart w:id="145" w:name="_Toc11539_WPSOffice_Level2"/>
      <w:bookmarkStart w:id="146" w:name="_Toc13833_WPSOffice_Level2"/>
      <w:bookmarkStart w:id="147" w:name="_Toc12285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污染防治</w:t>
      </w:r>
      <w:bookmarkEnd w:id="144"/>
      <w:bookmarkEnd w:id="145"/>
      <w:bookmarkEnd w:id="146"/>
      <w:bookmarkEnd w:id="147"/>
    </w:p>
    <w:p w14:paraId="48E704F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2110399：指反映除上述项目以外其他用于自然生态保护方面的支出。</w:t>
      </w:r>
    </w:p>
    <w:p w14:paraId="79A54F8E">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48" w:name="_Toc9777"/>
      <w:r>
        <w:rPr>
          <w:rFonts w:hint="eastAsia" w:ascii="Times New Roman" w:hAnsi="Times New Roman" w:eastAsia="仿宋_GB2312" w:cs="仿宋"/>
          <w:b/>
          <w:bCs/>
          <w:color w:val="auto"/>
          <w:kern w:val="0"/>
          <w:sz w:val="32"/>
          <w:szCs w:val="32"/>
          <w:lang w:val="en-US" w:eastAsia="zh-CN" w:bidi="ar-SA"/>
        </w:rPr>
        <w:t>13.城乡社区支出</w:t>
      </w:r>
      <w:bookmarkEnd w:id="148"/>
    </w:p>
    <w:p w14:paraId="7CAD50EF">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49" w:name="_Toc29658_WPSOffice_Level2"/>
      <w:bookmarkStart w:id="150" w:name="_Toc23324_WPSOffice_Level2"/>
      <w:bookmarkStart w:id="151" w:name="_Toc16150_WPSOffice_Level2"/>
      <w:bookmarkStart w:id="152" w:name="_Toc8613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城乡社区环境卫生</w:t>
      </w:r>
      <w:bookmarkEnd w:id="149"/>
      <w:bookmarkEnd w:id="150"/>
      <w:bookmarkEnd w:id="151"/>
      <w:bookmarkEnd w:id="152"/>
    </w:p>
    <w:p w14:paraId="634B0C06">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2120501：指反映城乡社区、名胜风景区、防灾减灾、历史名城规划制定与管理等方面的支出。</w:t>
      </w:r>
    </w:p>
    <w:p w14:paraId="403AF72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53" w:name="_Toc1172_WPSOffice_Level2"/>
      <w:bookmarkStart w:id="154" w:name="_Toc14191_WPSOffice_Level2"/>
      <w:bookmarkStart w:id="155" w:name="_Toc27971_WPSOffice_Level2"/>
      <w:bookmarkStart w:id="156" w:name="_Toc18602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城乡社区环境卫生</w:t>
      </w:r>
      <w:bookmarkEnd w:id="153"/>
      <w:bookmarkEnd w:id="154"/>
      <w:bookmarkEnd w:id="155"/>
      <w:bookmarkEnd w:id="156"/>
    </w:p>
    <w:p w14:paraId="31288FE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2120501：指反映城乡社区道路清扫、垃圾清运与处理、公厕建设与维护、园林绿化等方面的支出。</w:t>
      </w:r>
    </w:p>
    <w:p w14:paraId="46A9EFEB">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57" w:name="_Toc31049"/>
      <w:r>
        <w:rPr>
          <w:rFonts w:hint="eastAsia" w:ascii="Times New Roman" w:hAnsi="Times New Roman" w:eastAsia="仿宋_GB2312" w:cs="仿宋"/>
          <w:b/>
          <w:bCs/>
          <w:color w:val="auto"/>
          <w:kern w:val="0"/>
          <w:sz w:val="32"/>
          <w:szCs w:val="32"/>
          <w:lang w:val="en-US" w:eastAsia="zh-CN" w:bidi="ar-SA"/>
        </w:rPr>
        <w:t>14.农林水支出</w:t>
      </w:r>
      <w:bookmarkEnd w:id="157"/>
    </w:p>
    <w:p w14:paraId="2F34892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58" w:name="_Toc20996_WPSOffice_Level2"/>
      <w:bookmarkStart w:id="159" w:name="_Toc29172_WPSOffice_Level2"/>
      <w:bookmarkStart w:id="160" w:name="_Toc6422_WPSOffice_Level2"/>
      <w:bookmarkStart w:id="161" w:name="_Toc4279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农业</w:t>
      </w:r>
      <w:bookmarkEnd w:id="158"/>
      <w:bookmarkEnd w:id="159"/>
      <w:bookmarkEnd w:id="160"/>
      <w:bookmarkEnd w:id="161"/>
    </w:p>
    <w:p w14:paraId="36503F6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2130104：指反映用于农业事业单位基本支出，事业单位设施、系统运行与资产维护等方面的支出。</w:t>
      </w:r>
    </w:p>
    <w:p w14:paraId="32E9B27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2130152：指反映按规定对高校毕业生到基层任职的补助支出。</w:t>
      </w:r>
    </w:p>
    <w:p w14:paraId="06034FA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62" w:name="_Toc17055_WPSOffice_Level2"/>
      <w:bookmarkStart w:id="163" w:name="_Toc11783_WPSOffice_Level2"/>
      <w:bookmarkStart w:id="164" w:name="_Toc31792_WPSOffice_Level2"/>
      <w:bookmarkStart w:id="165" w:name="_Toc1753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林业和草原</w:t>
      </w:r>
      <w:bookmarkEnd w:id="162"/>
      <w:bookmarkEnd w:id="163"/>
      <w:bookmarkEnd w:id="164"/>
      <w:bookmarkEnd w:id="165"/>
    </w:p>
    <w:p w14:paraId="0045E47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2130204：指反映事业单位的基本支出，不包括行政单位（含实行公务员管理的事业单位）后勤服务中心等附属事业单位的支出。</w:t>
      </w:r>
    </w:p>
    <w:p w14:paraId="1758266A">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66" w:name="_Toc17369_WPSOffice_Level2"/>
      <w:bookmarkStart w:id="167" w:name="_Toc32738_WPSOffice_Level2"/>
      <w:bookmarkStart w:id="168" w:name="_Toc23263_WPSOffice_Level2"/>
      <w:bookmarkStart w:id="169" w:name="_Toc9892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水利</w:t>
      </w:r>
      <w:bookmarkEnd w:id="166"/>
      <w:bookmarkEnd w:id="167"/>
      <w:bookmarkEnd w:id="168"/>
      <w:bookmarkEnd w:id="169"/>
    </w:p>
    <w:p w14:paraId="1402CF6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2130399：指反映除上述项目以外其他用于水利方面的支出。</w:t>
      </w:r>
    </w:p>
    <w:p w14:paraId="3B94D27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70" w:name="_Toc30769_WPSOffice_Level2"/>
      <w:bookmarkStart w:id="171" w:name="_Toc22124_WPSOffice_Level2"/>
      <w:bookmarkStart w:id="172" w:name="_Toc18640_WPSOffice_Level2"/>
      <w:bookmarkStart w:id="173" w:name="_Toc1921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农村综合改革</w:t>
      </w:r>
      <w:bookmarkEnd w:id="170"/>
      <w:bookmarkEnd w:id="171"/>
      <w:bookmarkEnd w:id="172"/>
      <w:bookmarkEnd w:id="173"/>
    </w:p>
    <w:p w14:paraId="1912DEE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2130701：指反映农村税费改革后对村级公益事业建设一事一议的补助支出。</w:t>
      </w:r>
    </w:p>
    <w:p w14:paraId="33C1936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2130705：指反映各级财政对村民委员会和村党支部的补助支出，以及支持建立县级基本财力保障机制安排的村级组织运转奖补资金。</w:t>
      </w:r>
    </w:p>
    <w:p w14:paraId="23457EA5">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74" w:name="_Toc14344"/>
      <w:r>
        <w:rPr>
          <w:rFonts w:hint="eastAsia" w:ascii="Times New Roman" w:hAnsi="Times New Roman" w:eastAsia="仿宋_GB2312" w:cs="仿宋"/>
          <w:b/>
          <w:bCs/>
          <w:color w:val="auto"/>
          <w:kern w:val="0"/>
          <w:sz w:val="32"/>
          <w:szCs w:val="32"/>
          <w:lang w:val="en-US" w:eastAsia="zh-CN" w:bidi="ar-SA"/>
        </w:rPr>
        <w:t>15.住房保障支出</w:t>
      </w:r>
      <w:bookmarkEnd w:id="174"/>
    </w:p>
    <w:p w14:paraId="7DF33F0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75" w:name="_Toc22111_WPSOffice_Level2"/>
      <w:bookmarkStart w:id="176" w:name="_Toc8421_WPSOffice_Level2"/>
      <w:bookmarkStart w:id="177" w:name="_Toc15878_WPSOffice_Level2"/>
      <w:bookmarkStart w:id="178" w:name="_Toc27706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住房改革支出</w:t>
      </w:r>
      <w:bookmarkEnd w:id="175"/>
      <w:bookmarkEnd w:id="176"/>
      <w:bookmarkEnd w:id="177"/>
      <w:bookmarkEnd w:id="178"/>
    </w:p>
    <w:p w14:paraId="2451FFD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2210201：指反映行政单位按人力资源和社会保障部、财政部规定的基本工资和津贴补贴以及规定比例为职工缴纳的住房公积金。</w:t>
      </w:r>
    </w:p>
    <w:p w14:paraId="73453FED">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79" w:name="_Toc23590"/>
      <w:r>
        <w:rPr>
          <w:rFonts w:hint="eastAsia" w:ascii="Times New Roman" w:hAnsi="Times New Roman" w:eastAsia="仿宋_GB2312" w:cs="仿宋"/>
          <w:b/>
          <w:bCs/>
          <w:color w:val="auto"/>
          <w:kern w:val="0"/>
          <w:sz w:val="32"/>
          <w:szCs w:val="32"/>
          <w:lang w:val="en-US" w:eastAsia="zh-CN" w:bidi="ar-SA"/>
        </w:rPr>
        <w:t>16.灾害防治及应急管理支出</w:t>
      </w:r>
      <w:bookmarkEnd w:id="179"/>
    </w:p>
    <w:p w14:paraId="58946EA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80" w:name="_Toc24287_WPSOffice_Level2"/>
      <w:bookmarkStart w:id="181" w:name="_Toc9571_WPSOffice_Level2"/>
      <w:bookmarkStart w:id="182" w:name="_Toc25371_WPSOffice_Level2"/>
      <w:bookmarkStart w:id="183" w:name="_Toc21370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应急管理事务</w:t>
      </w:r>
      <w:bookmarkEnd w:id="180"/>
      <w:bookmarkEnd w:id="181"/>
      <w:bookmarkEnd w:id="182"/>
      <w:bookmarkEnd w:id="183"/>
    </w:p>
    <w:p w14:paraId="1A1869B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2240106：指反映安全生产监管方面的支出。</w:t>
      </w:r>
    </w:p>
    <w:p w14:paraId="64A09FC8">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7.</w:t>
      </w:r>
      <w:r>
        <w:rPr>
          <w:rFonts w:hint="eastAsia" w:ascii="Times New Roman" w:hAnsi="Times New Roman" w:eastAsia="仿宋_GB2312" w:cs="仿宋"/>
          <w:b/>
          <w:bCs/>
          <w:color w:val="auto"/>
          <w:kern w:val="0"/>
          <w:sz w:val="32"/>
          <w:szCs w:val="32"/>
          <w:lang w:val="en-US" w:eastAsia="zh-CN" w:bidi="ar-SA"/>
        </w:rPr>
        <w:t>基本支出：</w:t>
      </w:r>
      <w:r>
        <w:rPr>
          <w:rFonts w:hint="eastAsia" w:ascii="Times New Roman" w:hAnsi="Times New Roman" w:eastAsia="仿宋_GB2312"/>
          <w:sz w:val="32"/>
          <w:szCs w:val="32"/>
        </w:rPr>
        <w:t>指为保障机构正常运转、完成日常工作任务而发生的人员支出和公用支出。</w:t>
      </w:r>
    </w:p>
    <w:p w14:paraId="537CA83A">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8.</w:t>
      </w:r>
      <w:r>
        <w:rPr>
          <w:rFonts w:hint="eastAsia" w:ascii="Times New Roman" w:hAnsi="Times New Roman" w:eastAsia="仿宋_GB2312" w:cs="仿宋"/>
          <w:b/>
          <w:bCs/>
          <w:color w:val="auto"/>
          <w:kern w:val="0"/>
          <w:sz w:val="32"/>
          <w:szCs w:val="32"/>
          <w:lang w:val="en-US" w:eastAsia="zh-CN" w:bidi="ar-SA"/>
        </w:rPr>
        <w:t>项目支出：</w:t>
      </w:r>
      <w:r>
        <w:rPr>
          <w:rFonts w:hint="eastAsia" w:ascii="Times New Roman" w:hAnsi="Times New Roman" w:eastAsia="仿宋_GB2312"/>
          <w:sz w:val="32"/>
          <w:szCs w:val="32"/>
        </w:rPr>
        <w:t>指在基本支出之外为完成特定行政任务和事业发展目标所发生的支出。</w:t>
      </w:r>
      <w:r>
        <w:rPr>
          <w:rFonts w:ascii="Times New Roman" w:hAnsi="Times New Roman" w:eastAsia="仿宋_GB2312"/>
          <w:sz w:val="32"/>
          <w:szCs w:val="32"/>
        </w:rPr>
        <w:t xml:space="preserve"> </w:t>
      </w:r>
    </w:p>
    <w:p w14:paraId="43CDADB7">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9.</w:t>
      </w:r>
      <w:r>
        <w:rPr>
          <w:rFonts w:hint="eastAsia" w:ascii="Times New Roman" w:hAnsi="Times New Roman" w:eastAsia="仿宋_GB2312" w:cs="仿宋"/>
          <w:b/>
          <w:bCs/>
          <w:color w:val="auto"/>
          <w:kern w:val="0"/>
          <w:sz w:val="32"/>
          <w:szCs w:val="32"/>
          <w:lang w:val="en-US" w:eastAsia="zh-CN" w:bidi="ar-SA"/>
        </w:rPr>
        <w:t>经营支出：</w:t>
      </w:r>
      <w:r>
        <w:rPr>
          <w:rFonts w:hint="eastAsia" w:ascii="Times New Roman" w:hAnsi="Times New Roman" w:eastAsia="仿宋_GB2312"/>
          <w:sz w:val="32"/>
          <w:szCs w:val="32"/>
        </w:rPr>
        <w:t>指事业单位在专业业务活动及其辅助活动之外开展非独立核算经营活动发生的支出。</w:t>
      </w:r>
    </w:p>
    <w:p w14:paraId="2A4B4B93">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2</w:t>
      </w:r>
      <w:r>
        <w:rPr>
          <w:rFonts w:ascii="Times New Roman" w:hAnsi="Times New Roman" w:eastAsia="仿宋_GB2312"/>
          <w:b/>
          <w:bCs/>
          <w:color w:val="auto"/>
          <w:sz w:val="32"/>
          <w:szCs w:val="32"/>
        </w:rPr>
        <w:t>0.</w:t>
      </w:r>
      <w:r>
        <w:rPr>
          <w:rFonts w:hint="eastAsia" w:ascii="Times New Roman" w:hAnsi="Times New Roman" w:eastAsia="仿宋_GB2312"/>
          <w:b/>
          <w:bCs/>
          <w:color w:val="auto"/>
          <w:sz w:val="32"/>
          <w:szCs w:val="32"/>
        </w:rPr>
        <w:t>“三公”经费：</w:t>
      </w:r>
      <w:r>
        <w:rPr>
          <w:rFonts w:hint="eastAsia" w:ascii="Times New Roman" w:hAnsi="Times New Roman" w:eastAsia="仿宋_GB2312"/>
          <w:color w:val="auto"/>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73F70CF">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2</w:t>
      </w:r>
      <w:r>
        <w:rPr>
          <w:rFonts w:ascii="Times New Roman" w:hAnsi="Times New Roman" w:eastAsia="仿宋_GB2312"/>
          <w:b/>
          <w:bCs/>
          <w:color w:val="auto"/>
          <w:sz w:val="32"/>
          <w:szCs w:val="32"/>
        </w:rPr>
        <w:t>1.</w:t>
      </w:r>
      <w:r>
        <w:rPr>
          <w:rFonts w:hint="eastAsia" w:ascii="Times New Roman" w:hAnsi="Times New Roman" w:eastAsia="仿宋_GB2312"/>
          <w:b/>
          <w:bCs/>
          <w:color w:val="auto"/>
          <w:sz w:val="32"/>
          <w:szCs w:val="32"/>
        </w:rPr>
        <w:t>机关运行经费：</w:t>
      </w:r>
      <w:r>
        <w:rPr>
          <w:rFonts w:hint="eastAsia" w:ascii="Times New Roman" w:hAnsi="Times New Roman"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A6F43A">
      <w:pPr>
        <w:pStyle w:val="2"/>
        <w:keepNext w:val="0"/>
        <w:keepLines w:val="0"/>
        <w:pageBreakBefore w:val="0"/>
        <w:widowControl/>
        <w:kinsoku/>
        <w:wordWrap/>
        <w:overflowPunct/>
        <w:topLinePunct w:val="0"/>
        <w:bidi w:val="0"/>
        <w:ind w:left="0" w:leftChars="0" w:firstLine="0" w:firstLineChars="0"/>
        <w:rPr>
          <w:rFonts w:hint="eastAsia" w:ascii="Times New Roman" w:hAnsi="Times New Roman" w:eastAsia="仿宋"/>
          <w:b/>
          <w:sz w:val="32"/>
          <w:szCs w:val="32"/>
        </w:rPr>
      </w:pPr>
    </w:p>
    <w:p w14:paraId="785ED63A">
      <w:pPr>
        <w:rPr>
          <w:rFonts w:hint="eastAsia" w:ascii="Times New Roman" w:hAnsi="Times New Roman" w:eastAsia="方正小标宋简体"/>
          <w:sz w:val="44"/>
          <w:szCs w:val="44"/>
        </w:rPr>
      </w:pPr>
      <w:bookmarkStart w:id="184" w:name="_Toc15396614"/>
      <w:r>
        <w:rPr>
          <w:rFonts w:hint="eastAsia" w:ascii="Times New Roman" w:hAnsi="Times New Roman" w:eastAsia="方正小标宋简体"/>
          <w:sz w:val="44"/>
          <w:szCs w:val="44"/>
        </w:rPr>
        <w:br w:type="page"/>
      </w:r>
    </w:p>
    <w:p w14:paraId="194065C3">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sz w:val="32"/>
          <w:lang w:val="en-US" w:eastAsia="zh-CN"/>
        </w:rPr>
      </w:pPr>
      <w:bookmarkStart w:id="185" w:name="_Toc1718_WPSOffice_Level1"/>
      <w:r>
        <w:rPr>
          <w:rFonts w:hint="eastAsia" w:ascii="Times New Roman" w:hAnsi="Times New Roman" w:eastAsia="方正小标宋简体" w:cs="Times New Roman"/>
          <w:b w:val="0"/>
          <w:sz w:val="44"/>
          <w:szCs w:val="44"/>
        </w:rPr>
        <w:t>第四部分 附件</w:t>
      </w:r>
      <w:bookmarkEnd w:id="184"/>
      <w:bookmarkEnd w:id="185"/>
    </w:p>
    <w:p w14:paraId="121822DA">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sz w:val="32"/>
          <w:szCs w:val="44"/>
        </w:rPr>
      </w:pPr>
      <w:r>
        <w:rPr>
          <w:rFonts w:hint="eastAsia" w:ascii="Times New Roman" w:hAnsi="Times New Roman" w:eastAsia="仿宋_GB2312"/>
          <w:sz w:val="32"/>
          <w:lang w:val="en-US" w:eastAsia="zh-CN"/>
        </w:rPr>
        <w:t>附表：部门预算项目支出绩效自评表（2023年度）</w:t>
      </w:r>
    </w:p>
    <w:p w14:paraId="51F01B73">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sz w:val="44"/>
          <w:szCs w:val="44"/>
        </w:rPr>
      </w:pPr>
      <w:bookmarkStart w:id="186" w:name="_Toc23572_WPSOffice_Level1"/>
      <w:r>
        <w:rPr>
          <w:rFonts w:hint="eastAsia" w:ascii="Times New Roman" w:hAnsi="Times New Roman" w:eastAsia="方正小标宋简体" w:cs="Times New Roman"/>
          <w:b w:val="0"/>
          <w:sz w:val="44"/>
          <w:szCs w:val="44"/>
        </w:rPr>
        <w:t>第五部分 附表</w:t>
      </w:r>
      <w:bookmarkEnd w:id="99"/>
      <w:bookmarkEnd w:id="100"/>
      <w:bookmarkEnd w:id="186"/>
      <w:bookmarkStart w:id="187" w:name="_Toc15396619"/>
    </w:p>
    <w:p w14:paraId="7A3C411B">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88" w:name="_Toc18833_WPSOffice_Level2"/>
      <w:bookmarkStart w:id="189" w:name="_Toc28861"/>
      <w:r>
        <w:rPr>
          <w:rFonts w:hint="eastAsia" w:ascii="Times New Roman" w:hAnsi="Times New Roman" w:eastAsia="仿宋"/>
          <w:b w:val="0"/>
        </w:rPr>
        <w:t>一、收</w:t>
      </w:r>
      <w:r>
        <w:rPr>
          <w:rStyle w:val="29"/>
          <w:rFonts w:hint="eastAsia" w:ascii="Times New Roman" w:hAnsi="Times New Roman" w:eastAsia="仿宋"/>
          <w:b w:val="0"/>
          <w:bCs w:val="0"/>
        </w:rPr>
        <w:t>入支出决算总表</w:t>
      </w:r>
      <w:bookmarkEnd w:id="187"/>
      <w:bookmarkEnd w:id="188"/>
      <w:bookmarkEnd w:id="189"/>
    </w:p>
    <w:p w14:paraId="178388E9">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90" w:name="_Toc15396620"/>
      <w:bookmarkStart w:id="191" w:name="_Toc5151"/>
      <w:bookmarkStart w:id="192" w:name="_Toc12952_WPSOffice_Level2"/>
      <w:r>
        <w:rPr>
          <w:rFonts w:hint="eastAsia" w:ascii="Times New Roman" w:hAnsi="Times New Roman" w:eastAsia="仿宋"/>
          <w:b w:val="0"/>
        </w:rPr>
        <w:t>二、收</w:t>
      </w:r>
      <w:r>
        <w:rPr>
          <w:rStyle w:val="29"/>
          <w:rFonts w:hint="eastAsia" w:ascii="Times New Roman" w:hAnsi="Times New Roman" w:eastAsia="仿宋"/>
          <w:b w:val="0"/>
          <w:bCs w:val="0"/>
        </w:rPr>
        <w:t>入决算表</w:t>
      </w:r>
      <w:bookmarkEnd w:id="190"/>
      <w:bookmarkEnd w:id="191"/>
      <w:bookmarkEnd w:id="192"/>
    </w:p>
    <w:p w14:paraId="364838F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93" w:name="_Toc6945_WPSOffice_Level2"/>
      <w:bookmarkStart w:id="194" w:name="_Toc15396621"/>
      <w:bookmarkStart w:id="195" w:name="_Toc2523"/>
      <w:r>
        <w:rPr>
          <w:rStyle w:val="29"/>
          <w:rFonts w:hint="eastAsia" w:ascii="Times New Roman" w:hAnsi="Times New Roman" w:eastAsia="仿宋"/>
          <w:b w:val="0"/>
          <w:bCs w:val="0"/>
        </w:rPr>
        <w:t>三、</w:t>
      </w:r>
      <w:r>
        <w:rPr>
          <w:rFonts w:hint="eastAsia" w:ascii="Times New Roman" w:hAnsi="Times New Roman" w:eastAsia="仿宋"/>
          <w:b w:val="0"/>
        </w:rPr>
        <w:t>支</w:t>
      </w:r>
      <w:r>
        <w:rPr>
          <w:rStyle w:val="29"/>
          <w:rFonts w:hint="eastAsia" w:ascii="Times New Roman" w:hAnsi="Times New Roman" w:eastAsia="仿宋"/>
          <w:b w:val="0"/>
          <w:bCs w:val="0"/>
        </w:rPr>
        <w:t>出决算表</w:t>
      </w:r>
      <w:bookmarkEnd w:id="193"/>
      <w:bookmarkEnd w:id="194"/>
      <w:bookmarkEnd w:id="195"/>
    </w:p>
    <w:p w14:paraId="6212A335">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b w:val="0"/>
        </w:rPr>
      </w:pPr>
      <w:bookmarkStart w:id="196" w:name="_Toc23001_WPSOffice_Level2"/>
      <w:bookmarkStart w:id="197" w:name="_Toc15396622"/>
      <w:bookmarkStart w:id="198" w:name="_Toc19058"/>
      <w:r>
        <w:rPr>
          <w:rStyle w:val="29"/>
          <w:rFonts w:hint="eastAsia" w:ascii="Times New Roman" w:hAnsi="Times New Roman" w:eastAsia="仿宋"/>
          <w:b w:val="0"/>
          <w:bCs w:val="0"/>
        </w:rPr>
        <w:t>四、</w:t>
      </w:r>
      <w:r>
        <w:rPr>
          <w:rFonts w:hint="eastAsia" w:ascii="Times New Roman" w:hAnsi="Times New Roman" w:eastAsia="仿宋"/>
          <w:b w:val="0"/>
        </w:rPr>
        <w:t>财</w:t>
      </w:r>
      <w:r>
        <w:rPr>
          <w:rStyle w:val="29"/>
          <w:rFonts w:hint="eastAsia" w:ascii="Times New Roman" w:hAnsi="Times New Roman" w:eastAsia="仿宋"/>
          <w:b w:val="0"/>
          <w:bCs w:val="0"/>
        </w:rPr>
        <w:t>政拨款收入支出决算总表</w:t>
      </w:r>
      <w:bookmarkEnd w:id="196"/>
      <w:bookmarkEnd w:id="197"/>
      <w:bookmarkEnd w:id="198"/>
    </w:p>
    <w:p w14:paraId="7C252465">
      <w:pPr>
        <w:pStyle w:val="4"/>
        <w:keepNext w:val="0"/>
        <w:keepLines w:val="0"/>
        <w:pageBreakBefore w:val="0"/>
        <w:widowControl/>
        <w:kinsoku/>
        <w:wordWrap/>
        <w:overflowPunct/>
        <w:topLinePunct w:val="0"/>
        <w:autoSpaceDE/>
        <w:autoSpaceDN/>
        <w:bidi w:val="0"/>
        <w:adjustRightInd/>
        <w:snapToGrid/>
        <w:spacing w:line="560" w:lineRule="exact"/>
        <w:textAlignment w:val="auto"/>
        <w:rPr>
          <w:rStyle w:val="29"/>
          <w:rFonts w:ascii="Times New Roman" w:hAnsi="Times New Roman" w:eastAsia="仿宋"/>
          <w:b w:val="0"/>
          <w:bCs w:val="0"/>
        </w:rPr>
      </w:pPr>
      <w:bookmarkStart w:id="199" w:name="_Toc7929"/>
      <w:bookmarkStart w:id="200" w:name="_Toc15396623"/>
      <w:bookmarkStart w:id="201" w:name="_Toc19240_WPSOffice_Level2"/>
      <w:r>
        <w:rPr>
          <w:rStyle w:val="29"/>
          <w:rFonts w:hint="eastAsia" w:ascii="Times New Roman" w:hAnsi="Times New Roman" w:eastAsia="仿宋"/>
          <w:b w:val="0"/>
          <w:bCs w:val="0"/>
        </w:rPr>
        <w:t>五、</w:t>
      </w:r>
      <w:r>
        <w:rPr>
          <w:rFonts w:hint="eastAsia" w:ascii="Times New Roman" w:hAnsi="Times New Roman" w:eastAsia="仿宋"/>
          <w:b w:val="0"/>
        </w:rPr>
        <w:t>财</w:t>
      </w:r>
      <w:r>
        <w:rPr>
          <w:rStyle w:val="29"/>
          <w:rFonts w:hint="eastAsia" w:ascii="Times New Roman" w:hAnsi="Times New Roman" w:eastAsia="仿宋"/>
          <w:b w:val="0"/>
          <w:bCs w:val="0"/>
        </w:rPr>
        <w:t>政拨款支出决算明细表</w:t>
      </w:r>
      <w:bookmarkEnd w:id="199"/>
      <w:bookmarkEnd w:id="200"/>
      <w:bookmarkEnd w:id="201"/>
      <w:bookmarkStart w:id="202" w:name="_Toc15396624"/>
    </w:p>
    <w:p w14:paraId="05ED591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3" w:name="_Toc11114"/>
      <w:bookmarkStart w:id="204" w:name="_Toc27526_WPSOffice_Level2"/>
      <w:r>
        <w:rPr>
          <w:rStyle w:val="29"/>
          <w:rFonts w:hint="eastAsia" w:ascii="Times New Roman" w:hAnsi="Times New Roman" w:eastAsia="仿宋"/>
          <w:b w:val="0"/>
          <w:bCs w:val="0"/>
        </w:rPr>
        <w:t>六、</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般公共预算财政拨款支出决算表</w:t>
      </w:r>
      <w:bookmarkEnd w:id="202"/>
      <w:bookmarkEnd w:id="203"/>
      <w:bookmarkEnd w:id="204"/>
    </w:p>
    <w:p w14:paraId="24FE642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5" w:name="_Toc15396625"/>
      <w:bookmarkStart w:id="206" w:name="_Toc16699"/>
      <w:bookmarkStart w:id="207" w:name="_Toc30591_WPSOffice_Level2"/>
      <w:r>
        <w:rPr>
          <w:rStyle w:val="29"/>
          <w:rFonts w:hint="eastAsia" w:ascii="Times New Roman" w:hAnsi="Times New Roman" w:eastAsia="仿宋"/>
          <w:b w:val="0"/>
          <w:bCs w:val="0"/>
        </w:rPr>
        <w:t>七、</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般公共预算财政拨款支出决算明细表</w:t>
      </w:r>
      <w:bookmarkEnd w:id="205"/>
      <w:bookmarkEnd w:id="206"/>
      <w:bookmarkEnd w:id="207"/>
    </w:p>
    <w:p w14:paraId="42B79D7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8" w:name="_Toc15396626"/>
      <w:bookmarkStart w:id="209" w:name="_Toc28298_WPSOffice_Level2"/>
      <w:bookmarkStart w:id="210" w:name="_Toc720"/>
      <w:r>
        <w:rPr>
          <w:rStyle w:val="29"/>
          <w:rFonts w:hint="eastAsia" w:ascii="Times New Roman" w:hAnsi="Times New Roman" w:eastAsia="仿宋"/>
          <w:b w:val="0"/>
          <w:bCs w:val="0"/>
        </w:rPr>
        <w:t>八、</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般公共预算财政拨款基本支出决算表</w:t>
      </w:r>
      <w:bookmarkEnd w:id="208"/>
      <w:bookmarkEnd w:id="209"/>
      <w:bookmarkEnd w:id="210"/>
    </w:p>
    <w:p w14:paraId="6C4DE46A">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1" w:name="_Toc20980_WPSOffice_Level2"/>
      <w:bookmarkStart w:id="212" w:name="_Toc22439"/>
      <w:bookmarkStart w:id="213" w:name="_Toc15396627"/>
      <w:r>
        <w:rPr>
          <w:rStyle w:val="29"/>
          <w:rFonts w:hint="eastAsia" w:ascii="Times New Roman" w:hAnsi="Times New Roman" w:eastAsia="仿宋"/>
          <w:b w:val="0"/>
          <w:bCs w:val="0"/>
        </w:rPr>
        <w:t>九、</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般公共预算财政拨款项目支出决算表</w:t>
      </w:r>
      <w:bookmarkEnd w:id="211"/>
      <w:bookmarkEnd w:id="212"/>
      <w:bookmarkEnd w:id="213"/>
    </w:p>
    <w:p w14:paraId="7AA3F3ED">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4" w:name="_Toc15396628"/>
      <w:bookmarkStart w:id="215" w:name="_Toc25681"/>
      <w:bookmarkStart w:id="216" w:name="_Toc16842_WPSOffice_Level2"/>
      <w:r>
        <w:rPr>
          <w:rStyle w:val="29"/>
          <w:rFonts w:hint="eastAsia" w:ascii="Times New Roman" w:hAnsi="Times New Roman" w:eastAsia="仿宋"/>
          <w:b w:val="0"/>
          <w:bCs w:val="0"/>
        </w:rPr>
        <w:t>十、</w:t>
      </w:r>
      <w:bookmarkEnd w:id="214"/>
      <w:r>
        <w:rPr>
          <w:rFonts w:hint="eastAsia" w:ascii="Times New Roman" w:hAnsi="Times New Roman" w:eastAsia="仿宋"/>
          <w:b w:val="0"/>
        </w:rPr>
        <w:t>政</w:t>
      </w:r>
      <w:r>
        <w:rPr>
          <w:rStyle w:val="29"/>
          <w:rFonts w:hint="eastAsia" w:ascii="Times New Roman" w:hAnsi="Times New Roman" w:eastAsia="仿宋"/>
          <w:b w:val="0"/>
          <w:bCs w:val="0"/>
        </w:rPr>
        <w:t>府性基金预算财政拨款收入支出决算表</w:t>
      </w:r>
      <w:bookmarkEnd w:id="215"/>
      <w:bookmarkEnd w:id="216"/>
    </w:p>
    <w:p w14:paraId="32934CFC">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7" w:name="_Toc15396629"/>
      <w:bookmarkStart w:id="218" w:name="_Toc2298_WPSOffice_Level2"/>
      <w:bookmarkStart w:id="219" w:name="_Toc21747"/>
      <w:r>
        <w:rPr>
          <w:rStyle w:val="29"/>
          <w:rFonts w:hint="eastAsia" w:ascii="Times New Roman" w:hAnsi="Times New Roman" w:eastAsia="仿宋"/>
          <w:b w:val="0"/>
          <w:bCs w:val="0"/>
        </w:rPr>
        <w:t>十一、</w:t>
      </w:r>
      <w:bookmarkEnd w:id="217"/>
      <w:r>
        <w:rPr>
          <w:rFonts w:hint="eastAsia" w:ascii="Times New Roman" w:hAnsi="Times New Roman" w:eastAsia="仿宋"/>
          <w:b w:val="0"/>
        </w:rPr>
        <w:t>国</w:t>
      </w:r>
      <w:r>
        <w:rPr>
          <w:rStyle w:val="29"/>
          <w:rFonts w:hint="eastAsia" w:ascii="Times New Roman" w:hAnsi="Times New Roman" w:eastAsia="仿宋"/>
          <w:b w:val="0"/>
          <w:bCs w:val="0"/>
        </w:rPr>
        <w:t>有资本经营预算财政拨款收入支出决算表</w:t>
      </w:r>
      <w:bookmarkEnd w:id="218"/>
      <w:bookmarkEnd w:id="219"/>
    </w:p>
    <w:p w14:paraId="01846C35">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20" w:name="_Toc15396630"/>
      <w:bookmarkStart w:id="221" w:name="_Toc130_WPSOffice_Level2"/>
      <w:bookmarkStart w:id="222" w:name="_Toc22174"/>
      <w:r>
        <w:rPr>
          <w:rStyle w:val="29"/>
          <w:rFonts w:hint="eastAsia" w:ascii="Times New Roman" w:hAnsi="Times New Roman" w:eastAsia="仿宋"/>
          <w:b w:val="0"/>
          <w:bCs w:val="0"/>
        </w:rPr>
        <w:t>十二、</w:t>
      </w:r>
      <w:bookmarkEnd w:id="220"/>
      <w:r>
        <w:rPr>
          <w:rStyle w:val="29"/>
          <w:rFonts w:hint="eastAsia" w:ascii="Times New Roman" w:hAnsi="Times New Roman" w:eastAsia="仿宋"/>
          <w:b w:val="0"/>
          <w:bCs w:val="0"/>
        </w:rPr>
        <w:t>国有资本经营预算财政拨款支出决算表</w:t>
      </w:r>
      <w:bookmarkEnd w:id="221"/>
      <w:bookmarkEnd w:id="222"/>
    </w:p>
    <w:p w14:paraId="080BAA00">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23" w:name="_Toc15396631"/>
      <w:bookmarkStart w:id="224" w:name="_Toc20629"/>
      <w:bookmarkStart w:id="225" w:name="_Toc16146_WPSOffice_Level2"/>
      <w:r>
        <w:rPr>
          <w:rStyle w:val="29"/>
          <w:rFonts w:hint="eastAsia" w:ascii="Times New Roman" w:hAnsi="Times New Roman" w:eastAsia="仿宋"/>
          <w:b w:val="0"/>
          <w:bCs w:val="0"/>
        </w:rPr>
        <w:t>十三、</w:t>
      </w:r>
      <w:bookmarkEnd w:id="223"/>
      <w:r>
        <w:rPr>
          <w:rStyle w:val="29"/>
          <w:rFonts w:hint="eastAsia" w:ascii="Times New Roman" w:hAnsi="Times New Roman" w:eastAsia="仿宋"/>
          <w:b w:val="0"/>
          <w:bCs w:val="0"/>
        </w:rPr>
        <w:t>财政拨款“三公”经费支出决算表</w:t>
      </w:r>
      <w:bookmarkEnd w:id="224"/>
      <w:bookmarkEnd w:id="225"/>
    </w:p>
    <w:sectPr>
      <w:footerReference r:id="rId8" w:type="first"/>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4E3A">
    <w:pPr>
      <w:pStyle w:val="10"/>
      <w:ind w:left="0" w:leftChars="0" w:firstLine="0" w:firstLineChars="0"/>
      <w:jc w:val="both"/>
    </w:pPr>
  </w:p>
  <w:p w14:paraId="617C63AD">
    <w:pPr>
      <w:pStyle w:val="10"/>
      <w:tabs>
        <w:tab w:val="clear" w:pos="4153"/>
      </w:tabs>
      <w:ind w:firstLine="744"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F165">
    <w:pPr>
      <w:pStyle w:val="10"/>
      <w:ind w:left="0" w:leftChars="0" w:firstLine="0" w:firstLine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5A3D5">
                          <w:pPr>
                            <w:pStyle w:val="10"/>
                            <w:rPr>
                              <w:rFonts w:hint="eastAsia" w:eastAsia="仿宋_GB2312"/>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2</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C5A3D5">
                    <w:pPr>
                      <w:pStyle w:val="10"/>
                      <w:rPr>
                        <w:rFonts w:hint="eastAsia" w:eastAsia="仿宋_GB2312"/>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2</w:t>
                    </w:r>
                    <w:r>
                      <w:rPr>
                        <w:rFonts w:hint="eastAsia"/>
                        <w:sz w:val="22"/>
                        <w:szCs w:val="22"/>
                        <w:lang w:eastAsia="zh-CN"/>
                      </w:rPr>
                      <w:fldChar w:fldCharType="end"/>
                    </w:r>
                  </w:p>
                </w:txbxContent>
              </v:textbox>
            </v:shape>
          </w:pict>
        </mc:Fallback>
      </mc:AlternateContent>
    </w:r>
  </w:p>
  <w:p w14:paraId="2B29D0AB">
    <w:pPr>
      <w:pStyle w:val="10"/>
      <w:tabs>
        <w:tab w:val="clear" w:pos="4153"/>
      </w:tabs>
      <w:ind w:firstLine="744"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EF8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9C095">
                          <w:pPr>
                            <w:pStyle w:val="1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79C095">
                    <w:pPr>
                      <w:pStyle w:val="1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0852">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TFhNzMwYTc3ODYzNjExNWZhYzRkOWE2YzI2M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D555D2"/>
    <w:rsid w:val="081B5E94"/>
    <w:rsid w:val="0A2032A3"/>
    <w:rsid w:val="0B8A37D8"/>
    <w:rsid w:val="0F5FFB2F"/>
    <w:rsid w:val="0FFFCF60"/>
    <w:rsid w:val="10C055FF"/>
    <w:rsid w:val="118107EC"/>
    <w:rsid w:val="11DD6519"/>
    <w:rsid w:val="15F54603"/>
    <w:rsid w:val="16BB723D"/>
    <w:rsid w:val="16F97078"/>
    <w:rsid w:val="18015F3F"/>
    <w:rsid w:val="1BE8440E"/>
    <w:rsid w:val="1D155CEE"/>
    <w:rsid w:val="1DD34D50"/>
    <w:rsid w:val="1FDBBF84"/>
    <w:rsid w:val="20F57F95"/>
    <w:rsid w:val="240371BF"/>
    <w:rsid w:val="25711CC6"/>
    <w:rsid w:val="25C741E6"/>
    <w:rsid w:val="276F80C0"/>
    <w:rsid w:val="27842671"/>
    <w:rsid w:val="29FD04D3"/>
    <w:rsid w:val="2ABE7A3E"/>
    <w:rsid w:val="2AFF09B6"/>
    <w:rsid w:val="2C371323"/>
    <w:rsid w:val="2CA234A8"/>
    <w:rsid w:val="2EFA178C"/>
    <w:rsid w:val="2EFDF86C"/>
    <w:rsid w:val="2F9D17E1"/>
    <w:rsid w:val="30B46D73"/>
    <w:rsid w:val="311A1838"/>
    <w:rsid w:val="31603D5F"/>
    <w:rsid w:val="319F7F4E"/>
    <w:rsid w:val="356A28F1"/>
    <w:rsid w:val="357C035A"/>
    <w:rsid w:val="368E000D"/>
    <w:rsid w:val="383D272C"/>
    <w:rsid w:val="38BD5F97"/>
    <w:rsid w:val="39AE70AB"/>
    <w:rsid w:val="39FF1FE9"/>
    <w:rsid w:val="3A4DCE41"/>
    <w:rsid w:val="3BA0446F"/>
    <w:rsid w:val="3BCB56FA"/>
    <w:rsid w:val="3C0C0783"/>
    <w:rsid w:val="3EE7C2F4"/>
    <w:rsid w:val="3F371B56"/>
    <w:rsid w:val="3F792ED8"/>
    <w:rsid w:val="3F9F3A96"/>
    <w:rsid w:val="3FECA4B2"/>
    <w:rsid w:val="3FF58C48"/>
    <w:rsid w:val="40A159B7"/>
    <w:rsid w:val="4198755F"/>
    <w:rsid w:val="42FF6694"/>
    <w:rsid w:val="433B549D"/>
    <w:rsid w:val="48BF60AB"/>
    <w:rsid w:val="493C27E9"/>
    <w:rsid w:val="496F39ED"/>
    <w:rsid w:val="49FF41D3"/>
    <w:rsid w:val="4A620FE8"/>
    <w:rsid w:val="4BE068DB"/>
    <w:rsid w:val="4BF6002B"/>
    <w:rsid w:val="4BFFC6BE"/>
    <w:rsid w:val="4ECE2238"/>
    <w:rsid w:val="514E7706"/>
    <w:rsid w:val="51DB4B86"/>
    <w:rsid w:val="51F64DB0"/>
    <w:rsid w:val="55333C3E"/>
    <w:rsid w:val="5F67802D"/>
    <w:rsid w:val="5F7DC4F2"/>
    <w:rsid w:val="5FB36814"/>
    <w:rsid w:val="5FBB8E56"/>
    <w:rsid w:val="5FFB5535"/>
    <w:rsid w:val="64CA39A1"/>
    <w:rsid w:val="64FF64B4"/>
    <w:rsid w:val="69630ADE"/>
    <w:rsid w:val="69BD5F13"/>
    <w:rsid w:val="69FB0B4B"/>
    <w:rsid w:val="6BFFE1FB"/>
    <w:rsid w:val="6C4A05C8"/>
    <w:rsid w:val="6D3B1A89"/>
    <w:rsid w:val="6DB7D8A3"/>
    <w:rsid w:val="6EC78701"/>
    <w:rsid w:val="6EF81034"/>
    <w:rsid w:val="6F7A5481"/>
    <w:rsid w:val="6FAC6B35"/>
    <w:rsid w:val="6FFE07A9"/>
    <w:rsid w:val="71855FEF"/>
    <w:rsid w:val="71BF4EC2"/>
    <w:rsid w:val="72734D90"/>
    <w:rsid w:val="73E75B71"/>
    <w:rsid w:val="7412278C"/>
    <w:rsid w:val="75DDCDA9"/>
    <w:rsid w:val="75FF44B1"/>
    <w:rsid w:val="77670518"/>
    <w:rsid w:val="777FA627"/>
    <w:rsid w:val="77DF1B5F"/>
    <w:rsid w:val="77EF2D9D"/>
    <w:rsid w:val="79E7B28D"/>
    <w:rsid w:val="7ACFF0C2"/>
    <w:rsid w:val="7AFB9108"/>
    <w:rsid w:val="7B4B5AB3"/>
    <w:rsid w:val="7BD5340C"/>
    <w:rsid w:val="7BFB19D2"/>
    <w:rsid w:val="7BFD1750"/>
    <w:rsid w:val="7BFDAA1B"/>
    <w:rsid w:val="7CC4605E"/>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ageBreakBefore w:val="0"/>
      <w:widowControl w:val="0"/>
      <w:kinsoku/>
      <w:wordWrap/>
      <w:overflowPunct/>
      <w:topLinePunct w:val="0"/>
      <w:bidi w:val="0"/>
      <w:snapToGrid/>
      <w:spacing w:line="560" w:lineRule="exact"/>
      <w:ind w:firstLine="643" w:firstLineChars="200"/>
      <w:jc w:val="both"/>
      <w:textAlignment w:val="auto"/>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及</a:t>
            </a:r>
            <a:r>
              <a:rPr lang="en-US" altLang="zh-CN"/>
              <a:t>2023</a:t>
            </a:r>
            <a:r>
              <a:rPr altLang="en-US"/>
              <a:t>年收支情况（万元）</a:t>
            </a:r>
            <a:endParaRPr altLang="en-US"/>
          </a:p>
        </c:rich>
      </c:tx>
      <c:layout>
        <c:manualLayout>
          <c:xMode val="edge"/>
          <c:yMode val="edge"/>
          <c:x val="0.136278371787657"/>
          <c:y val="0.0424601132269686"/>
        </c:manualLayout>
      </c:layout>
      <c:overlay val="0"/>
      <c:spPr>
        <a:noFill/>
        <a:ln>
          <a:noFill/>
        </a:ln>
        <a:effectLst/>
      </c:spPr>
    </c:title>
    <c:autoTitleDeleted val="0"/>
    <c:plotArea>
      <c:layout>
        <c:manualLayout>
          <c:layoutTarget val="inner"/>
          <c:xMode val="edge"/>
          <c:yMode val="edge"/>
          <c:x val="0.0990791896869245"/>
          <c:y val="0.245887691435054"/>
          <c:w val="0.848303078137332"/>
          <c:h val="0.51769710720363"/>
        </c:manualLayout>
      </c:layout>
      <c:barChart>
        <c:barDir val="col"/>
        <c:grouping val="clustered"/>
        <c:varyColors val="0"/>
        <c:ser>
          <c:idx val="1"/>
          <c:order val="0"/>
          <c:tx>
            <c:strRef>
              <c:f>Sheet1!$B$1</c:f>
              <c:strCache>
                <c:ptCount val="1"/>
                <c:pt idx="0">
                  <c:v>2022年收支</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1509.12</c:v>
                </c:pt>
                <c:pt idx="1">
                  <c:v>1509.12</c:v>
                </c:pt>
              </c:numCache>
            </c:numRef>
          </c:val>
        </c:ser>
        <c:ser>
          <c:idx val="2"/>
          <c:order val="1"/>
          <c:tx>
            <c:strRef>
              <c:f>Sheet1!$C$1</c:f>
              <c:strCache>
                <c:ptCount val="1"/>
                <c:pt idx="0">
                  <c:v>2023年收支</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1596.5</c:v>
                </c:pt>
                <c:pt idx="1">
                  <c:v>1596.5</c:v>
                </c:pt>
              </c:numCache>
            </c:numRef>
          </c:val>
        </c:ser>
        <c:dLbls>
          <c:showLegendKey val="0"/>
          <c:showVal val="1"/>
          <c:showCatName val="0"/>
          <c:showSerName val="0"/>
          <c:showPercent val="0"/>
          <c:showBubbleSize val="0"/>
        </c:dLbls>
        <c:gapWidth val="219"/>
        <c:overlap val="-27"/>
        <c:axId val="453058801"/>
        <c:axId val="630973036"/>
      </c:barChart>
      <c:catAx>
        <c:axId val="4530588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973036"/>
        <c:crosses val="autoZero"/>
        <c:auto val="1"/>
        <c:lblAlgn val="ctr"/>
        <c:lblOffset val="100"/>
        <c:noMultiLvlLbl val="0"/>
      </c:catAx>
      <c:valAx>
        <c:axId val="6309730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0588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e798af-065b-4d06-ae54-f9e4e8e392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2023年收入（万元）</a:t>
            </a:r>
          </a:p>
        </c:rich>
      </c:tx>
      <c:layout/>
      <c:overlay val="0"/>
      <c:spPr>
        <a:noFill/>
        <a:ln>
          <a:noFill/>
        </a:ln>
        <a:effectLst/>
      </c:spPr>
    </c:title>
    <c:autoTitleDeleted val="0"/>
    <c:plotArea>
      <c:layout/>
      <c:pieChart>
        <c:varyColors val="1"/>
        <c:ser>
          <c:idx val="0"/>
          <c:order val="0"/>
          <c:tx>
            <c:strRef>
              <c:f>Sheet1!$B$1</c:f>
              <c:strCache>
                <c:ptCount val="1"/>
                <c:pt idx="0">
                  <c:v>2023年收入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0.9902</c:v>
                </c:pt>
                <c:pt idx="1">
                  <c:v>0.0098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050625"/>
          <c:y val="0.851797797700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af58d6d-8f48-4af1-b78c-f1ae13de41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2023年支出情况（万元）</a:t>
            </a:r>
          </a:p>
        </c:rich>
      </c:tx>
      <c:layout/>
      <c:overlay val="0"/>
      <c:spPr>
        <a:noFill/>
        <a:ln>
          <a:noFill/>
        </a:ln>
        <a:effectLst/>
      </c:spPr>
    </c:title>
    <c:autoTitleDeleted val="0"/>
    <c:plotArea>
      <c:layout/>
      <c:pieChart>
        <c:varyColors val="1"/>
        <c:ser>
          <c:idx val="0"/>
          <c:order val="0"/>
          <c:tx>
            <c:strRef>
              <c:f>Sheet1!$B$1</c:f>
              <c:strCache>
                <c:ptCount val="1"/>
                <c:pt idx="0">
                  <c:v>2023年支出情况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0.7546</c:v>
                </c:pt>
                <c:pt idx="1">
                  <c:v>0.2454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2cfd08a-3146-48ef-85c0-811c8f9631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altLang="en-US"/>
              <a:t>财政拨款收、支决算总计（万元）</a:t>
            </a:r>
            <a:endParaRPr lang="en-US" altLang="zh-CN"/>
          </a:p>
        </c:rich>
      </c:tx>
      <c:layout/>
      <c:overlay val="0"/>
      <c:spPr>
        <a:noFill/>
        <a:ln>
          <a:noFill/>
        </a:ln>
        <a:effectLst/>
      </c:spPr>
    </c:title>
    <c:autoTitleDeleted val="0"/>
    <c:plotArea>
      <c:layout>
        <c:manualLayout>
          <c:layoutTarget val="inner"/>
          <c:xMode val="edge"/>
          <c:yMode val="edge"/>
          <c:x val="0.0909844559585492"/>
          <c:y val="0.148780003967467"/>
          <c:w val="0.874226498889711"/>
          <c:h val="0.662447926998611"/>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ser>
          <c:idx val="1"/>
          <c:order val="1"/>
          <c:tx>
            <c:strRef>
              <c:f>Sheet1!$B$1</c:f>
              <c:strCache>
                <c:ptCount val="1"/>
                <c:pt idx="0">
                  <c:v>2022年财政拨款收、支</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1509.12</c:v>
                </c:pt>
                <c:pt idx="1">
                  <c:v>1509.12</c:v>
                </c:pt>
              </c:numCache>
            </c:numRef>
          </c:val>
        </c:ser>
        <c:ser>
          <c:idx val="2"/>
          <c:order val="2"/>
          <c:tx>
            <c:strRef>
              <c:f>Sheet1!$C$1</c:f>
              <c:strCache>
                <c:ptCount val="1"/>
                <c:pt idx="0">
                  <c:v>2023年财政拨款收、支</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1591.5</c:v>
                </c:pt>
                <c:pt idx="1">
                  <c:v>1591.5</c:v>
                </c:pt>
              </c:numCache>
            </c:numRef>
          </c:val>
        </c:ser>
        <c:dLbls>
          <c:showLegendKey val="0"/>
          <c:showVal val="0"/>
          <c:showCatName val="0"/>
          <c:showSerName val="0"/>
          <c:showPercent val="0"/>
          <c:showBubbleSize val="0"/>
        </c:dLbls>
        <c:gapWidth val="219"/>
        <c:overlap val="-27"/>
        <c:axId val="899683639"/>
        <c:axId val="671885853"/>
      </c:barChart>
      <c:catAx>
        <c:axId val="8996836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1885853"/>
        <c:crosses val="autoZero"/>
        <c:auto val="1"/>
        <c:lblAlgn val="ctr"/>
        <c:lblOffset val="100"/>
        <c:noMultiLvlLbl val="0"/>
      </c:catAx>
      <c:valAx>
        <c:axId val="6718858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6836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e2be81-f827-4c6d-911e-3dcd683069c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一般公共预算财政拨款支出情况（万元）</a:t>
            </a:r>
          </a:p>
        </c:rich>
      </c:tx>
      <c:layout>
        <c:manualLayout>
          <c:xMode val="edge"/>
          <c:yMode val="edge"/>
          <c:x val="0.191575663026521"/>
          <c:y val="0.0109809663250366"/>
        </c:manualLayout>
      </c:layout>
      <c:overlay val="0"/>
      <c:spPr>
        <a:noFill/>
        <a:ln>
          <a:noFill/>
        </a:ln>
        <a:effectLst/>
      </c:spPr>
    </c:title>
    <c:autoTitleDeleted val="0"/>
    <c:plotArea>
      <c:layout>
        <c:manualLayout>
          <c:layoutTarget val="inner"/>
          <c:xMode val="edge"/>
          <c:yMode val="edge"/>
          <c:x val="0.04895"/>
          <c:y val="0.132"/>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c:f>
              <c:strCache>
                <c:ptCount val="1"/>
                <c:pt idx="0">
                  <c:v>2022年支出</c:v>
                </c:pt>
              </c:strCache>
            </c:strRef>
          </c:cat>
          <c:val>
            <c:numRef>
              <c:f>Sheet1!$B$2</c:f>
              <c:numCache>
                <c:formatCode>General</c:formatCode>
                <c:ptCount val="1"/>
                <c:pt idx="0">
                  <c:v>1509.12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Sheet1!$A$2</c:f>
              <c:strCache>
                <c:ptCount val="1"/>
                <c:pt idx="0">
                  <c:v>2022年支出</c:v>
                </c:pt>
              </c:strCache>
            </c:strRef>
          </c:cat>
          <c:val>
            <c:numRef>
              <c:f>Sheet1!$C$3</c:f>
              <c:numCache>
                <c:formatCode>General</c:formatCode>
                <c:ptCount val="1"/>
                <c:pt idx="0">
                  <c:v>1576</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2022年支出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21157630"/>
        <c:axId val="175212025"/>
      </c:barChart>
      <c:catAx>
        <c:axId val="2115763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212025"/>
        <c:crosses val="autoZero"/>
        <c:auto val="1"/>
        <c:lblAlgn val="ctr"/>
        <c:lblOffset val="100"/>
        <c:noMultiLvlLbl val="0"/>
      </c:catAx>
      <c:valAx>
        <c:axId val="1752120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57630"/>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52781d-8189-4bd5-8ea1-8e8970dc73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cc1ffc-7dba-4fd7-ba22-3023a2a00bf4}"/>
        <w:style w:val=""/>
        <w:category>
          <w:name w:val="常规"/>
          <w:gallery w:val="placeholder"/>
        </w:category>
        <w:types>
          <w:type w:val="bbPlcHdr"/>
        </w:types>
        <w:behaviors>
          <w:behavior w:val="content"/>
        </w:behaviors>
        <w:description w:val=""/>
        <w:guid w:val="{54cc1ffc-7dba-4fd7-ba22-3023a2a00bf4}"/>
      </w:docPartPr>
      <w:docPartBody>
        <w:p w14:paraId="65C6940A">
          <w:r>
            <w:rPr>
              <w:color w:val="808080"/>
            </w:rPr>
            <w:t>单击此处输入文字。</w:t>
          </w:r>
        </w:p>
      </w:docPartBody>
    </w:docPart>
    <w:docPart>
      <w:docPartPr>
        <w:name w:val="{5f01618b-29fa-4f9f-bc05-2b2eeb528c04}"/>
        <w:style w:val=""/>
        <w:category>
          <w:name w:val="常规"/>
          <w:gallery w:val="placeholder"/>
        </w:category>
        <w:types>
          <w:type w:val="bbPlcHdr"/>
        </w:types>
        <w:behaviors>
          <w:behavior w:val="content"/>
        </w:behaviors>
        <w:description w:val=""/>
        <w:guid w:val="{5f01618b-29fa-4f9f-bc05-2b2eeb528c04}"/>
      </w:docPartPr>
      <w:docPartBody>
        <w:p w14:paraId="540269FF">
          <w:r>
            <w:rPr>
              <w:color w:val="808080"/>
            </w:rPr>
            <w:t>单击此处输入文字。</w:t>
          </w:r>
        </w:p>
      </w:docPartBody>
    </w:docPart>
    <w:docPart>
      <w:docPartPr>
        <w:name w:val="{c1cd0f17-3052-4cd5-93bb-20ce3b46af5e}"/>
        <w:style w:val=""/>
        <w:category>
          <w:name w:val="常规"/>
          <w:gallery w:val="placeholder"/>
        </w:category>
        <w:types>
          <w:type w:val="bbPlcHdr"/>
        </w:types>
        <w:behaviors>
          <w:behavior w:val="content"/>
        </w:behaviors>
        <w:description w:val=""/>
        <w:guid w:val="{c1cd0f17-3052-4cd5-93bb-20ce3b46af5e}"/>
      </w:docPartPr>
      <w:docPartBody>
        <w:p w14:paraId="0BA05523">
          <w:r>
            <w:rPr>
              <w:color w:val="808080"/>
            </w:rPr>
            <w:t>单击此处输入文字。</w:t>
          </w:r>
        </w:p>
      </w:docPartBody>
    </w:docPart>
    <w:docPart>
      <w:docPartPr>
        <w:name w:val="{afdeeca4-88fa-4ba5-af04-742f10d5ab02}"/>
        <w:style w:val=""/>
        <w:category>
          <w:name w:val="常规"/>
          <w:gallery w:val="placeholder"/>
        </w:category>
        <w:types>
          <w:type w:val="bbPlcHdr"/>
        </w:types>
        <w:behaviors>
          <w:behavior w:val="content"/>
        </w:behaviors>
        <w:description w:val=""/>
        <w:guid w:val="{afdeeca4-88fa-4ba5-af04-742f10d5ab02}"/>
      </w:docPartPr>
      <w:docPartBody>
        <w:p w14:paraId="3AD70EE8">
          <w:r>
            <w:rPr>
              <w:color w:val="808080"/>
            </w:rPr>
            <w:t>单击此处输入文字。</w:t>
          </w:r>
        </w:p>
      </w:docPartBody>
    </w:docPart>
    <w:docPart>
      <w:docPartPr>
        <w:name w:val="{ce2cea05-837d-47ff-9315-664f779903da}"/>
        <w:style w:val=""/>
        <w:category>
          <w:name w:val="常规"/>
          <w:gallery w:val="placeholder"/>
        </w:category>
        <w:types>
          <w:type w:val="bbPlcHdr"/>
        </w:types>
        <w:behaviors>
          <w:behavior w:val="content"/>
        </w:behaviors>
        <w:description w:val=""/>
        <w:guid w:val="{ce2cea05-837d-47ff-9315-664f779903da}"/>
      </w:docPartPr>
      <w:docPartBody>
        <w:p w14:paraId="453D63C7">
          <w:r>
            <w:rPr>
              <w:color w:val="808080"/>
            </w:rPr>
            <w:t>单击此处输入文字。</w:t>
          </w:r>
        </w:p>
      </w:docPartBody>
    </w:docPart>
    <w:docPart>
      <w:docPartPr>
        <w:name w:val="{58c11249-eee5-4bdb-baaa-da919a4818bd}"/>
        <w:style w:val=""/>
        <w:category>
          <w:name w:val="常规"/>
          <w:gallery w:val="placeholder"/>
        </w:category>
        <w:types>
          <w:type w:val="bbPlcHdr"/>
        </w:types>
        <w:behaviors>
          <w:behavior w:val="content"/>
        </w:behaviors>
        <w:description w:val=""/>
        <w:guid w:val="{58c11249-eee5-4bdb-baaa-da919a4818bd}"/>
      </w:docPartPr>
      <w:docPartBody>
        <w:p w14:paraId="0083F07E">
          <w:r>
            <w:rPr>
              <w:color w:val="808080"/>
            </w:rPr>
            <w:t>单击此处输入文字。</w:t>
          </w:r>
        </w:p>
      </w:docPartBody>
    </w:docPart>
    <w:docPart>
      <w:docPartPr>
        <w:name w:val="{ca9b86bd-a5fa-404f-a057-1a6c3fbdfd81}"/>
        <w:style w:val=""/>
        <w:category>
          <w:name w:val="常规"/>
          <w:gallery w:val="placeholder"/>
        </w:category>
        <w:types>
          <w:type w:val="bbPlcHdr"/>
        </w:types>
        <w:behaviors>
          <w:behavior w:val="content"/>
        </w:behaviors>
        <w:description w:val=""/>
        <w:guid w:val="{ca9b86bd-a5fa-404f-a057-1a6c3fbdfd81}"/>
      </w:docPartPr>
      <w:docPartBody>
        <w:p w14:paraId="55FFDBA1">
          <w:r>
            <w:rPr>
              <w:color w:val="808080"/>
            </w:rPr>
            <w:t>单击此处输入文字。</w:t>
          </w:r>
        </w:p>
      </w:docPartBody>
    </w:docPart>
    <w:docPart>
      <w:docPartPr>
        <w:name w:val="{8f8edb0d-0171-4502-a43e-f2900c6bd54a}"/>
        <w:style w:val=""/>
        <w:category>
          <w:name w:val="常规"/>
          <w:gallery w:val="placeholder"/>
        </w:category>
        <w:types>
          <w:type w:val="bbPlcHdr"/>
        </w:types>
        <w:behaviors>
          <w:behavior w:val="content"/>
        </w:behaviors>
        <w:description w:val=""/>
        <w:guid w:val="{8f8edb0d-0171-4502-a43e-f2900c6bd54a}"/>
      </w:docPartPr>
      <w:docPartBody>
        <w:p w14:paraId="4E3AE176">
          <w:r>
            <w:rPr>
              <w:color w:val="808080"/>
            </w:rPr>
            <w:t>单击此处输入文字。</w:t>
          </w:r>
        </w:p>
      </w:docPartBody>
    </w:docPart>
    <w:docPart>
      <w:docPartPr>
        <w:name w:val="{b3d69361-0171-43e0-85a0-a03dd4485963}"/>
        <w:style w:val=""/>
        <w:category>
          <w:name w:val="常规"/>
          <w:gallery w:val="placeholder"/>
        </w:category>
        <w:types>
          <w:type w:val="bbPlcHdr"/>
        </w:types>
        <w:behaviors>
          <w:behavior w:val="content"/>
        </w:behaviors>
        <w:description w:val=""/>
        <w:guid w:val="{b3d69361-0171-43e0-85a0-a03dd4485963}"/>
      </w:docPartPr>
      <w:docPartBody>
        <w:p w14:paraId="59B656DE">
          <w:r>
            <w:rPr>
              <w:color w:val="808080"/>
            </w:rPr>
            <w:t>单击此处输入文字。</w:t>
          </w:r>
        </w:p>
      </w:docPartBody>
    </w:docPart>
    <w:docPart>
      <w:docPartPr>
        <w:name w:val="{f0f17a5c-dc6a-4015-badb-0ff286c92115}"/>
        <w:style w:val=""/>
        <w:category>
          <w:name w:val="常规"/>
          <w:gallery w:val="placeholder"/>
        </w:category>
        <w:types>
          <w:type w:val="bbPlcHdr"/>
        </w:types>
        <w:behaviors>
          <w:behavior w:val="content"/>
        </w:behaviors>
        <w:description w:val=""/>
        <w:guid w:val="{f0f17a5c-dc6a-4015-badb-0ff286c92115}"/>
      </w:docPartPr>
      <w:docPartBody>
        <w:p w14:paraId="5859660C">
          <w:r>
            <w:rPr>
              <w:color w:val="808080"/>
            </w:rPr>
            <w:t>单击此处输入文字。</w:t>
          </w:r>
        </w:p>
      </w:docPartBody>
    </w:docPart>
    <w:docPart>
      <w:docPartPr>
        <w:name w:val="{273b5d23-c8e6-41a4-9db9-9d0769894a40}"/>
        <w:style w:val=""/>
        <w:category>
          <w:name w:val="常规"/>
          <w:gallery w:val="placeholder"/>
        </w:category>
        <w:types>
          <w:type w:val="bbPlcHdr"/>
        </w:types>
        <w:behaviors>
          <w:behavior w:val="content"/>
        </w:behaviors>
        <w:description w:val=""/>
        <w:guid w:val="{273b5d23-c8e6-41a4-9db9-9d0769894a40}"/>
      </w:docPartPr>
      <w:docPartBody>
        <w:p w14:paraId="79BCAC13">
          <w:r>
            <w:rPr>
              <w:color w:val="808080"/>
            </w:rPr>
            <w:t>单击此处输入文字。</w:t>
          </w:r>
        </w:p>
      </w:docPartBody>
    </w:docPart>
    <w:docPart>
      <w:docPartPr>
        <w:name w:val="{73a1feef-8139-479f-8b8d-68357d9ea5ed}"/>
        <w:style w:val=""/>
        <w:category>
          <w:name w:val="常规"/>
          <w:gallery w:val="placeholder"/>
        </w:category>
        <w:types>
          <w:type w:val="bbPlcHdr"/>
        </w:types>
        <w:behaviors>
          <w:behavior w:val="content"/>
        </w:behaviors>
        <w:description w:val=""/>
        <w:guid w:val="{73a1feef-8139-479f-8b8d-68357d9ea5ed}"/>
      </w:docPartPr>
      <w:docPartBody>
        <w:p w14:paraId="7EC77778">
          <w:r>
            <w:rPr>
              <w:color w:val="808080"/>
            </w:rPr>
            <w:t>单击此处输入文字。</w:t>
          </w:r>
        </w:p>
      </w:docPartBody>
    </w:docPart>
    <w:docPart>
      <w:docPartPr>
        <w:name w:val="{a4da428b-22a2-49fb-9ff2-ff744159ccec}"/>
        <w:style w:val=""/>
        <w:category>
          <w:name w:val="常规"/>
          <w:gallery w:val="placeholder"/>
        </w:category>
        <w:types>
          <w:type w:val="bbPlcHdr"/>
        </w:types>
        <w:behaviors>
          <w:behavior w:val="content"/>
        </w:behaviors>
        <w:description w:val=""/>
        <w:guid w:val="{a4da428b-22a2-49fb-9ff2-ff744159ccec}"/>
      </w:docPartPr>
      <w:docPartBody>
        <w:p w14:paraId="16860A0E">
          <w:r>
            <w:rPr>
              <w:color w:val="808080"/>
            </w:rPr>
            <w:t>单击此处输入文字。</w:t>
          </w:r>
        </w:p>
      </w:docPartBody>
    </w:docPart>
    <w:docPart>
      <w:docPartPr>
        <w:name w:val="{ffa80f01-43f2-43fd-acd7-84866b7f5f00}"/>
        <w:style w:val=""/>
        <w:category>
          <w:name w:val="常规"/>
          <w:gallery w:val="placeholder"/>
        </w:category>
        <w:types>
          <w:type w:val="bbPlcHdr"/>
        </w:types>
        <w:behaviors>
          <w:behavior w:val="content"/>
        </w:behaviors>
        <w:description w:val=""/>
        <w:guid w:val="{ffa80f01-43f2-43fd-acd7-84866b7f5f00}"/>
      </w:docPartPr>
      <w:docPartBody>
        <w:p w14:paraId="67C7EEFF">
          <w:r>
            <w:rPr>
              <w:color w:val="808080"/>
            </w:rPr>
            <w:t>单击此处输入文字。</w:t>
          </w:r>
        </w:p>
      </w:docPartBody>
    </w:docPart>
    <w:docPart>
      <w:docPartPr>
        <w:name w:val="{b73faf7b-34db-4cf5-9f40-9cdee2783e31}"/>
        <w:style w:val=""/>
        <w:category>
          <w:name w:val="常规"/>
          <w:gallery w:val="placeholder"/>
        </w:category>
        <w:types>
          <w:type w:val="bbPlcHdr"/>
        </w:types>
        <w:behaviors>
          <w:behavior w:val="content"/>
        </w:behaviors>
        <w:description w:val=""/>
        <w:guid w:val="{b73faf7b-34db-4cf5-9f40-9cdee2783e31}"/>
      </w:docPartPr>
      <w:docPartBody>
        <w:p w14:paraId="627A5F76">
          <w:r>
            <w:rPr>
              <w:color w:val="808080"/>
            </w:rPr>
            <w:t>单击此处输入文字。</w:t>
          </w:r>
        </w:p>
      </w:docPartBody>
    </w:docPart>
    <w:docPart>
      <w:docPartPr>
        <w:name w:val="{a6e2a47f-cedc-4401-80b3-384cdc3f4460}"/>
        <w:style w:val=""/>
        <w:category>
          <w:name w:val="常规"/>
          <w:gallery w:val="placeholder"/>
        </w:category>
        <w:types>
          <w:type w:val="bbPlcHdr"/>
        </w:types>
        <w:behaviors>
          <w:behavior w:val="content"/>
        </w:behaviors>
        <w:description w:val=""/>
        <w:guid w:val="{a6e2a47f-cedc-4401-80b3-384cdc3f4460}"/>
      </w:docPartPr>
      <w:docPartBody>
        <w:p w14:paraId="6DA74022">
          <w:r>
            <w:rPr>
              <w:color w:val="808080"/>
            </w:rPr>
            <w:t>单击此处输入文字。</w:t>
          </w:r>
        </w:p>
      </w:docPartBody>
    </w:docPart>
    <w:docPart>
      <w:docPartPr>
        <w:name w:val="{7c2d21a1-0227-4bc6-95d2-08e2afdab90c}"/>
        <w:style w:val=""/>
        <w:category>
          <w:name w:val="常规"/>
          <w:gallery w:val="placeholder"/>
        </w:category>
        <w:types>
          <w:type w:val="bbPlcHdr"/>
        </w:types>
        <w:behaviors>
          <w:behavior w:val="content"/>
        </w:behaviors>
        <w:description w:val=""/>
        <w:guid w:val="{7c2d21a1-0227-4bc6-95d2-08e2afdab90c}"/>
      </w:docPartPr>
      <w:docPartBody>
        <w:p w14:paraId="3F069932">
          <w:r>
            <w:rPr>
              <w:color w:val="808080"/>
            </w:rPr>
            <w:t>单击此处输入文字。</w:t>
          </w:r>
        </w:p>
      </w:docPartBody>
    </w:docPart>
    <w:docPart>
      <w:docPartPr>
        <w:name w:val="{f1002291-090a-425e-a744-e211baed89d6}"/>
        <w:style w:val=""/>
        <w:category>
          <w:name w:val="常规"/>
          <w:gallery w:val="placeholder"/>
        </w:category>
        <w:types>
          <w:type w:val="bbPlcHdr"/>
        </w:types>
        <w:behaviors>
          <w:behavior w:val="content"/>
        </w:behaviors>
        <w:description w:val=""/>
        <w:guid w:val="{f1002291-090a-425e-a744-e211baed89d6}"/>
      </w:docPartPr>
      <w:docPartBody>
        <w:p w14:paraId="0D031824">
          <w:r>
            <w:rPr>
              <w:color w:val="808080"/>
            </w:rPr>
            <w:t>单击此处输入文字。</w:t>
          </w:r>
        </w:p>
      </w:docPartBody>
    </w:docPart>
    <w:docPart>
      <w:docPartPr>
        <w:name w:val="{39becba5-a4a7-4b3e-a960-20d3c8b04874}"/>
        <w:style w:val=""/>
        <w:category>
          <w:name w:val="常规"/>
          <w:gallery w:val="placeholder"/>
        </w:category>
        <w:types>
          <w:type w:val="bbPlcHdr"/>
        </w:types>
        <w:behaviors>
          <w:behavior w:val="content"/>
        </w:behaviors>
        <w:description w:val=""/>
        <w:guid w:val="{39becba5-a4a7-4b3e-a960-20d3c8b04874}"/>
      </w:docPartPr>
      <w:docPartBody>
        <w:p w14:paraId="58CB8FAA">
          <w:r>
            <w:rPr>
              <w:color w:val="808080"/>
            </w:rPr>
            <w:t>单击此处输入文字。</w:t>
          </w:r>
        </w:p>
      </w:docPartBody>
    </w:docPart>
    <w:docPart>
      <w:docPartPr>
        <w:name w:val="{643e9fcd-57c9-4442-a1a2-789dfee0e68b}"/>
        <w:style w:val=""/>
        <w:category>
          <w:name w:val="常规"/>
          <w:gallery w:val="placeholder"/>
        </w:category>
        <w:types>
          <w:type w:val="bbPlcHdr"/>
        </w:types>
        <w:behaviors>
          <w:behavior w:val="content"/>
        </w:behaviors>
        <w:description w:val=""/>
        <w:guid w:val="{643e9fcd-57c9-4442-a1a2-789dfee0e68b}"/>
      </w:docPartPr>
      <w:docPartBody>
        <w:p w14:paraId="3F6AC3B3">
          <w:r>
            <w:rPr>
              <w:color w:val="808080"/>
            </w:rPr>
            <w:t>单击此处输入文字。</w:t>
          </w:r>
        </w:p>
      </w:docPartBody>
    </w:docPart>
    <w:docPart>
      <w:docPartPr>
        <w:name w:val="{0be611f0-ef75-4703-83d6-158150020c48}"/>
        <w:style w:val=""/>
        <w:category>
          <w:name w:val="常规"/>
          <w:gallery w:val="placeholder"/>
        </w:category>
        <w:types>
          <w:type w:val="bbPlcHdr"/>
        </w:types>
        <w:behaviors>
          <w:behavior w:val="content"/>
        </w:behaviors>
        <w:description w:val=""/>
        <w:guid w:val="{0be611f0-ef75-4703-83d6-158150020c48}"/>
      </w:docPartPr>
      <w:docPartBody>
        <w:p w14:paraId="2B8784F0">
          <w:r>
            <w:rPr>
              <w:color w:val="808080"/>
            </w:rPr>
            <w:t>单击此处输入文字。</w:t>
          </w:r>
        </w:p>
      </w:docPartBody>
    </w:docPart>
    <w:docPart>
      <w:docPartPr>
        <w:name w:val="{37cbe9b8-3663-4417-ba65-72a605afa159}"/>
        <w:style w:val=""/>
        <w:category>
          <w:name w:val="常规"/>
          <w:gallery w:val="placeholder"/>
        </w:category>
        <w:types>
          <w:type w:val="bbPlcHdr"/>
        </w:types>
        <w:behaviors>
          <w:behavior w:val="content"/>
        </w:behaviors>
        <w:description w:val=""/>
        <w:guid w:val="{37cbe9b8-3663-4417-ba65-72a605afa159}"/>
      </w:docPartPr>
      <w:docPartBody>
        <w:p w14:paraId="27C575FF">
          <w:r>
            <w:rPr>
              <w:color w:val="808080"/>
            </w:rPr>
            <w:t>单击此处输入文字。</w:t>
          </w:r>
        </w:p>
      </w:docPartBody>
    </w:docPart>
    <w:docPart>
      <w:docPartPr>
        <w:name w:val="{a9020b39-712c-4baa-b81a-5a29d8af1870}"/>
        <w:style w:val=""/>
        <w:category>
          <w:name w:val="常规"/>
          <w:gallery w:val="placeholder"/>
        </w:category>
        <w:types>
          <w:type w:val="bbPlcHdr"/>
        </w:types>
        <w:behaviors>
          <w:behavior w:val="content"/>
        </w:behaviors>
        <w:description w:val=""/>
        <w:guid w:val="{a9020b39-712c-4baa-b81a-5a29d8af1870}"/>
      </w:docPartPr>
      <w:docPartBody>
        <w:p w14:paraId="097FD54E">
          <w:r>
            <w:rPr>
              <w:color w:val="808080"/>
            </w:rPr>
            <w:t>单击此处输入文字。</w:t>
          </w:r>
        </w:p>
      </w:docPartBody>
    </w:docPart>
    <w:docPart>
      <w:docPartPr>
        <w:name w:val="{00b8b072-c5ef-49d8-9797-5d50cce513c0}"/>
        <w:style w:val=""/>
        <w:category>
          <w:name w:val="常规"/>
          <w:gallery w:val="placeholder"/>
        </w:category>
        <w:types>
          <w:type w:val="bbPlcHdr"/>
        </w:types>
        <w:behaviors>
          <w:behavior w:val="content"/>
        </w:behaviors>
        <w:description w:val=""/>
        <w:guid w:val="{00b8b072-c5ef-49d8-9797-5d50cce513c0}"/>
      </w:docPartPr>
      <w:docPartBody>
        <w:p w14:paraId="1E0D4DA3">
          <w:r>
            <w:rPr>
              <w:color w:val="808080"/>
            </w:rPr>
            <w:t>单击此处输入文字。</w:t>
          </w:r>
        </w:p>
      </w:docPartBody>
    </w:docPart>
    <w:docPart>
      <w:docPartPr>
        <w:name w:val="{f779a2cc-2d82-4868-8565-4c9d586d7297}"/>
        <w:style w:val=""/>
        <w:category>
          <w:name w:val="常规"/>
          <w:gallery w:val="placeholder"/>
        </w:category>
        <w:types>
          <w:type w:val="bbPlcHdr"/>
        </w:types>
        <w:behaviors>
          <w:behavior w:val="content"/>
        </w:behaviors>
        <w:description w:val=""/>
        <w:guid w:val="{f779a2cc-2d82-4868-8565-4c9d586d7297}"/>
      </w:docPartPr>
      <w:docPartBody>
        <w:p w14:paraId="30DFDD20">
          <w:r>
            <w:rPr>
              <w:color w:val="808080"/>
            </w:rPr>
            <w:t>单击此处输入文字。</w:t>
          </w:r>
        </w:p>
      </w:docPartBody>
    </w:docPart>
    <w:docPart>
      <w:docPartPr>
        <w:name w:val="{84e8efe5-2c30-4060-bb18-a815e0747c1f}"/>
        <w:style w:val=""/>
        <w:category>
          <w:name w:val="常规"/>
          <w:gallery w:val="placeholder"/>
        </w:category>
        <w:types>
          <w:type w:val="bbPlcHdr"/>
        </w:types>
        <w:behaviors>
          <w:behavior w:val="content"/>
        </w:behaviors>
        <w:description w:val=""/>
        <w:guid w:val="{84e8efe5-2c30-4060-bb18-a815e0747c1f}"/>
      </w:docPartPr>
      <w:docPartBody>
        <w:p w14:paraId="73FECB7D">
          <w:r>
            <w:rPr>
              <w:color w:val="808080"/>
            </w:rPr>
            <w:t>单击此处输入文字。</w:t>
          </w:r>
        </w:p>
      </w:docPartBody>
    </w:docPart>
    <w:docPart>
      <w:docPartPr>
        <w:name w:val="{606b6d2c-0f09-45c7-be69-a26f868ba552}"/>
        <w:style w:val=""/>
        <w:category>
          <w:name w:val="常规"/>
          <w:gallery w:val="placeholder"/>
        </w:category>
        <w:types>
          <w:type w:val="bbPlcHdr"/>
        </w:types>
        <w:behaviors>
          <w:behavior w:val="content"/>
        </w:behaviors>
        <w:description w:val=""/>
        <w:guid w:val="{606b6d2c-0f09-45c7-be69-a26f868ba552}"/>
      </w:docPartPr>
      <w:docPartBody>
        <w:p w14:paraId="5023EB30">
          <w:r>
            <w:rPr>
              <w:color w:val="808080"/>
            </w:rPr>
            <w:t>单击此处输入文字。</w:t>
          </w:r>
        </w:p>
      </w:docPartBody>
    </w:docPart>
    <w:docPart>
      <w:docPartPr>
        <w:name w:val="{84008d47-9023-4e8d-a7c8-594e934ece6e}"/>
        <w:style w:val=""/>
        <w:category>
          <w:name w:val="常规"/>
          <w:gallery w:val="placeholder"/>
        </w:category>
        <w:types>
          <w:type w:val="bbPlcHdr"/>
        </w:types>
        <w:behaviors>
          <w:behavior w:val="content"/>
        </w:behaviors>
        <w:description w:val=""/>
        <w:guid w:val="{84008d47-9023-4e8d-a7c8-594e934ece6e}"/>
      </w:docPartPr>
      <w:docPartBody>
        <w:p w14:paraId="24836675">
          <w:r>
            <w:rPr>
              <w:color w:val="808080"/>
            </w:rPr>
            <w:t>单击此处输入文字。</w:t>
          </w:r>
        </w:p>
      </w:docPartBody>
    </w:docPart>
    <w:docPart>
      <w:docPartPr>
        <w:name w:val="{939d6bb4-1ebb-4175-9d6d-e2a84a03abac}"/>
        <w:style w:val=""/>
        <w:category>
          <w:name w:val="常规"/>
          <w:gallery w:val="placeholder"/>
        </w:category>
        <w:types>
          <w:type w:val="bbPlcHdr"/>
        </w:types>
        <w:behaviors>
          <w:behavior w:val="content"/>
        </w:behaviors>
        <w:description w:val=""/>
        <w:guid w:val="{939d6bb4-1ebb-4175-9d6d-e2a84a03abac}"/>
      </w:docPartPr>
      <w:docPartBody>
        <w:p w14:paraId="1F8045A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7006</Words>
  <Characters>7954</Characters>
  <Lines>54</Lines>
  <Paragraphs>15</Paragraphs>
  <TotalTime>2</TotalTime>
  <ScaleCrop>false</ScaleCrop>
  <LinksUpToDate>false</LinksUpToDate>
  <CharactersWithSpaces>8053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格萨拉乡党政办</cp:lastModifiedBy>
  <cp:lastPrinted>2023-08-03T02:35:00Z</cp:lastPrinted>
  <dcterms:modified xsi:type="dcterms:W3CDTF">2025-02-07T01:38:56Z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1341F710839849408F20D89F06A3CA44_13</vt:lpwstr>
  </property>
  <property fmtid="{D5CDD505-2E9C-101B-9397-08002B2CF9AE}" pid="4" name="KSOTemplateDocerSaveRecord">
    <vt:lpwstr>eyJoZGlkIjoiOGE4MjQ0MmNkMjEwMjY2NmMxNzRlODE0MmUwMzFjY2UiLCJ1c2VySWQiOiI0MzkxNjA5NjgifQ==</vt:lpwstr>
  </property>
</Properties>
</file>