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98413">
      <w:pPr>
        <w:spacing w:line="600" w:lineRule="exact"/>
        <w:jc w:val="center"/>
        <w:outlineLvl w:val="0"/>
        <w:rPr>
          <w:rFonts w:ascii="方正小标宋简体" w:hAnsi="宋体" w:eastAsia="方正小标宋简体"/>
          <w:sz w:val="72"/>
          <w:szCs w:val="72"/>
        </w:rPr>
      </w:pPr>
      <w:bookmarkStart w:id="0" w:name="_Toc15306267"/>
    </w:p>
    <w:p w14:paraId="65358D30">
      <w:pPr>
        <w:spacing w:line="600" w:lineRule="exact"/>
        <w:jc w:val="center"/>
        <w:outlineLvl w:val="0"/>
        <w:rPr>
          <w:rFonts w:ascii="方正小标宋简体" w:hAnsi="宋体" w:eastAsia="方正小标宋简体"/>
          <w:sz w:val="72"/>
          <w:szCs w:val="72"/>
        </w:rPr>
      </w:pPr>
    </w:p>
    <w:p w14:paraId="66A65F13">
      <w:pPr>
        <w:spacing w:line="600" w:lineRule="exact"/>
        <w:jc w:val="center"/>
        <w:outlineLvl w:val="0"/>
        <w:rPr>
          <w:rFonts w:ascii="方正小标宋简体" w:hAnsi="宋体" w:eastAsia="方正小标宋简体"/>
          <w:sz w:val="72"/>
          <w:szCs w:val="72"/>
        </w:rPr>
      </w:pPr>
    </w:p>
    <w:p w14:paraId="6AB172EA">
      <w:pPr>
        <w:spacing w:line="600" w:lineRule="exact"/>
        <w:jc w:val="center"/>
        <w:outlineLvl w:val="0"/>
        <w:rPr>
          <w:rFonts w:ascii="方正小标宋简体" w:hAnsi="宋体" w:eastAsia="方正小标宋简体"/>
          <w:sz w:val="72"/>
          <w:szCs w:val="72"/>
        </w:rPr>
      </w:pPr>
    </w:p>
    <w:p w14:paraId="3551F826">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1" w:name="_Toc15377193"/>
      <w:bookmarkStart w:id="2" w:name="_Toc15396475"/>
      <w:bookmarkStart w:id="3" w:name="_Toc15377425"/>
      <w:bookmarkStart w:id="4" w:name="_Toc15396597"/>
      <w:bookmarkStart w:id="5" w:name="_Toc15378441"/>
      <w:r>
        <w:rPr>
          <w:rFonts w:hint="eastAsia" w:ascii="方正小标宋简体" w:hAnsi="方正小标宋简体" w:eastAsia="方正小标宋简体" w:cs="方正小标宋简体"/>
          <w:sz w:val="52"/>
          <w:szCs w:val="52"/>
        </w:rPr>
        <w:t>2021年度</w:t>
      </w:r>
      <w:bookmarkEnd w:id="0"/>
      <w:bookmarkEnd w:id="1"/>
      <w:bookmarkEnd w:id="2"/>
      <w:bookmarkEnd w:id="3"/>
      <w:bookmarkEnd w:id="4"/>
      <w:bookmarkEnd w:id="5"/>
      <w:bookmarkStart w:id="6" w:name="_Toc15377194"/>
      <w:bookmarkStart w:id="7" w:name="_Toc15306268"/>
      <w:bookmarkStart w:id="8" w:name="_Toc15377426"/>
      <w:bookmarkStart w:id="9" w:name="_Toc15396476"/>
      <w:bookmarkStart w:id="10" w:name="_Toc15396598"/>
      <w:bookmarkStart w:id="11" w:name="_Toc15378442"/>
    </w:p>
    <w:p w14:paraId="6154356C">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盐边县红宝苗族彝族乡中心学校</w:t>
      </w:r>
    </w:p>
    <w:p w14:paraId="2958D413">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52"/>
          <w:szCs w:val="52"/>
        </w:rPr>
        <w:t>部门决算</w:t>
      </w:r>
      <w:bookmarkEnd w:id="6"/>
      <w:bookmarkEnd w:id="7"/>
      <w:bookmarkEnd w:id="8"/>
      <w:bookmarkEnd w:id="9"/>
      <w:bookmarkEnd w:id="10"/>
      <w:bookmarkEnd w:id="11"/>
      <w:r>
        <w:rPr>
          <w:rFonts w:hint="eastAsia" w:ascii="方正小标宋简体" w:hAnsi="方正小标宋简体" w:eastAsia="方正小标宋简体" w:cs="方正小标宋简体"/>
          <w:sz w:val="52"/>
          <w:szCs w:val="52"/>
        </w:rPr>
        <w:t>编制说明</w:t>
      </w:r>
    </w:p>
    <w:p w14:paraId="76A49C91">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5E42F41C">
      <w:pPr>
        <w:widowControl/>
        <w:jc w:val="center"/>
        <w:rPr>
          <w:rFonts w:ascii="黑体" w:hAnsi="黑体" w:eastAsia="黑体" w:cstheme="minorBidi"/>
          <w:sz w:val="28"/>
          <w:szCs w:val="28"/>
        </w:rPr>
      </w:pPr>
    </w:p>
    <w:p w14:paraId="46AF215D">
      <w:pPr>
        <w:pStyle w:val="10"/>
      </w:pPr>
      <w:r>
        <w:rPr>
          <w:rFonts w:hint="eastAsia"/>
        </w:rPr>
        <w:t>公开时间：2022年10月26日</w:t>
      </w:r>
    </w:p>
    <w:p w14:paraId="19B58DCD"/>
    <w:p w14:paraId="27EFF8A8">
      <w:pPr>
        <w:pStyle w:val="10"/>
        <w:adjustRightInd w:val="0"/>
        <w:snapToGrid w:val="0"/>
        <w:spacing w:before="0" w:line="440" w:lineRule="exact"/>
        <w:jc w:val="left"/>
        <w:rPr>
          <w:rFonts w:cstheme="minorBidi"/>
          <w:sz w:val="24"/>
          <w:szCs w:val="24"/>
        </w:rPr>
      </w:pPr>
      <w:r>
        <w:rPr>
          <w:rFonts w:hint="eastAsia"/>
          <w:sz w:val="24"/>
        </w:rPr>
        <w:t>第一部分单位概况</w:t>
      </w:r>
    </w:p>
    <w:p w14:paraId="062947D4">
      <w:pPr>
        <w:pStyle w:val="11"/>
        <w:adjustRightInd w:val="0"/>
        <w:snapToGrid w:val="0"/>
        <w:spacing w:line="440" w:lineRule="exact"/>
        <w:jc w:val="left"/>
        <w:rPr>
          <w:sz w:val="24"/>
        </w:rPr>
      </w:pPr>
      <w:r>
        <w:rPr>
          <w:rFonts w:hint="eastAsia"/>
          <w:sz w:val="24"/>
        </w:rPr>
        <w:t>一、职能简介......................................................................................................4</w:t>
      </w:r>
    </w:p>
    <w:p w14:paraId="2B7B1682">
      <w:pPr>
        <w:pStyle w:val="11"/>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二、2021年重点工作完成情况</w:t>
      </w:r>
      <w:r>
        <w:rPr>
          <w:rFonts w:hint="eastAsia"/>
          <w:sz w:val="24"/>
        </w:rPr>
        <w:t>.........................................................................</w:t>
      </w:r>
      <w:r>
        <w:rPr>
          <w:rFonts w:hint="eastAsia" w:asciiTheme="minorEastAsia" w:hAnsiTheme="minorEastAsia" w:eastAsiaTheme="minorEastAsia" w:cstheme="minorEastAsia"/>
          <w:sz w:val="24"/>
        </w:rPr>
        <w:t>4</w:t>
      </w:r>
    </w:p>
    <w:p w14:paraId="741989E0">
      <w:pPr>
        <w:ind w:firstLine="420" w:firstLineChars="200"/>
      </w:pPr>
      <w:r>
        <w:rPr>
          <w:rFonts w:hint="eastAsia"/>
        </w:rPr>
        <w:t>三、机构设置</w:t>
      </w:r>
      <w:r>
        <w:rPr>
          <w:rFonts w:hint="eastAsia"/>
          <w:sz w:val="24"/>
        </w:rPr>
        <w:t>.......................................................................................................</w:t>
      </w:r>
      <w:r>
        <w:rPr>
          <w:rFonts w:asciiTheme="minorEastAsia" w:hAnsiTheme="minorEastAsia" w:eastAsiaTheme="minorEastAsia" w:cstheme="minorEastAsia"/>
          <w:sz w:val="24"/>
        </w:rPr>
        <w:t>4-5</w:t>
      </w:r>
    </w:p>
    <w:p w14:paraId="2771B841">
      <w:pPr>
        <w:pStyle w:val="10"/>
        <w:adjustRightInd w:val="0"/>
        <w:snapToGrid w:val="0"/>
        <w:spacing w:before="0" w:line="440" w:lineRule="exact"/>
        <w:jc w:val="left"/>
        <w:rPr>
          <w:sz w:val="24"/>
          <w:szCs w:val="24"/>
        </w:rPr>
      </w:pPr>
      <w:r>
        <w:rPr>
          <w:rFonts w:hint="eastAsia"/>
          <w:sz w:val="24"/>
        </w:rPr>
        <w:t>第二部分 2021年度单位决算情况说明</w:t>
      </w:r>
    </w:p>
    <w:p w14:paraId="5B949B72">
      <w:pPr>
        <w:pStyle w:val="11"/>
        <w:adjustRightInd w:val="0"/>
        <w:snapToGrid w:val="0"/>
        <w:spacing w:line="440" w:lineRule="exact"/>
        <w:jc w:val="left"/>
        <w:rPr>
          <w:rFonts w:ascii="仿宋" w:hAnsi="仿宋" w:cstheme="minorBidi"/>
          <w:sz w:val="24"/>
        </w:rPr>
      </w:pPr>
      <w:r>
        <w:rPr>
          <w:rFonts w:hint="eastAsia"/>
          <w:sz w:val="24"/>
        </w:rPr>
        <w:t>一、收入支出决算总体情况说明..................................................................</w:t>
      </w:r>
      <w:r>
        <w:rPr>
          <w:sz w:val="24"/>
        </w:rPr>
        <w:t>5</w:t>
      </w:r>
    </w:p>
    <w:p w14:paraId="47735383">
      <w:pPr>
        <w:pStyle w:val="11"/>
        <w:adjustRightInd w:val="0"/>
        <w:snapToGrid w:val="0"/>
        <w:spacing w:line="440" w:lineRule="exact"/>
        <w:jc w:val="left"/>
        <w:rPr>
          <w:rFonts w:ascii="仿宋" w:hAnsi="仿宋" w:cstheme="minorBidi"/>
          <w:sz w:val="24"/>
        </w:rPr>
      </w:pPr>
      <w:r>
        <w:rPr>
          <w:rFonts w:hint="eastAsia"/>
          <w:sz w:val="24"/>
        </w:rPr>
        <w:t>二、收入决算情况说明...................................................................................</w:t>
      </w:r>
      <w:r>
        <w:rPr>
          <w:sz w:val="24"/>
        </w:rPr>
        <w:t>6</w:t>
      </w:r>
    </w:p>
    <w:p w14:paraId="1AC7DEAA">
      <w:pPr>
        <w:pStyle w:val="11"/>
        <w:adjustRightInd w:val="0"/>
        <w:snapToGrid w:val="0"/>
        <w:spacing w:line="440" w:lineRule="exact"/>
        <w:jc w:val="left"/>
        <w:rPr>
          <w:rFonts w:ascii="仿宋" w:hAnsi="仿宋" w:cstheme="minorBidi"/>
          <w:sz w:val="24"/>
        </w:rPr>
      </w:pPr>
      <w:r>
        <w:rPr>
          <w:rFonts w:hint="eastAsia"/>
          <w:sz w:val="24"/>
        </w:rPr>
        <w:t>三、支出决算情况说明...................................................................................</w:t>
      </w:r>
      <w:r>
        <w:rPr>
          <w:sz w:val="24"/>
        </w:rPr>
        <w:t>6</w:t>
      </w:r>
      <w:r>
        <w:rPr>
          <w:rFonts w:hint="eastAsia"/>
          <w:sz w:val="24"/>
        </w:rPr>
        <w:t>-</w:t>
      </w:r>
      <w:r>
        <w:rPr>
          <w:sz w:val="24"/>
        </w:rPr>
        <w:t>7</w:t>
      </w:r>
    </w:p>
    <w:p w14:paraId="4CEE7AB0">
      <w:pPr>
        <w:pStyle w:val="11"/>
        <w:adjustRightInd w:val="0"/>
        <w:snapToGrid w:val="0"/>
        <w:spacing w:line="440" w:lineRule="exact"/>
        <w:jc w:val="left"/>
        <w:rPr>
          <w:rFonts w:ascii="仿宋" w:hAnsi="仿宋" w:cstheme="minorBidi"/>
          <w:sz w:val="24"/>
        </w:rPr>
      </w:pPr>
      <w:r>
        <w:rPr>
          <w:rFonts w:hint="eastAsia"/>
          <w:sz w:val="24"/>
        </w:rPr>
        <w:t>四、财政拨款收入支出决算总体情况说明...................................................</w:t>
      </w:r>
      <w:r>
        <w:rPr>
          <w:sz w:val="24"/>
        </w:rPr>
        <w:t>7</w:t>
      </w:r>
      <w:r>
        <w:rPr>
          <w:rFonts w:hint="eastAsia"/>
          <w:sz w:val="24"/>
        </w:rPr>
        <w:t>-</w:t>
      </w:r>
      <w:r>
        <w:rPr>
          <w:sz w:val="24"/>
        </w:rPr>
        <w:t>8</w:t>
      </w:r>
    </w:p>
    <w:p w14:paraId="136A6C71">
      <w:pPr>
        <w:pStyle w:val="11"/>
        <w:adjustRightInd w:val="0"/>
        <w:snapToGrid w:val="0"/>
        <w:spacing w:line="440" w:lineRule="exact"/>
        <w:jc w:val="left"/>
        <w:rPr>
          <w:rFonts w:ascii="仿宋" w:hAnsi="仿宋" w:cstheme="minorBidi"/>
          <w:sz w:val="24"/>
        </w:rPr>
      </w:pPr>
      <w:r>
        <w:rPr>
          <w:rFonts w:hint="eastAsia"/>
          <w:sz w:val="24"/>
        </w:rPr>
        <w:t>五、一般公共预算财政拨款支出决算情况说明..........................................</w:t>
      </w:r>
      <w:r>
        <w:rPr>
          <w:sz w:val="24"/>
        </w:rPr>
        <w:t>8</w:t>
      </w:r>
      <w:r>
        <w:rPr>
          <w:rFonts w:hint="eastAsia"/>
          <w:sz w:val="24"/>
        </w:rPr>
        <w:t>-1</w:t>
      </w:r>
      <w:r>
        <w:rPr>
          <w:sz w:val="24"/>
        </w:rPr>
        <w:t>1</w:t>
      </w:r>
    </w:p>
    <w:p w14:paraId="5253DB1C">
      <w:pPr>
        <w:pStyle w:val="11"/>
        <w:adjustRightInd w:val="0"/>
        <w:snapToGrid w:val="0"/>
        <w:spacing w:line="440" w:lineRule="exact"/>
        <w:jc w:val="left"/>
        <w:rPr>
          <w:rFonts w:ascii="仿宋" w:hAnsi="仿宋" w:cstheme="minorBidi"/>
          <w:sz w:val="24"/>
        </w:rPr>
      </w:pPr>
      <w:r>
        <w:rPr>
          <w:rFonts w:hint="eastAsia"/>
          <w:sz w:val="24"/>
        </w:rPr>
        <w:t>六、一般公共预算财政拨款基本支出决算情况说明.....................................1</w:t>
      </w:r>
      <w:r>
        <w:rPr>
          <w:sz w:val="24"/>
        </w:rPr>
        <w:t>1</w:t>
      </w:r>
    </w:p>
    <w:p w14:paraId="61E51015">
      <w:pPr>
        <w:pStyle w:val="11"/>
        <w:adjustRightInd w:val="0"/>
        <w:snapToGrid w:val="0"/>
        <w:spacing w:line="440" w:lineRule="exact"/>
        <w:jc w:val="left"/>
        <w:rPr>
          <w:rFonts w:ascii="仿宋" w:hAnsi="仿宋" w:cstheme="minorBidi"/>
          <w:sz w:val="24"/>
        </w:rPr>
      </w:pPr>
      <w:r>
        <w:rPr>
          <w:rFonts w:hint="eastAsia"/>
          <w:sz w:val="24"/>
        </w:rPr>
        <w:t>七、“三公”经费财政拨款支出决算情况说明..........................................1</w:t>
      </w:r>
      <w:r>
        <w:rPr>
          <w:sz w:val="24"/>
        </w:rPr>
        <w:t>1</w:t>
      </w:r>
      <w:r>
        <w:rPr>
          <w:rFonts w:hint="eastAsia"/>
          <w:sz w:val="24"/>
        </w:rPr>
        <w:t>-1</w:t>
      </w:r>
      <w:r>
        <w:rPr>
          <w:sz w:val="24"/>
        </w:rPr>
        <w:t>2</w:t>
      </w:r>
    </w:p>
    <w:p w14:paraId="6F6A39F3">
      <w:pPr>
        <w:pStyle w:val="11"/>
        <w:adjustRightInd w:val="0"/>
        <w:snapToGrid w:val="0"/>
        <w:spacing w:line="440" w:lineRule="exact"/>
        <w:jc w:val="left"/>
        <w:rPr>
          <w:sz w:val="24"/>
        </w:rPr>
      </w:pPr>
      <w:r>
        <w:rPr>
          <w:rFonts w:hint="eastAsia"/>
          <w:sz w:val="24"/>
        </w:rPr>
        <w:t>八、政府性基金预算支出决算情况说明...........................................................1</w:t>
      </w:r>
      <w:r>
        <w:rPr>
          <w:sz w:val="24"/>
        </w:rPr>
        <w:t>2</w:t>
      </w:r>
    </w:p>
    <w:p w14:paraId="5A34F6B4">
      <w:pPr>
        <w:pStyle w:val="11"/>
        <w:adjustRightInd w:val="0"/>
        <w:snapToGrid w:val="0"/>
        <w:spacing w:line="440" w:lineRule="exact"/>
        <w:jc w:val="left"/>
        <w:rPr>
          <w:sz w:val="24"/>
        </w:rPr>
      </w:pPr>
      <w:r>
        <w:rPr>
          <w:rFonts w:hint="eastAsia"/>
          <w:sz w:val="24"/>
        </w:rPr>
        <w:t>九、国有资本经营预算支出决算情况说明.......................................................1</w:t>
      </w:r>
      <w:r>
        <w:rPr>
          <w:sz w:val="24"/>
        </w:rPr>
        <w:t>2</w:t>
      </w:r>
    </w:p>
    <w:p w14:paraId="3F3C9A3E">
      <w:pPr>
        <w:pStyle w:val="11"/>
        <w:adjustRightInd w:val="0"/>
        <w:snapToGrid w:val="0"/>
        <w:spacing w:line="440" w:lineRule="exact"/>
        <w:jc w:val="left"/>
        <w:rPr>
          <w:sz w:val="24"/>
        </w:rPr>
      </w:pPr>
      <w:r>
        <w:rPr>
          <w:rFonts w:hint="eastAsia"/>
          <w:sz w:val="24"/>
        </w:rPr>
        <w:t>十、其他重要事项的情况说明......................................................................1</w:t>
      </w:r>
      <w:r>
        <w:rPr>
          <w:sz w:val="24"/>
        </w:rPr>
        <w:t>2</w:t>
      </w:r>
      <w:r>
        <w:rPr>
          <w:rFonts w:hint="eastAsia"/>
          <w:sz w:val="24"/>
        </w:rPr>
        <w:t>-1</w:t>
      </w:r>
      <w:r>
        <w:rPr>
          <w:sz w:val="24"/>
        </w:rPr>
        <w:t>3</w:t>
      </w:r>
    </w:p>
    <w:p w14:paraId="7E251DFE">
      <w:pPr>
        <w:pStyle w:val="10"/>
        <w:adjustRightInd w:val="0"/>
        <w:snapToGrid w:val="0"/>
        <w:spacing w:before="0" w:line="440" w:lineRule="exact"/>
        <w:jc w:val="left"/>
        <w:rPr>
          <w:rFonts w:cstheme="minorBidi"/>
          <w:sz w:val="24"/>
          <w:szCs w:val="24"/>
        </w:rPr>
      </w:pPr>
      <w:r>
        <w:rPr>
          <w:rFonts w:hint="eastAsia"/>
          <w:sz w:val="24"/>
        </w:rPr>
        <w:t>第三部分名词解释................................................</w:t>
      </w:r>
      <w:r>
        <w:rPr>
          <w:sz w:val="24"/>
        </w:rPr>
        <w:t>14-</w:t>
      </w:r>
      <w:r>
        <w:rPr>
          <w:rFonts w:hint="eastAsia"/>
          <w:sz w:val="24"/>
        </w:rPr>
        <w:t>1</w:t>
      </w:r>
      <w:r>
        <w:rPr>
          <w:sz w:val="24"/>
        </w:rPr>
        <w:t>6</w:t>
      </w:r>
    </w:p>
    <w:p w14:paraId="27EB63B5">
      <w:pPr>
        <w:pStyle w:val="10"/>
        <w:adjustRightInd w:val="0"/>
        <w:snapToGrid w:val="0"/>
        <w:spacing w:before="0" w:line="440" w:lineRule="exact"/>
        <w:jc w:val="left"/>
        <w:rPr>
          <w:rFonts w:cstheme="minorBidi"/>
          <w:sz w:val="24"/>
          <w:szCs w:val="24"/>
        </w:rPr>
      </w:pPr>
      <w:r>
        <w:rPr>
          <w:rFonts w:hint="eastAsia"/>
          <w:sz w:val="24"/>
        </w:rPr>
        <w:t>第四部分附件....................................................1</w:t>
      </w:r>
      <w:r>
        <w:rPr>
          <w:sz w:val="24"/>
        </w:rPr>
        <w:t>6</w:t>
      </w:r>
      <w:r>
        <w:rPr>
          <w:rFonts w:hint="eastAsia"/>
          <w:sz w:val="24"/>
        </w:rPr>
        <w:t>-</w:t>
      </w:r>
      <w:r>
        <w:rPr>
          <w:sz w:val="24"/>
        </w:rPr>
        <w:t>19</w:t>
      </w:r>
    </w:p>
    <w:p w14:paraId="121F9A3E">
      <w:pPr>
        <w:pStyle w:val="10"/>
        <w:adjustRightInd w:val="0"/>
        <w:snapToGrid w:val="0"/>
        <w:spacing w:before="0" w:line="440" w:lineRule="exact"/>
        <w:jc w:val="left"/>
        <w:rPr>
          <w:rFonts w:cstheme="minorBidi"/>
          <w:sz w:val="24"/>
          <w:szCs w:val="24"/>
        </w:rPr>
      </w:pPr>
      <w:r>
        <w:rPr>
          <w:rFonts w:hint="eastAsia"/>
          <w:sz w:val="24"/>
        </w:rPr>
        <w:t>第五部分附表.......................................................2</w:t>
      </w:r>
      <w:r>
        <w:rPr>
          <w:sz w:val="24"/>
        </w:rPr>
        <w:t>0</w:t>
      </w:r>
    </w:p>
    <w:p w14:paraId="31DAE76E">
      <w:pPr>
        <w:pStyle w:val="11"/>
        <w:adjustRightInd w:val="0"/>
        <w:snapToGrid w:val="0"/>
        <w:spacing w:line="440" w:lineRule="exact"/>
        <w:jc w:val="left"/>
        <w:rPr>
          <w:sz w:val="24"/>
        </w:rPr>
      </w:pPr>
      <w:r>
        <w:rPr>
          <w:rFonts w:hint="eastAsia"/>
          <w:sz w:val="24"/>
        </w:rPr>
        <w:t>一、收入支出决算总表</w:t>
      </w:r>
    </w:p>
    <w:p w14:paraId="71505B4B">
      <w:pPr>
        <w:pStyle w:val="11"/>
        <w:adjustRightInd w:val="0"/>
        <w:snapToGrid w:val="0"/>
        <w:spacing w:line="440" w:lineRule="exact"/>
        <w:jc w:val="left"/>
        <w:rPr>
          <w:sz w:val="24"/>
        </w:rPr>
      </w:pPr>
      <w:r>
        <w:rPr>
          <w:rFonts w:hint="eastAsia"/>
          <w:sz w:val="24"/>
        </w:rPr>
        <w:t>二、收入决算表</w:t>
      </w:r>
    </w:p>
    <w:p w14:paraId="53B49DC6">
      <w:pPr>
        <w:pStyle w:val="11"/>
        <w:adjustRightInd w:val="0"/>
        <w:snapToGrid w:val="0"/>
        <w:spacing w:line="440" w:lineRule="exact"/>
        <w:jc w:val="left"/>
        <w:rPr>
          <w:sz w:val="24"/>
        </w:rPr>
      </w:pPr>
      <w:r>
        <w:rPr>
          <w:rFonts w:hint="eastAsia"/>
          <w:sz w:val="24"/>
        </w:rPr>
        <w:t>三、支出决算表</w:t>
      </w:r>
    </w:p>
    <w:p w14:paraId="324AC192">
      <w:pPr>
        <w:pStyle w:val="11"/>
        <w:adjustRightInd w:val="0"/>
        <w:snapToGrid w:val="0"/>
        <w:spacing w:line="440" w:lineRule="exact"/>
        <w:jc w:val="left"/>
        <w:rPr>
          <w:sz w:val="24"/>
        </w:rPr>
      </w:pPr>
      <w:r>
        <w:rPr>
          <w:rFonts w:hint="eastAsia"/>
          <w:sz w:val="24"/>
        </w:rPr>
        <w:t>四、财政拨款收入支出决算总表</w:t>
      </w:r>
    </w:p>
    <w:p w14:paraId="3E27060E">
      <w:pPr>
        <w:pStyle w:val="11"/>
        <w:adjustRightInd w:val="0"/>
        <w:snapToGrid w:val="0"/>
        <w:spacing w:line="440" w:lineRule="exact"/>
        <w:jc w:val="left"/>
        <w:rPr>
          <w:sz w:val="24"/>
        </w:rPr>
      </w:pPr>
      <w:r>
        <w:rPr>
          <w:rFonts w:hint="eastAsia"/>
          <w:sz w:val="24"/>
        </w:rPr>
        <w:t>五、财政拨款支出决算明细表</w:t>
      </w:r>
    </w:p>
    <w:p w14:paraId="06370311">
      <w:pPr>
        <w:pStyle w:val="11"/>
        <w:adjustRightInd w:val="0"/>
        <w:snapToGrid w:val="0"/>
        <w:spacing w:line="440" w:lineRule="exact"/>
        <w:jc w:val="left"/>
        <w:rPr>
          <w:sz w:val="24"/>
        </w:rPr>
      </w:pPr>
      <w:r>
        <w:rPr>
          <w:rFonts w:hint="eastAsia"/>
          <w:sz w:val="24"/>
        </w:rPr>
        <w:t>六、一般公共预算财政拨款支出决算表</w:t>
      </w:r>
    </w:p>
    <w:p w14:paraId="2D7247A8">
      <w:pPr>
        <w:pStyle w:val="11"/>
        <w:adjustRightInd w:val="0"/>
        <w:snapToGrid w:val="0"/>
        <w:spacing w:line="440" w:lineRule="exact"/>
        <w:jc w:val="left"/>
        <w:rPr>
          <w:sz w:val="24"/>
        </w:rPr>
      </w:pPr>
      <w:r>
        <w:rPr>
          <w:rFonts w:hint="eastAsia"/>
          <w:sz w:val="24"/>
        </w:rPr>
        <w:t>七、一般公共预算财政拨款支出决算明细表</w:t>
      </w:r>
    </w:p>
    <w:p w14:paraId="0133ED3C">
      <w:pPr>
        <w:pStyle w:val="11"/>
        <w:adjustRightInd w:val="0"/>
        <w:snapToGrid w:val="0"/>
        <w:spacing w:line="440" w:lineRule="exact"/>
        <w:jc w:val="left"/>
        <w:rPr>
          <w:sz w:val="24"/>
        </w:rPr>
      </w:pPr>
      <w:r>
        <w:rPr>
          <w:rFonts w:hint="eastAsia"/>
          <w:sz w:val="24"/>
        </w:rPr>
        <w:t>八、一般公共预算财政拨款基本支出决算表</w:t>
      </w:r>
    </w:p>
    <w:p w14:paraId="55BD7F44">
      <w:pPr>
        <w:pStyle w:val="11"/>
        <w:adjustRightInd w:val="0"/>
        <w:snapToGrid w:val="0"/>
        <w:spacing w:line="440" w:lineRule="exact"/>
        <w:jc w:val="left"/>
        <w:rPr>
          <w:sz w:val="24"/>
        </w:rPr>
      </w:pPr>
      <w:r>
        <w:rPr>
          <w:rFonts w:hint="eastAsia"/>
          <w:sz w:val="24"/>
        </w:rPr>
        <w:t>九、一般公共预算财政拨款项目支出决算表</w:t>
      </w:r>
    </w:p>
    <w:p w14:paraId="22EA2B9E">
      <w:pPr>
        <w:pStyle w:val="11"/>
        <w:adjustRightInd w:val="0"/>
        <w:snapToGrid w:val="0"/>
        <w:spacing w:line="440" w:lineRule="exact"/>
        <w:jc w:val="left"/>
        <w:rPr>
          <w:sz w:val="24"/>
        </w:rPr>
      </w:pPr>
      <w:r>
        <w:rPr>
          <w:rFonts w:hint="eastAsia"/>
          <w:sz w:val="24"/>
        </w:rPr>
        <w:t>十、一般公共预算财政拨款“三公”经费支出决算表</w:t>
      </w:r>
    </w:p>
    <w:p w14:paraId="680FCE37">
      <w:pPr>
        <w:pStyle w:val="11"/>
        <w:adjustRightInd w:val="0"/>
        <w:snapToGrid w:val="0"/>
        <w:spacing w:line="440" w:lineRule="exact"/>
        <w:jc w:val="left"/>
        <w:rPr>
          <w:sz w:val="24"/>
        </w:rPr>
      </w:pPr>
      <w:r>
        <w:rPr>
          <w:rFonts w:hint="eastAsia"/>
          <w:sz w:val="24"/>
        </w:rPr>
        <w:t>十一、政府性基金预算财政拨款收入支出决算表</w:t>
      </w:r>
    </w:p>
    <w:p w14:paraId="701E3C69">
      <w:pPr>
        <w:pStyle w:val="11"/>
        <w:adjustRightInd w:val="0"/>
        <w:snapToGrid w:val="0"/>
        <w:spacing w:line="440" w:lineRule="exact"/>
        <w:jc w:val="left"/>
        <w:rPr>
          <w:sz w:val="24"/>
        </w:rPr>
      </w:pPr>
      <w:r>
        <w:rPr>
          <w:rFonts w:hint="eastAsia"/>
          <w:sz w:val="24"/>
        </w:rPr>
        <w:t>十二、政府性基金预算财政拨款“三公”经费支出决算表</w:t>
      </w:r>
    </w:p>
    <w:p w14:paraId="17C77AC6">
      <w:pPr>
        <w:pStyle w:val="11"/>
        <w:adjustRightInd w:val="0"/>
        <w:snapToGrid w:val="0"/>
        <w:spacing w:line="440" w:lineRule="exact"/>
        <w:jc w:val="left"/>
        <w:rPr>
          <w:sz w:val="24"/>
        </w:rPr>
      </w:pPr>
      <w:r>
        <w:rPr>
          <w:rFonts w:hint="eastAsia"/>
          <w:sz w:val="24"/>
        </w:rPr>
        <w:t>十三、国有资本经营预算财政拨款收入支出决算表</w:t>
      </w:r>
    </w:p>
    <w:p w14:paraId="0CDA646B">
      <w:pPr>
        <w:pStyle w:val="11"/>
        <w:adjustRightInd w:val="0"/>
        <w:snapToGrid w:val="0"/>
        <w:spacing w:line="440" w:lineRule="exact"/>
        <w:jc w:val="left"/>
        <w:rPr>
          <w:sz w:val="24"/>
        </w:rPr>
      </w:pPr>
      <w:r>
        <w:rPr>
          <w:rFonts w:hint="eastAsia"/>
          <w:sz w:val="24"/>
        </w:rPr>
        <w:t>十四、国有资本经营预算财政拨款支出决算表</w:t>
      </w:r>
    </w:p>
    <w:p w14:paraId="7365CBDB">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0DB860A3">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14:paraId="49E48372">
      <w:pPr>
        <w:widowControl/>
        <w:jc w:val="left"/>
        <w:rPr>
          <w:rFonts w:ascii="黑体" w:eastAsia="黑体"/>
          <w:sz w:val="32"/>
          <w:szCs w:val="32"/>
        </w:rPr>
      </w:pPr>
    </w:p>
    <w:p w14:paraId="111FF39D">
      <w:pPr>
        <w:pStyle w:val="4"/>
        <w:numPr>
          <w:ilvl w:val="0"/>
          <w:numId w:val="1"/>
        </w:numPr>
        <w:ind w:firstLine="640" w:firstLineChars="200"/>
        <w:rPr>
          <w:rStyle w:val="25"/>
          <w:rFonts w:ascii="黑体" w:hAnsi="黑体" w:eastAsia="黑体"/>
          <w:b w:val="0"/>
          <w:bCs w:val="0"/>
        </w:rPr>
      </w:pPr>
      <w:bookmarkStart w:id="14" w:name="_Toc15377197"/>
      <w:bookmarkStart w:id="15" w:name="_Toc15396600"/>
      <w:r>
        <w:rPr>
          <w:rStyle w:val="25"/>
          <w:rFonts w:hint="eastAsia" w:ascii="黑体" w:hAnsi="黑体" w:eastAsia="黑体"/>
          <w:b w:val="0"/>
          <w:bCs w:val="0"/>
        </w:rPr>
        <w:t>职能简介</w:t>
      </w:r>
    </w:p>
    <w:p w14:paraId="618A8192">
      <w:pPr>
        <w:numPr>
          <w:ilvl w:val="0"/>
          <w:numId w:val="2"/>
        </w:numPr>
        <w:ind w:left="0" w:firstLine="640" w:firstLineChars="200"/>
        <w:rPr>
          <w:rStyle w:val="25"/>
          <w:rFonts w:ascii="楷体_GB2312" w:hAnsi="黑体" w:eastAsia="楷体_GB2312"/>
          <w:b w:val="0"/>
          <w:bCs w:val="0"/>
        </w:rPr>
      </w:pPr>
      <w:r>
        <w:rPr>
          <w:rStyle w:val="25"/>
          <w:rFonts w:hint="eastAsia" w:ascii="楷体_GB2312" w:hAnsi="黑体" w:eastAsia="楷体_GB2312"/>
          <w:b w:val="0"/>
          <w:bCs w:val="0"/>
        </w:rPr>
        <w:t>机构职能。</w:t>
      </w:r>
    </w:p>
    <w:p w14:paraId="0F31CD8E">
      <w:pPr>
        <w:widowControl/>
        <w:snapToGrid w:val="0"/>
        <w:spacing w:line="560" w:lineRule="exact"/>
        <w:ind w:firstLine="640" w:firstLineChars="200"/>
        <w:rPr>
          <w:rFonts w:hint="eastAsia" w:ascii="仿宋_GB2312" w:hAnsi="仿宋" w:eastAsia="仿宋_GB2312" w:cs="仿宋"/>
          <w:b/>
          <w:bCs/>
          <w:color w:val="000000"/>
          <w:sz w:val="32"/>
          <w:szCs w:val="32"/>
        </w:rPr>
      </w:pPr>
      <w:r>
        <w:rPr>
          <w:rStyle w:val="30"/>
          <w:rFonts w:hint="eastAsia" w:ascii="仿宋_GB2312" w:hAnsi="仿宋" w:eastAsia="仿宋_GB2312" w:cs="仿宋"/>
          <w:sz w:val="32"/>
          <w:szCs w:val="32"/>
          <w:lang w:eastAsia="zh-CN"/>
        </w:rPr>
        <w:t>实施小学义务教育工作，促进基础教育发展，小学学历教育等相关社会服务。</w:t>
      </w:r>
    </w:p>
    <w:p w14:paraId="3DBFC2F7">
      <w:pPr>
        <w:pStyle w:val="2"/>
        <w:numPr>
          <w:ilvl w:val="0"/>
          <w:numId w:val="3"/>
        </w:numPr>
        <w:spacing w:before="93"/>
        <w:ind w:firstLine="640" w:firstLineChars="200"/>
        <w:rPr>
          <w:rFonts w:ascii="楷体_GB2312" w:hAnsi="黑体" w:eastAsia="楷体_GB2312" w:cs="黑体"/>
          <w:bCs/>
          <w:sz w:val="32"/>
          <w:szCs w:val="32"/>
        </w:rPr>
      </w:pPr>
      <w:r>
        <w:rPr>
          <w:rFonts w:hint="eastAsia" w:ascii="楷体_GB2312" w:hAnsi="黑体" w:eastAsia="楷体_GB2312" w:cs="黑体"/>
          <w:bCs/>
          <w:sz w:val="32"/>
          <w:szCs w:val="32"/>
        </w:rPr>
        <w:t>人员概况。</w:t>
      </w:r>
    </w:p>
    <w:p w14:paraId="038066A0">
      <w:pPr>
        <w:widowControl/>
        <w:snapToGrid w:val="0"/>
        <w:spacing w:line="560" w:lineRule="exact"/>
        <w:ind w:firstLine="643" w:firstLineChars="200"/>
        <w:rPr>
          <w:rFonts w:hint="eastAsia" w:ascii="仿宋_GB2312" w:hAnsi="仿宋" w:eastAsia="仿宋_GB2312" w:cs="仿宋"/>
          <w:color w:val="222222"/>
          <w:kern w:val="0"/>
          <w:sz w:val="32"/>
          <w:szCs w:val="32"/>
        </w:rPr>
      </w:pPr>
      <w:r>
        <w:rPr>
          <w:rFonts w:hint="eastAsia" w:ascii="仿宋" w:hAnsi="仿宋" w:eastAsia="仿宋" w:cs="仿宋"/>
          <w:b/>
          <w:bCs/>
          <w:sz w:val="32"/>
          <w:szCs w:val="32"/>
        </w:rPr>
        <w:t xml:space="preserve"> </w:t>
      </w:r>
      <w:r>
        <w:rPr>
          <w:rFonts w:hint="eastAsia" w:ascii="仿宋_GB2312" w:hAnsi="仿宋" w:eastAsia="仿宋_GB2312" w:cs="仿宋"/>
          <w:color w:val="222222"/>
          <w:kern w:val="0"/>
          <w:sz w:val="32"/>
          <w:szCs w:val="32"/>
        </w:rPr>
        <w:t>2021年末财政供养人数为：在职人员13人，副高3人，中3人，助理7人，退休人员11人.遗属人员4人。</w:t>
      </w:r>
    </w:p>
    <w:p w14:paraId="46ABA598">
      <w:pPr>
        <w:pStyle w:val="2"/>
        <w:spacing w:before="93"/>
        <w:ind w:firstLine="640" w:firstLineChars="200"/>
        <w:rPr>
          <w:rFonts w:ascii="楷体_GB2312" w:hAnsi="仿宋" w:eastAsia="楷体_GB2312" w:cs="仿宋"/>
          <w:bCs/>
          <w:color w:val="222222"/>
          <w:sz w:val="32"/>
          <w:szCs w:val="32"/>
        </w:rPr>
      </w:pPr>
      <w:r>
        <w:rPr>
          <w:rFonts w:hint="eastAsia" w:ascii="楷体_GB2312" w:hAnsi="仿宋" w:eastAsia="楷体_GB2312" w:cs="仿宋"/>
          <w:bCs/>
          <w:color w:val="222222"/>
          <w:sz w:val="32"/>
          <w:szCs w:val="32"/>
        </w:rPr>
        <w:t>（三）机构设置。</w:t>
      </w:r>
    </w:p>
    <w:p w14:paraId="60B8C9E2">
      <w:pPr>
        <w:pStyle w:val="2"/>
        <w:widowControl/>
        <w:snapToGrid w:val="0"/>
        <w:spacing w:beforeLines="0" w:line="560" w:lineRule="exact"/>
        <w:ind w:firstLine="643" w:firstLineChars="200"/>
        <w:rPr>
          <w:rFonts w:hint="eastAsia" w:hAnsi="仿宋" w:cs="仿宋"/>
          <w:b/>
          <w:bCs/>
          <w:color w:val="222222"/>
          <w:sz w:val="32"/>
          <w:szCs w:val="32"/>
        </w:rPr>
      </w:pPr>
      <w:r>
        <w:rPr>
          <w:rFonts w:hint="eastAsia" w:ascii="仿宋" w:hAnsi="仿宋" w:eastAsia="仿宋" w:cs="仿宋"/>
          <w:b/>
          <w:bCs/>
          <w:color w:val="222222"/>
          <w:sz w:val="32"/>
          <w:szCs w:val="32"/>
        </w:rPr>
        <w:t xml:space="preserve">  </w:t>
      </w:r>
      <w:r>
        <w:rPr>
          <w:rFonts w:hint="eastAsia"/>
          <w:sz w:val="32"/>
        </w:rPr>
        <w:t>盐边县红宝苗族彝族乡中心学校下属非独立核算单位0个，其中行政单位0个，参照公务员法管理的事业单位0个，其他事业单位0个</w:t>
      </w:r>
      <w:r>
        <w:rPr>
          <w:rFonts w:hint="eastAsia" w:hAnsi="仿宋" w:cs="仿宋"/>
          <w:color w:val="222222"/>
          <w:sz w:val="32"/>
          <w:szCs w:val="32"/>
        </w:rPr>
        <w:t>。</w:t>
      </w:r>
    </w:p>
    <w:p w14:paraId="335E2397">
      <w:pPr>
        <w:pStyle w:val="4"/>
        <w:numPr>
          <w:ilvl w:val="0"/>
          <w:numId w:val="4"/>
        </w:numPr>
        <w:spacing w:line="415" w:lineRule="auto"/>
        <w:rPr>
          <w:rFonts w:ascii="黑体" w:hAnsi="黑体" w:eastAsia="黑体"/>
          <w:b w:val="0"/>
        </w:rPr>
      </w:pPr>
      <w:r>
        <w:rPr>
          <w:rFonts w:hint="eastAsia" w:ascii="黑体" w:hAnsi="黑体" w:eastAsia="黑体"/>
          <w:b w:val="0"/>
        </w:rPr>
        <w:t>2021年重点工作</w:t>
      </w:r>
      <w:bookmarkEnd w:id="14"/>
      <w:bookmarkEnd w:id="15"/>
      <w:r>
        <w:rPr>
          <w:rFonts w:hint="eastAsia" w:ascii="黑体" w:hAnsi="黑体" w:eastAsia="黑体"/>
          <w:b w:val="0"/>
        </w:rPr>
        <w:t>完成情况</w:t>
      </w:r>
    </w:p>
    <w:p w14:paraId="62E589AD">
      <w:pPr>
        <w:widowControl/>
        <w:snapToGrid w:val="0"/>
        <w:spacing w:line="560"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sz w:val="32"/>
          <w:szCs w:val="32"/>
        </w:rPr>
        <w:t>1.切实做好校园安全建档工作。</w:t>
      </w:r>
      <w:r>
        <w:rPr>
          <w:rFonts w:hint="eastAsia" w:ascii="仿宋_GB2312" w:hAnsi="仿宋" w:eastAsia="仿宋_GB2312" w:cs="仿宋"/>
          <w:sz w:val="32"/>
          <w:szCs w:val="32"/>
        </w:rPr>
        <w:t>每天参照安全管理日志对学校进行安全检查，争取早发现早解决切不可将安全隐患留到明天。</w:t>
      </w:r>
    </w:p>
    <w:p w14:paraId="096134B1">
      <w:pPr>
        <w:widowControl/>
        <w:snapToGrid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2.按照上级文件要求，结合我校实际积极、创新开展“森林草原防灭火”</w:t>
      </w:r>
      <w:r>
        <w:rPr>
          <w:rFonts w:hint="eastAsia" w:ascii="仿宋_GB2312" w:hAnsi="仿宋" w:eastAsia="仿宋_GB2312" w:cs="仿宋"/>
          <w:sz w:val="32"/>
          <w:szCs w:val="32"/>
          <w:highlight w:val="none"/>
        </w:rPr>
        <w:t>扫黑除恶</w:t>
      </w:r>
      <w:r>
        <w:rPr>
          <w:rFonts w:hint="eastAsia" w:ascii="仿宋_GB2312" w:hAnsi="仿宋" w:eastAsia="仿宋_GB2312" w:cs="仿宋"/>
          <w:sz w:val="32"/>
          <w:szCs w:val="32"/>
        </w:rPr>
        <w:t>“预防性侵”“防溺水”“珍爱生命 快乐生活”等专项教育，取得了较好的效果。</w:t>
      </w:r>
    </w:p>
    <w:p w14:paraId="75F75569">
      <w:pPr>
        <w:pStyle w:val="2"/>
        <w:spacing w:before="93"/>
        <w:ind w:firstLine="640" w:firstLineChars="200"/>
        <w:rPr>
          <w:rFonts w:hint="eastAsia" w:ascii="黑体" w:eastAsia="黑体"/>
          <w:sz w:val="32"/>
          <w:szCs w:val="32"/>
        </w:rPr>
      </w:pPr>
      <w:r>
        <w:rPr>
          <w:rFonts w:hint="eastAsia" w:ascii="黑体" w:eastAsia="黑体"/>
          <w:sz w:val="32"/>
          <w:szCs w:val="32"/>
        </w:rPr>
        <w:t>三、机构设置</w:t>
      </w:r>
      <w:bookmarkStart w:id="67" w:name="_GoBack"/>
      <w:bookmarkEnd w:id="67"/>
    </w:p>
    <w:p w14:paraId="1E14E04F">
      <w:pPr>
        <w:pStyle w:val="2"/>
        <w:widowControl/>
        <w:snapToGrid w:val="0"/>
        <w:spacing w:beforeLines="0" w:line="560" w:lineRule="exact"/>
        <w:ind w:firstLine="600" w:firstLineChars="200"/>
      </w:pPr>
      <w:r>
        <w:rPr>
          <w:rFonts w:hint="eastAsia"/>
        </w:rPr>
        <w:t>盐边县红宝苗族彝族乡中心学校下属二级单位0个，其中行政单位0个，参照公务员发管理的事业单位0个，其他事业单位0个。</w:t>
      </w:r>
    </w:p>
    <w:p w14:paraId="6BBC643B">
      <w:pPr>
        <w:pStyle w:val="3"/>
        <w:ind w:right="440" w:firstLine="880" w:firstLineChars="200"/>
        <w:jc w:val="center"/>
        <w:rPr>
          <w:rFonts w:ascii="黑体" w:hAnsi="黑体" w:eastAsia="黑体"/>
          <w:b w:val="0"/>
        </w:rPr>
      </w:pPr>
      <w:bookmarkStart w:id="16" w:name="_Toc15396602"/>
      <w:bookmarkStart w:id="17" w:name="_Toc15377204"/>
    </w:p>
    <w:p w14:paraId="0E7081DF">
      <w:pPr>
        <w:pStyle w:val="3"/>
        <w:ind w:right="440"/>
        <w:jc w:val="center"/>
        <w:rPr>
          <w:rStyle w:val="24"/>
          <w:rFonts w:ascii="黑体" w:hAnsi="黑体" w:eastAsia="黑体"/>
          <w:b w:val="0"/>
          <w:bCs/>
        </w:rPr>
      </w:pPr>
      <w:r>
        <w:rPr>
          <w:rFonts w:hint="eastAsia" w:ascii="黑体" w:hAnsi="黑体" w:eastAsia="黑体"/>
          <w:b w:val="0"/>
        </w:rPr>
        <w:t>第二部分 2021年度</w:t>
      </w:r>
      <w:r>
        <w:rPr>
          <w:rStyle w:val="24"/>
          <w:rFonts w:hint="eastAsia" w:ascii="黑体" w:hAnsi="黑体" w:eastAsia="黑体"/>
          <w:b w:val="0"/>
          <w:bCs/>
        </w:rPr>
        <w:t>单位决算情况说明</w:t>
      </w:r>
      <w:bookmarkEnd w:id="16"/>
      <w:bookmarkEnd w:id="17"/>
    </w:p>
    <w:p w14:paraId="3AE11109"/>
    <w:p w14:paraId="79525CFF">
      <w:pPr>
        <w:pStyle w:val="23"/>
        <w:numPr>
          <w:ilvl w:val="0"/>
          <w:numId w:val="5"/>
        </w:numPr>
        <w:spacing w:line="600" w:lineRule="exact"/>
        <w:ind w:firstLineChars="0"/>
        <w:outlineLvl w:val="1"/>
        <w:rPr>
          <w:rStyle w:val="25"/>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18"/>
      <w:bookmarkEnd w:id="19"/>
    </w:p>
    <w:p w14:paraId="3151BD50">
      <w:pPr>
        <w:widowControl/>
        <w:snapToGrid w:val="0"/>
        <w:spacing w:line="560" w:lineRule="exact"/>
        <w:ind w:firstLine="640" w:firstLineChars="200"/>
        <w:rPr>
          <w:rFonts w:hint="eastAsia" w:ascii="仿宋_GB2312" w:eastAsia="仿宋_GB2312"/>
        </w:rPr>
      </w:pPr>
      <w:r>
        <w:rPr>
          <w:rFonts w:hint="eastAsia" w:ascii="仿宋_GB2312" w:hAnsi="仿宋" w:eastAsia="仿宋_GB2312" w:cs="仿宋"/>
          <w:sz w:val="32"/>
          <w:szCs w:val="32"/>
        </w:rPr>
        <w:t>本中心学校2021年度收、支总计232.64万元，而2020年度收、支总计237.91万元，2021年收入减少5.27万元，减少2.22%，主要变动原因是项目经费减少。</w:t>
      </w:r>
    </w:p>
    <w:p w14:paraId="32D6F746">
      <w:pPr>
        <w:pStyle w:val="2"/>
        <w:spacing w:before="93"/>
      </w:pPr>
      <w:r>
        <w:rPr>
          <w:rFonts w:hint="eastAsia"/>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996A1C0">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79FF803E">
      <w:pPr>
        <w:spacing w:line="600" w:lineRule="exact"/>
        <w:ind w:firstLine="640" w:firstLineChars="200"/>
        <w:jc w:val="left"/>
        <w:rPr>
          <w:rFonts w:ascii="仿宋_GB2312" w:eastAsia="仿宋_GB2312"/>
          <w:sz w:val="32"/>
          <w:szCs w:val="32"/>
        </w:rPr>
      </w:pPr>
    </w:p>
    <w:p w14:paraId="40CB6F4B">
      <w:pPr>
        <w:pStyle w:val="23"/>
        <w:numPr>
          <w:ilvl w:val="0"/>
          <w:numId w:val="5"/>
        </w:numPr>
        <w:spacing w:line="600" w:lineRule="exact"/>
        <w:ind w:firstLineChars="0"/>
        <w:outlineLvl w:val="1"/>
        <w:rPr>
          <w:rStyle w:val="25"/>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5"/>
          <w:rFonts w:hint="eastAsia" w:ascii="黑体" w:hAnsi="黑体" w:eastAsia="黑体"/>
          <w:b w:val="0"/>
        </w:rPr>
        <w:t>入决算情况说明</w:t>
      </w:r>
      <w:bookmarkEnd w:id="20"/>
      <w:bookmarkEnd w:id="21"/>
    </w:p>
    <w:p w14:paraId="380A08B8">
      <w:pPr>
        <w:widowControl/>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2021年本年收入合计226.54万元，其中：一般公共预算财政拨款收入226.54万元，占100%；政府性基金预算财政拨款收入0万元，占0%；国有资本经营预算财政拨款收入0万元，占0%；上级补助收入0万元，占0%；事业收入0万元，占0%；经营收入0万元，占0%；附属单位上缴收入0万元，占0%；其他收入0万元，占0%。</w:t>
      </w:r>
    </w:p>
    <w:p w14:paraId="5FD330ED">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87CB603">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0F0BF988">
      <w:pPr>
        <w:spacing w:line="600" w:lineRule="exact"/>
        <w:ind w:firstLine="640" w:firstLineChars="200"/>
        <w:rPr>
          <w:rFonts w:ascii="仿宋_GB2312" w:eastAsia="仿宋_GB2312"/>
          <w:sz w:val="32"/>
          <w:szCs w:val="32"/>
        </w:rPr>
      </w:pPr>
    </w:p>
    <w:p w14:paraId="5C26708A">
      <w:pPr>
        <w:pStyle w:val="23"/>
        <w:numPr>
          <w:ilvl w:val="0"/>
          <w:numId w:val="5"/>
        </w:numPr>
        <w:spacing w:line="600" w:lineRule="exact"/>
        <w:ind w:firstLineChars="0"/>
        <w:outlineLvl w:val="1"/>
        <w:rPr>
          <w:rStyle w:val="25"/>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5"/>
          <w:rFonts w:hint="eastAsia" w:ascii="黑体" w:hAnsi="黑体" w:eastAsia="黑体"/>
          <w:b w:val="0"/>
        </w:rPr>
        <w:t>出决算情况说明</w:t>
      </w:r>
      <w:bookmarkEnd w:id="22"/>
      <w:bookmarkEnd w:id="23"/>
    </w:p>
    <w:p w14:paraId="53C70C53">
      <w:pPr>
        <w:widowControl/>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2021年本年支出合计232.64万元，其中：基本支出223.05万元，占95.88%；项目支出9.59万元，占4.12%；上缴上级支出0万元，占0%；经营支出0万元，占0%；对附属单位补助支出0万元，占0%。</w:t>
      </w:r>
    </w:p>
    <w:p w14:paraId="60D14B3B">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CB67F0">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71691782">
      <w:pPr>
        <w:spacing w:line="600" w:lineRule="exact"/>
        <w:ind w:firstLine="640" w:firstLineChars="200"/>
        <w:rPr>
          <w:rFonts w:ascii="仿宋_GB2312" w:eastAsia="仿宋_GB2312"/>
          <w:sz w:val="32"/>
          <w:szCs w:val="32"/>
        </w:rPr>
      </w:pPr>
    </w:p>
    <w:p w14:paraId="623CDEE5">
      <w:pPr>
        <w:spacing w:line="600" w:lineRule="exact"/>
        <w:ind w:firstLine="640" w:firstLineChars="200"/>
        <w:outlineLvl w:val="1"/>
        <w:rPr>
          <w:rStyle w:val="25"/>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4"/>
      <w:bookmarkEnd w:id="25"/>
    </w:p>
    <w:p w14:paraId="2BE96FA5">
      <w:pPr>
        <w:widowControl/>
        <w:snapToGrid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本中心学校2021年度收、支总计232.64万元，而2020年度收、支总计237.91万元，2021年收入减少5.27万元，减少2.22%，主要变动原因是项目经费减少。</w:t>
      </w:r>
    </w:p>
    <w:p w14:paraId="2E3A702D">
      <w:pPr>
        <w:pStyle w:val="2"/>
        <w:spacing w:before="93"/>
        <w:rPr>
          <w:rFonts w:ascii="仿宋" w:hAnsi="仿宋" w:eastAsia="仿宋" w:cs="仿宋"/>
          <w:color w:val="0C0C0C"/>
          <w:sz w:val="32"/>
          <w:szCs w:val="32"/>
        </w:rPr>
      </w:pPr>
      <w:r>
        <w:rPr>
          <w:rFonts w:hint="eastAsia"/>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DAAA49">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4976274C">
      <w:pPr>
        <w:spacing w:line="600" w:lineRule="exact"/>
        <w:ind w:firstLine="640"/>
        <w:rPr>
          <w:rFonts w:ascii="仿宋" w:hAnsi="仿宋" w:eastAsia="仿宋"/>
          <w:b/>
          <w:sz w:val="32"/>
          <w:szCs w:val="32"/>
        </w:rPr>
      </w:pPr>
    </w:p>
    <w:p w14:paraId="764902A6">
      <w:pPr>
        <w:spacing w:line="600" w:lineRule="exact"/>
        <w:ind w:firstLine="640" w:firstLineChars="200"/>
        <w:outlineLvl w:val="1"/>
        <w:rPr>
          <w:rStyle w:val="25"/>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6"/>
      <w:bookmarkEnd w:id="27"/>
    </w:p>
    <w:p w14:paraId="6A55FF04">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4D675A5E">
      <w:pPr>
        <w:widowControl/>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2021年一般公共预算财政拨款支出232.64万元，占本年支出合计的100%。</w:t>
      </w:r>
      <w:r>
        <w:rPr>
          <w:rFonts w:hint="eastAsia" w:ascii="仿宋_GB2312" w:eastAsia="仿宋_GB2312"/>
          <w:sz w:val="32"/>
          <w:szCs w:val="32"/>
        </w:rPr>
        <w:t>2021年一般公共预算财政拨款支出237.91万元，</w:t>
      </w:r>
      <w:r>
        <w:rPr>
          <w:rFonts w:hint="eastAsia" w:ascii="仿宋_GB2312" w:hAnsi="仿宋" w:eastAsia="仿宋_GB2312"/>
          <w:sz w:val="32"/>
          <w:szCs w:val="32"/>
        </w:rPr>
        <w:t>与2020年相比，</w:t>
      </w:r>
      <w:r>
        <w:rPr>
          <w:rFonts w:hint="eastAsia" w:ascii="仿宋_GB2312" w:hAnsi="仿宋" w:eastAsia="仿宋_GB2312" w:cs="仿宋"/>
          <w:sz w:val="32"/>
          <w:szCs w:val="32"/>
        </w:rPr>
        <w:t>2021年一般公共预算财政拨款支出减少5.27万元，减少2.27%，主要变动原因无</w:t>
      </w:r>
      <w:r>
        <w:rPr>
          <w:rFonts w:hint="eastAsia" w:ascii="仿宋_GB2312" w:hAnsi="仿宋" w:eastAsia="仿宋_GB2312" w:cs="仿宋"/>
          <w:color w:val="0C0C0C"/>
          <w:sz w:val="32"/>
          <w:szCs w:val="32"/>
        </w:rPr>
        <w:t>项目经费。</w:t>
      </w:r>
    </w:p>
    <w:p w14:paraId="5A19254F">
      <w:pPr>
        <w:spacing w:line="600" w:lineRule="exact"/>
        <w:ind w:firstLine="640" w:firstLineChars="200"/>
        <w:rPr>
          <w:rFonts w:ascii="仿宋" w:hAnsi="仿宋" w:eastAsia="仿宋"/>
          <w:sz w:val="32"/>
          <w:szCs w:val="32"/>
        </w:rPr>
      </w:pPr>
    </w:p>
    <w:p w14:paraId="7DB6D4E7">
      <w:pPr>
        <w:spacing w:line="600" w:lineRule="exact"/>
        <w:ind w:firstLine="640" w:firstLineChars="200"/>
        <w:rPr>
          <w:rFonts w:ascii="仿宋" w:hAnsi="仿宋" w:eastAsia="仿宋"/>
          <w:sz w:val="32"/>
          <w:szCs w:val="32"/>
        </w:rPr>
      </w:pPr>
    </w:p>
    <w:p w14:paraId="3B6924EB">
      <w:pPr>
        <w:spacing w:line="600" w:lineRule="exact"/>
        <w:ind w:firstLine="640" w:firstLineChars="200"/>
        <w:rPr>
          <w:rFonts w:ascii="仿宋" w:hAnsi="仿宋" w:eastAsia="仿宋"/>
          <w:sz w:val="32"/>
          <w:szCs w:val="32"/>
        </w:rPr>
      </w:pPr>
    </w:p>
    <w:p w14:paraId="4E7A3C94">
      <w:pPr>
        <w:spacing w:line="600" w:lineRule="exact"/>
        <w:ind w:firstLine="640" w:firstLineChars="200"/>
        <w:rPr>
          <w:rFonts w:ascii="仿宋" w:hAnsi="仿宋" w:eastAsia="仿宋"/>
          <w:sz w:val="32"/>
          <w:szCs w:val="32"/>
        </w:rPr>
      </w:pPr>
    </w:p>
    <w:p w14:paraId="0C21C072">
      <w:pPr>
        <w:spacing w:line="600" w:lineRule="exact"/>
        <w:ind w:firstLine="640" w:firstLineChars="200"/>
        <w:rPr>
          <w:rFonts w:ascii="仿宋" w:hAnsi="仿宋" w:eastAsia="仿宋"/>
          <w:sz w:val="32"/>
          <w:szCs w:val="32"/>
        </w:rPr>
      </w:pPr>
    </w:p>
    <w:p w14:paraId="1A06DD49">
      <w:pPr>
        <w:spacing w:line="600" w:lineRule="exact"/>
        <w:ind w:firstLine="640" w:firstLineChars="200"/>
        <w:rPr>
          <w:rFonts w:ascii="仿宋" w:hAnsi="仿宋" w:eastAsia="仿宋"/>
          <w:sz w:val="32"/>
          <w:szCs w:val="32"/>
        </w:rPr>
      </w:pPr>
    </w:p>
    <w:p w14:paraId="377982E9">
      <w:pPr>
        <w:spacing w:line="600" w:lineRule="exact"/>
        <w:ind w:firstLine="640" w:firstLineChars="200"/>
        <w:rPr>
          <w:rFonts w:ascii="仿宋" w:hAnsi="仿宋" w:eastAsia="仿宋"/>
          <w:sz w:val="32"/>
          <w:szCs w:val="32"/>
        </w:rPr>
      </w:pPr>
    </w:p>
    <w:p w14:paraId="09664517">
      <w:pPr>
        <w:spacing w:line="600" w:lineRule="exact"/>
        <w:ind w:firstLine="640" w:firstLineChars="200"/>
        <w:rPr>
          <w:rFonts w:ascii="仿宋" w:hAnsi="仿宋" w:eastAsia="仿宋"/>
          <w:sz w:val="32"/>
          <w:szCs w:val="32"/>
        </w:rPr>
      </w:pPr>
      <w:r>
        <w:rPr>
          <w:rFonts w:hint="eastAsia" w:ascii="仿宋" w:hAnsi="仿宋" w:eastAsia="仿宋"/>
          <w:sz w:val="32"/>
          <w:szCs w:val="32"/>
        </w:rPr>
        <w:drawing>
          <wp:anchor distT="0" distB="0" distL="114300" distR="114300" simplePos="0" relativeHeight="251659264" behindDoc="0" locked="0" layoutInCell="1" allowOverlap="1">
            <wp:simplePos x="0" y="0"/>
            <wp:positionH relativeFrom="column">
              <wp:posOffset>410845</wp:posOffset>
            </wp:positionH>
            <wp:positionV relativeFrom="paragraph">
              <wp:posOffset>-3519805</wp:posOffset>
            </wp:positionV>
            <wp:extent cx="5080000" cy="3810000"/>
            <wp:effectExtent l="4445" t="4445" r="20955" b="1460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DE6180F">
      <w:pPr>
        <w:widowControl/>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1025BF2B">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3A45AF07">
      <w:pPr>
        <w:widowControl/>
        <w:snapToGrid w:val="0"/>
        <w:spacing w:line="560" w:lineRule="exact"/>
        <w:ind w:firstLine="640" w:firstLineChars="200"/>
        <w:rPr>
          <w:rFonts w:hint="eastAsia" w:ascii="仿宋_GB2312" w:hAnsi="仿宋" w:eastAsia="仿宋_GB2312"/>
          <w:b/>
          <w:sz w:val="32"/>
          <w:szCs w:val="32"/>
        </w:rPr>
      </w:pPr>
      <w:r>
        <w:rPr>
          <w:rFonts w:hint="eastAsia" w:ascii="仿宋_GB2312" w:hAnsi="仿宋" w:eastAsia="仿宋_GB2312"/>
          <w:sz w:val="32"/>
          <w:szCs w:val="32"/>
        </w:rPr>
        <w:t>2021年一般公共预算财政拨款支出232.64万元，主要用于以下方面:</w:t>
      </w:r>
      <w:r>
        <w:rPr>
          <w:rFonts w:hint="eastAsia" w:ascii="仿宋_GB2312" w:hAnsi="仿宋" w:eastAsia="仿宋_GB2312"/>
          <w:b/>
          <w:sz w:val="32"/>
          <w:szCs w:val="32"/>
        </w:rPr>
        <w:t>教育支出（类）</w:t>
      </w:r>
      <w:r>
        <w:rPr>
          <w:rFonts w:hint="eastAsia" w:ascii="仿宋_GB2312" w:hAnsi="仿宋" w:eastAsia="仿宋_GB2312"/>
          <w:sz w:val="32"/>
          <w:szCs w:val="32"/>
        </w:rPr>
        <w:t>191.63万元，占82.50%；</w:t>
      </w:r>
      <w:r>
        <w:rPr>
          <w:rFonts w:hint="eastAsia" w:ascii="仿宋_GB2312" w:hAnsi="仿宋" w:eastAsia="仿宋_GB2312"/>
          <w:b/>
          <w:sz w:val="32"/>
          <w:szCs w:val="32"/>
        </w:rPr>
        <w:t>社会保障和就业（类）</w:t>
      </w:r>
      <w:r>
        <w:rPr>
          <w:rFonts w:hint="eastAsia" w:ascii="仿宋_GB2312" w:hAnsi="仿宋" w:eastAsia="仿宋_GB2312"/>
          <w:sz w:val="32"/>
          <w:szCs w:val="32"/>
        </w:rPr>
        <w:t>支出20.99万元，占9.02%；住房保障支出19.72万元，占8.48%。</w:t>
      </w:r>
    </w:p>
    <w:p w14:paraId="66322F37">
      <w:pPr>
        <w:spacing w:line="600" w:lineRule="exact"/>
        <w:ind w:firstLine="640"/>
        <w:rPr>
          <w:rFonts w:ascii="仿宋" w:hAnsi="仿宋" w:eastAsia="仿宋"/>
          <w:b/>
          <w:sz w:val="32"/>
          <w:szCs w:val="32"/>
        </w:rPr>
      </w:pPr>
    </w:p>
    <w:p w14:paraId="3F206DB8">
      <w:pPr>
        <w:spacing w:line="600" w:lineRule="exact"/>
        <w:ind w:firstLine="640"/>
        <w:rPr>
          <w:rFonts w:ascii="仿宋" w:hAnsi="仿宋" w:eastAsia="仿宋"/>
          <w:b/>
          <w:sz w:val="32"/>
          <w:szCs w:val="32"/>
        </w:rPr>
      </w:pPr>
    </w:p>
    <w:p w14:paraId="2BACA21B">
      <w:pPr>
        <w:spacing w:line="600" w:lineRule="exact"/>
        <w:ind w:firstLine="640"/>
        <w:rPr>
          <w:rFonts w:ascii="仿宋" w:hAnsi="仿宋" w:eastAsia="仿宋"/>
          <w:b/>
          <w:sz w:val="32"/>
          <w:szCs w:val="32"/>
        </w:rPr>
      </w:pPr>
    </w:p>
    <w:p w14:paraId="45C58A0A">
      <w:pPr>
        <w:spacing w:line="600" w:lineRule="exact"/>
        <w:ind w:firstLine="640"/>
        <w:rPr>
          <w:rFonts w:ascii="仿宋" w:hAnsi="仿宋" w:eastAsia="仿宋"/>
          <w:b/>
          <w:sz w:val="32"/>
          <w:szCs w:val="32"/>
        </w:rPr>
      </w:pPr>
    </w:p>
    <w:p w14:paraId="53E8D6CA">
      <w:pPr>
        <w:pStyle w:val="2"/>
        <w:spacing w:before="93"/>
        <w:rPr>
          <w:rFonts w:ascii="仿宋" w:hAnsi="仿宋" w:eastAsia="仿宋"/>
          <w:b/>
          <w:sz w:val="32"/>
          <w:szCs w:val="32"/>
        </w:rPr>
      </w:pPr>
    </w:p>
    <w:p w14:paraId="123D67DA">
      <w:pPr>
        <w:pStyle w:val="2"/>
        <w:spacing w:before="93"/>
        <w:rPr>
          <w:rFonts w:ascii="仿宋" w:hAnsi="仿宋" w:eastAsia="仿宋"/>
          <w:b/>
          <w:sz w:val="32"/>
          <w:szCs w:val="32"/>
        </w:rPr>
      </w:pPr>
      <w:r>
        <w:rPr>
          <w:rFonts w:hint="eastAsia" w:ascii="仿宋" w:hAnsi="仿宋" w:eastAsia="仿宋"/>
          <w:b/>
          <w:sz w:val="32"/>
          <w:szCs w:val="32"/>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499A32">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45BAF7BD">
      <w:pPr>
        <w:spacing w:line="600" w:lineRule="exact"/>
        <w:ind w:firstLine="640" w:firstLineChars="200"/>
        <w:rPr>
          <w:rFonts w:ascii="仿宋" w:hAnsi="仿宋" w:eastAsia="仿宋"/>
          <w:sz w:val="32"/>
          <w:szCs w:val="32"/>
        </w:rPr>
      </w:pPr>
    </w:p>
    <w:p w14:paraId="138EDF83">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13CD5171">
      <w:pPr>
        <w:widowControl/>
        <w:snapToGrid w:val="0"/>
        <w:spacing w:line="560" w:lineRule="exact"/>
        <w:ind w:firstLine="643" w:firstLineChars="200"/>
        <w:rPr>
          <w:rFonts w:hint="eastAsia" w:ascii="仿宋_GB2312" w:hAnsi="仿宋" w:eastAsia="仿宋_GB2312"/>
          <w:sz w:val="32"/>
          <w:szCs w:val="32"/>
        </w:rPr>
      </w:pPr>
      <w:bookmarkStart w:id="31" w:name="_Toc15378460"/>
      <w:bookmarkStart w:id="32" w:name="_Toc15377444"/>
      <w:bookmarkStart w:id="33" w:name="_Toc15377213"/>
      <w:r>
        <w:rPr>
          <w:rFonts w:hint="eastAsia" w:ascii="仿宋_GB2312" w:hAnsi="仿宋" w:eastAsia="仿宋_GB2312"/>
          <w:b/>
          <w:sz w:val="32"/>
          <w:szCs w:val="32"/>
        </w:rPr>
        <w:t>2021年一般公共预算支出决算数为232.64万元</w:t>
      </w:r>
      <w:r>
        <w:rPr>
          <w:rFonts w:hint="eastAsia" w:ascii="仿宋_GB2312" w:hAnsi="仿宋" w:eastAsia="仿宋_GB2312"/>
          <w:sz w:val="32"/>
          <w:szCs w:val="32"/>
        </w:rPr>
        <w:t>，</w:t>
      </w:r>
      <w:r>
        <w:rPr>
          <w:rStyle w:val="14"/>
          <w:rFonts w:hint="eastAsia" w:ascii="仿宋_GB2312" w:hAnsi="仿宋" w:eastAsia="仿宋_GB2312"/>
          <w:bCs/>
          <w:sz w:val="32"/>
          <w:szCs w:val="32"/>
        </w:rPr>
        <w:t>完成预算100%。其中：</w:t>
      </w:r>
      <w:bookmarkEnd w:id="31"/>
      <w:bookmarkEnd w:id="32"/>
      <w:bookmarkEnd w:id="33"/>
    </w:p>
    <w:p w14:paraId="3190EC7C">
      <w:pPr>
        <w:widowControl/>
        <w:snapToGrid w:val="0"/>
        <w:spacing w:line="560" w:lineRule="exact"/>
        <w:ind w:firstLine="643" w:firstLineChars="200"/>
        <w:rPr>
          <w:rFonts w:hint="eastAsia" w:ascii="仿宋_GB2312" w:eastAsia="仿宋_GB2312"/>
          <w:b/>
          <w:sz w:val="32"/>
          <w:szCs w:val="32"/>
        </w:rPr>
      </w:pPr>
      <w:bookmarkStart w:id="34" w:name="_Toc15377214"/>
      <w:bookmarkStart w:id="35" w:name="_Toc15396608"/>
      <w:r>
        <w:rPr>
          <w:rStyle w:val="14"/>
          <w:rFonts w:hint="eastAsia" w:ascii="仿宋_GB2312" w:eastAsia="仿宋_GB2312"/>
          <w:bCs/>
          <w:sz w:val="32"/>
          <w:szCs w:val="32"/>
        </w:rPr>
        <w:t>1.学前教育（类）205（款）02（项）01:</w:t>
      </w:r>
      <w:r>
        <w:rPr>
          <w:rStyle w:val="14"/>
          <w:rFonts w:hint="eastAsia" w:ascii="仿宋_GB2312" w:eastAsia="仿宋_GB2312"/>
          <w:b w:val="0"/>
          <w:bCs/>
          <w:sz w:val="32"/>
          <w:szCs w:val="32"/>
        </w:rPr>
        <w:t>支出决算为0.15万元，完成预算100%，与预算数持平。</w:t>
      </w:r>
    </w:p>
    <w:p w14:paraId="42484AF4">
      <w:pPr>
        <w:widowControl/>
        <w:snapToGrid w:val="0"/>
        <w:spacing w:line="560" w:lineRule="exact"/>
        <w:ind w:firstLine="643" w:firstLineChars="200"/>
        <w:rPr>
          <w:rFonts w:hint="eastAsia" w:ascii="仿宋_GB2312" w:eastAsia="仿宋_GB2312"/>
          <w:b/>
          <w:sz w:val="32"/>
          <w:szCs w:val="32"/>
        </w:rPr>
      </w:pPr>
      <w:r>
        <w:rPr>
          <w:rStyle w:val="14"/>
          <w:rFonts w:hint="eastAsia" w:ascii="仿宋_GB2312" w:eastAsia="仿宋_GB2312"/>
          <w:bCs/>
          <w:sz w:val="32"/>
          <w:szCs w:val="32"/>
        </w:rPr>
        <w:t>2.小学教育（类）205（款）02（项）02:</w:t>
      </w:r>
      <w:r>
        <w:rPr>
          <w:rStyle w:val="14"/>
          <w:rFonts w:hint="eastAsia" w:ascii="仿宋_GB2312" w:eastAsia="仿宋_GB2312"/>
          <w:b w:val="0"/>
          <w:bCs/>
          <w:sz w:val="32"/>
          <w:szCs w:val="32"/>
        </w:rPr>
        <w:t>支出决算为191.78万元，完成预算100%，与预算数持平。</w:t>
      </w:r>
    </w:p>
    <w:p w14:paraId="3594A4DD">
      <w:pPr>
        <w:widowControl/>
        <w:snapToGrid w:val="0"/>
        <w:spacing w:line="560" w:lineRule="exact"/>
        <w:ind w:firstLine="643" w:firstLineChars="200"/>
        <w:rPr>
          <w:rFonts w:hint="eastAsia" w:ascii="仿宋_GB2312" w:eastAsia="仿宋_GB2312"/>
          <w:b/>
          <w:sz w:val="32"/>
          <w:szCs w:val="32"/>
        </w:rPr>
      </w:pPr>
      <w:r>
        <w:rPr>
          <w:rStyle w:val="14"/>
          <w:rFonts w:hint="eastAsia" w:ascii="仿宋_GB2312" w:eastAsia="仿宋_GB2312"/>
          <w:bCs/>
          <w:sz w:val="32"/>
          <w:szCs w:val="32"/>
        </w:rPr>
        <w:t>3.机关事业单位基本养老保险缴费支出（类）208（款）05（项）05:</w:t>
      </w:r>
      <w:r>
        <w:rPr>
          <w:rStyle w:val="14"/>
          <w:rFonts w:hint="eastAsia" w:ascii="仿宋_GB2312" w:eastAsia="仿宋_GB2312"/>
          <w:b w:val="0"/>
          <w:bCs/>
          <w:sz w:val="32"/>
          <w:szCs w:val="32"/>
        </w:rPr>
        <w:t>支出决算为19万元，完成预算100%，与预算数持平。</w:t>
      </w:r>
    </w:p>
    <w:p w14:paraId="5DCB6004">
      <w:pPr>
        <w:widowControl/>
        <w:snapToGrid w:val="0"/>
        <w:spacing w:line="560" w:lineRule="exact"/>
        <w:ind w:firstLine="643" w:firstLineChars="200"/>
        <w:rPr>
          <w:rFonts w:hint="eastAsia" w:ascii="仿宋_GB2312" w:eastAsia="仿宋_GB2312"/>
          <w:b/>
          <w:sz w:val="32"/>
          <w:szCs w:val="32"/>
        </w:rPr>
      </w:pPr>
      <w:r>
        <w:rPr>
          <w:rStyle w:val="14"/>
          <w:rFonts w:hint="eastAsia" w:ascii="仿宋_GB2312" w:eastAsia="仿宋_GB2312"/>
          <w:bCs/>
          <w:sz w:val="32"/>
          <w:szCs w:val="32"/>
        </w:rPr>
        <w:t>4.</w:t>
      </w:r>
      <w:r>
        <w:rPr>
          <w:rFonts w:hint="eastAsia" w:ascii="仿宋_GB2312" w:eastAsia="仿宋_GB2312"/>
          <w:b/>
          <w:bCs/>
          <w:sz w:val="32"/>
          <w:szCs w:val="32"/>
        </w:rPr>
        <w:t>机关事业单位职业年金缴费支出</w:t>
      </w:r>
      <w:r>
        <w:rPr>
          <w:rStyle w:val="14"/>
          <w:rFonts w:hint="eastAsia" w:ascii="仿宋_GB2312" w:eastAsia="仿宋_GB2312"/>
          <w:bCs/>
          <w:sz w:val="32"/>
          <w:szCs w:val="32"/>
        </w:rPr>
        <w:t>（类）208（款）05（项）06:</w:t>
      </w:r>
      <w:r>
        <w:rPr>
          <w:rStyle w:val="14"/>
          <w:rFonts w:hint="eastAsia" w:ascii="仿宋_GB2312" w:eastAsia="仿宋_GB2312"/>
          <w:b w:val="0"/>
          <w:bCs/>
          <w:sz w:val="32"/>
          <w:szCs w:val="32"/>
        </w:rPr>
        <w:t>支出决算为1.99万元，完成预算100%，与预算数持平。</w:t>
      </w:r>
    </w:p>
    <w:p w14:paraId="2DB422F8">
      <w:pPr>
        <w:widowControl/>
        <w:snapToGrid w:val="0"/>
        <w:spacing w:line="560" w:lineRule="exact"/>
        <w:ind w:firstLine="643" w:firstLineChars="200"/>
        <w:rPr>
          <w:rFonts w:hint="eastAsia" w:ascii="仿宋_GB2312" w:eastAsia="仿宋_GB2312"/>
          <w:b/>
          <w:sz w:val="32"/>
          <w:szCs w:val="32"/>
        </w:rPr>
      </w:pPr>
      <w:r>
        <w:rPr>
          <w:rStyle w:val="14"/>
          <w:rFonts w:hint="eastAsia" w:ascii="仿宋_GB2312" w:eastAsia="仿宋_GB2312"/>
          <w:bCs/>
          <w:sz w:val="32"/>
          <w:szCs w:val="32"/>
        </w:rPr>
        <w:t>5.</w:t>
      </w:r>
      <w:r>
        <w:rPr>
          <w:rFonts w:hint="eastAsia" w:ascii="仿宋_GB2312" w:eastAsia="仿宋_GB2312"/>
          <w:b/>
          <w:bCs/>
          <w:sz w:val="32"/>
          <w:szCs w:val="32"/>
        </w:rPr>
        <w:t>住房公积金</w:t>
      </w:r>
      <w:r>
        <w:rPr>
          <w:rStyle w:val="14"/>
          <w:rFonts w:hint="eastAsia" w:ascii="仿宋_GB2312" w:eastAsia="仿宋_GB2312"/>
          <w:bCs/>
          <w:sz w:val="32"/>
          <w:szCs w:val="32"/>
        </w:rPr>
        <w:t>（类）221（款）02（项）01:</w:t>
      </w:r>
      <w:r>
        <w:rPr>
          <w:rStyle w:val="14"/>
          <w:rFonts w:hint="eastAsia" w:ascii="仿宋_GB2312" w:eastAsia="仿宋_GB2312"/>
          <w:b w:val="0"/>
          <w:bCs/>
          <w:sz w:val="32"/>
          <w:szCs w:val="32"/>
        </w:rPr>
        <w:t>支出决算为19.72万元，完成预算100%，与预算数持平。</w:t>
      </w:r>
    </w:p>
    <w:p w14:paraId="49712559">
      <w:pPr>
        <w:tabs>
          <w:tab w:val="right" w:pos="8306"/>
        </w:tabs>
        <w:spacing w:line="600" w:lineRule="exact"/>
        <w:ind w:firstLine="640"/>
        <w:outlineLvl w:val="1"/>
        <w:rPr>
          <w:rStyle w:val="25"/>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4"/>
      <w:bookmarkEnd w:id="35"/>
      <w:r>
        <w:rPr>
          <w:rStyle w:val="25"/>
          <w:rFonts w:ascii="黑体" w:hAnsi="黑体" w:eastAsia="黑体"/>
          <w:b w:val="0"/>
        </w:rPr>
        <w:tab/>
      </w:r>
    </w:p>
    <w:p w14:paraId="713B8665">
      <w:pPr>
        <w:widowControl/>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2021年一般公共预算财政拨款基本支出223.05万元，其中：</w:t>
      </w:r>
    </w:p>
    <w:p w14:paraId="48C0903D">
      <w:pPr>
        <w:widowControl/>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人员经费217.72万元，主要包括：基本工资、津贴补贴、奖金、伙食补助费、绩效工资、机关事业单位基本养老保险缴费、职业年金缴费、其他社会保障缴费、其他工资福利支出、抚恤金、生活补助、医疗费补助、住房公积金、其他对个人和家庭的补助支出等。</w:t>
      </w:r>
    </w:p>
    <w:p w14:paraId="06FDCB52">
      <w:pPr>
        <w:widowControl/>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公用经费5.33万元，主要包括：办公费、差旅费、劳务费、委托业务费、工会经费、福利费。</w:t>
      </w:r>
    </w:p>
    <w:p w14:paraId="18E0F98E">
      <w:pPr>
        <w:spacing w:line="600" w:lineRule="exact"/>
        <w:ind w:firstLine="640"/>
        <w:outlineLvl w:val="1"/>
        <w:rPr>
          <w:rStyle w:val="25"/>
          <w:rFonts w:ascii="黑体" w:hAnsi="黑体" w:eastAsia="黑体"/>
          <w:b w:val="0"/>
        </w:rPr>
      </w:pPr>
      <w:bookmarkStart w:id="36" w:name="_Toc15377215"/>
      <w:bookmarkStart w:id="37" w:name="_Toc15396609"/>
      <w:r>
        <w:rPr>
          <w:rFonts w:hint="eastAsia" w:ascii="黑体" w:eastAsia="黑体"/>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36"/>
      <w:bookmarkEnd w:id="37"/>
    </w:p>
    <w:p w14:paraId="2E4A02F1">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r>
        <w:rPr>
          <w:rFonts w:hint="eastAsia" w:ascii="仿宋" w:hAnsi="仿宋" w:eastAsia="仿宋"/>
          <w:b/>
          <w:sz w:val="32"/>
          <w:szCs w:val="32"/>
        </w:rPr>
        <w:t>。</w:t>
      </w:r>
    </w:p>
    <w:p w14:paraId="70D86CDB">
      <w:pPr>
        <w:widowControl/>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2021年“三公”经费财政拨款支出决算为0万元，完成预算0%。</w:t>
      </w:r>
    </w:p>
    <w:p w14:paraId="25FC4F02">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r>
        <w:rPr>
          <w:rFonts w:hint="eastAsia" w:ascii="仿宋" w:hAnsi="仿宋" w:eastAsia="仿宋"/>
          <w:b/>
          <w:sz w:val="32"/>
          <w:szCs w:val="32"/>
        </w:rPr>
        <w:t>。</w:t>
      </w:r>
    </w:p>
    <w:p w14:paraId="514AC080">
      <w:pPr>
        <w:widowControl/>
        <w:snapToGrid w:val="0"/>
        <w:spacing w:line="560" w:lineRule="exact"/>
        <w:ind w:firstLine="640" w:firstLineChars="200"/>
        <w:rPr>
          <w:rFonts w:hint="eastAsia" w:ascii="仿宋_GB2312" w:hAnsi="仿宋" w:eastAsia="仿宋_GB2312"/>
          <w:color w:val="FF0000"/>
          <w:sz w:val="32"/>
          <w:szCs w:val="32"/>
        </w:rPr>
      </w:pPr>
      <w:r>
        <w:rPr>
          <w:rFonts w:hint="eastAsia" w:ascii="仿宋_GB2312" w:hAnsi="仿宋" w:eastAsia="仿宋_GB2312"/>
          <w:sz w:val="32"/>
          <w:szCs w:val="32"/>
        </w:rPr>
        <w:t>2021年“三公”经费财政拨款支出决算中，因公出国（境）费支出决算0万元，占0%；公务用车购置及运行维护费支出决算0万元，占0%；公务接待费支出决算0万元，占0%。</w:t>
      </w:r>
    </w:p>
    <w:p w14:paraId="0480D9C4">
      <w:pPr>
        <w:widowControl/>
        <w:snapToGrid w:val="0"/>
        <w:spacing w:line="560" w:lineRule="exact"/>
        <w:ind w:firstLine="643" w:firstLineChars="200"/>
        <w:rPr>
          <w:rFonts w:hint="eastAsia"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4"/>
          <w:rFonts w:hint="eastAsia" w:ascii="仿宋_GB2312" w:hAnsi="仿宋" w:eastAsia="仿宋_GB2312"/>
          <w:b w:val="0"/>
          <w:bCs/>
          <w:sz w:val="32"/>
          <w:szCs w:val="32"/>
        </w:rPr>
        <w:t>完成预算0。</w:t>
      </w:r>
      <w:r>
        <w:rPr>
          <w:rFonts w:hint="eastAsia" w:ascii="仿宋_GB2312" w:eastAsia="仿宋_GB2312"/>
          <w:sz w:val="32"/>
          <w:szCs w:val="32"/>
        </w:rPr>
        <w:t>全年安排因公出国（境）团组0次，出国（境）0人。因公出国（境）支出决算与2020年持平。</w:t>
      </w:r>
    </w:p>
    <w:p w14:paraId="0A34EC3E">
      <w:pPr>
        <w:widowControl/>
        <w:snapToGrid w:val="0"/>
        <w:spacing w:line="560" w:lineRule="exact"/>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4"/>
          <w:rFonts w:hint="eastAsia" w:ascii="仿宋_GB2312" w:hAnsi="仿宋" w:eastAsia="仿宋_GB2312"/>
          <w:b w:val="0"/>
          <w:bCs/>
          <w:sz w:val="32"/>
          <w:szCs w:val="32"/>
        </w:rPr>
        <w:t>完成预算0%。</w:t>
      </w:r>
      <w:r>
        <w:rPr>
          <w:rFonts w:hint="eastAsia" w:ascii="仿宋_GB2312" w:eastAsia="仿宋_GB2312"/>
          <w:sz w:val="32"/>
          <w:szCs w:val="32"/>
        </w:rPr>
        <w:t>公务用车购置及运行维护费支出决算与2020年持平。</w:t>
      </w:r>
    </w:p>
    <w:p w14:paraId="4A30EE65">
      <w:pPr>
        <w:widowControl/>
        <w:snapToGrid w:val="0"/>
        <w:spacing w:line="56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14:paraId="3D84EE2B">
      <w:pPr>
        <w:widowControl/>
        <w:snapToGrid w:val="0"/>
        <w:spacing w:line="560" w:lineRule="exact"/>
        <w:ind w:firstLine="20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14:paraId="082C30CB">
      <w:pPr>
        <w:widowControl/>
        <w:numPr>
          <w:ilvl w:val="0"/>
          <w:numId w:val="6"/>
        </w:numPr>
        <w:snapToGrid w:val="0"/>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公务接待费支出</w:t>
      </w:r>
      <w:r>
        <w:rPr>
          <w:rFonts w:hint="eastAsia" w:ascii="仿宋_GB2312" w:eastAsia="仿宋_GB2312"/>
          <w:sz w:val="32"/>
          <w:szCs w:val="32"/>
        </w:rPr>
        <w:t>0万元，</w:t>
      </w:r>
      <w:r>
        <w:rPr>
          <w:rStyle w:val="14"/>
          <w:rFonts w:hint="eastAsia" w:ascii="仿宋_GB2312" w:hAnsi="仿宋" w:eastAsia="仿宋_GB2312"/>
          <w:b w:val="0"/>
          <w:bCs/>
          <w:sz w:val="32"/>
          <w:szCs w:val="32"/>
        </w:rPr>
        <w:t>完成预算0%。</w:t>
      </w:r>
      <w:r>
        <w:rPr>
          <w:rFonts w:hint="eastAsia" w:ascii="仿宋_GB2312" w:eastAsia="仿宋_GB2312"/>
          <w:sz w:val="32"/>
          <w:szCs w:val="32"/>
        </w:rPr>
        <w:t>公务接待费支出决算与2020年持平。</w:t>
      </w:r>
    </w:p>
    <w:p w14:paraId="40AD94BF">
      <w:pPr>
        <w:widowControl/>
        <w:numPr>
          <w:ilvl w:val="0"/>
          <w:numId w:val="6"/>
        </w:numPr>
        <w:snapToGrid w:val="0"/>
        <w:spacing w:line="560" w:lineRule="exact"/>
        <w:ind w:firstLine="643" w:firstLineChars="200"/>
        <w:rPr>
          <w:rFonts w:ascii="黑体" w:eastAsia="黑体"/>
          <w:sz w:val="32"/>
          <w:szCs w:val="32"/>
        </w:rPr>
      </w:pPr>
      <w:r>
        <w:rPr>
          <w:rFonts w:hint="eastAsia" w:ascii="仿宋" w:hAnsi="仿宋" w:eastAsia="仿宋"/>
          <w:b/>
          <w:sz w:val="32"/>
          <w:szCs w:val="32"/>
        </w:rPr>
        <w:t>国内公务接待支出</w:t>
      </w:r>
      <w:r>
        <w:rPr>
          <w:rFonts w:hint="eastAsia" w:ascii="仿宋_GB2312" w:hAnsi="仿宋" w:eastAsia="仿宋_GB2312"/>
          <w:sz w:val="32"/>
          <w:szCs w:val="32"/>
        </w:rPr>
        <w:t>0</w:t>
      </w:r>
      <w:r>
        <w:rPr>
          <w:rFonts w:hint="eastAsia" w:ascii="仿宋_GB2312" w:eastAsia="仿宋_GB2312"/>
          <w:sz w:val="32"/>
          <w:szCs w:val="32"/>
        </w:rPr>
        <w:t>万元。</w:t>
      </w:r>
      <w:bookmarkStart w:id="40" w:name="_Toc15396610"/>
      <w:bookmarkStart w:id="41" w:name="_Toc15377218"/>
    </w:p>
    <w:p w14:paraId="1349F008">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0"/>
      <w:bookmarkEnd w:id="41"/>
    </w:p>
    <w:p w14:paraId="4A1EF35A">
      <w:pPr>
        <w:widowControl/>
        <w:snapToGrid w:val="0"/>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14:paraId="45B64248">
      <w:pPr>
        <w:numPr>
          <w:ilvl w:val="0"/>
          <w:numId w:val="7"/>
        </w:numPr>
        <w:spacing w:line="600" w:lineRule="exact"/>
        <w:ind w:firstLine="640"/>
        <w:outlineLvl w:val="1"/>
        <w:rPr>
          <w:rStyle w:val="25"/>
          <w:rFonts w:ascii="黑体" w:hAnsi="黑体" w:eastAsia="黑体"/>
          <w:b w:val="0"/>
        </w:rPr>
      </w:pPr>
      <w:bookmarkStart w:id="42" w:name="_Toc15377219"/>
      <w:bookmarkStart w:id="43" w:name="_Toc15396611"/>
      <w:r>
        <w:rPr>
          <w:rStyle w:val="25"/>
          <w:rFonts w:hint="eastAsia" w:ascii="黑体" w:hAnsi="黑体" w:eastAsia="黑体"/>
          <w:b w:val="0"/>
        </w:rPr>
        <w:t>国有资本经营预算支出决算情况说明</w:t>
      </w:r>
      <w:bookmarkEnd w:id="42"/>
      <w:bookmarkEnd w:id="43"/>
    </w:p>
    <w:p w14:paraId="1F9C9875">
      <w:pPr>
        <w:widowControl/>
        <w:snapToGrid w:val="0"/>
        <w:spacing w:line="560" w:lineRule="exact"/>
        <w:ind w:firstLine="640" w:firstLineChars="20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14:paraId="27CB2224">
      <w:pPr>
        <w:numPr>
          <w:ilvl w:val="0"/>
          <w:numId w:val="7"/>
        </w:numPr>
        <w:spacing w:line="600" w:lineRule="exact"/>
        <w:ind w:firstLine="640"/>
        <w:outlineLvl w:val="1"/>
        <w:rPr>
          <w:rStyle w:val="25"/>
          <w:rFonts w:ascii="黑体" w:hAnsi="黑体" w:eastAsia="黑体"/>
          <w:b w:val="0"/>
        </w:rPr>
      </w:pPr>
      <w:bookmarkStart w:id="44" w:name="_Toc15377221"/>
      <w:bookmarkStart w:id="45" w:name="_Toc15396612"/>
      <w:r>
        <w:rPr>
          <w:rStyle w:val="25"/>
          <w:rFonts w:hint="eastAsia" w:ascii="黑体" w:hAnsi="黑体" w:eastAsia="黑体"/>
          <w:b w:val="0"/>
        </w:rPr>
        <w:t>其他重要事项的情况说明</w:t>
      </w:r>
      <w:bookmarkEnd w:id="44"/>
      <w:bookmarkEnd w:id="45"/>
    </w:p>
    <w:p w14:paraId="5B7A1601">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（一）业务运行经费支出情况</w:t>
      </w:r>
      <w:bookmarkEnd w:id="46"/>
    </w:p>
    <w:p w14:paraId="43C50E72">
      <w:pPr>
        <w:widowControl/>
        <w:snapToGrid w:val="0"/>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21年，盐边县红宝苗族彝族乡中心学校业务运行经费支出5.33万元，较2020年决算数5.45万元减少0.12万元，降幅2.2%。主要原因为压缩开支。</w:t>
      </w:r>
    </w:p>
    <w:p w14:paraId="4D02BCD1">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69DB2CA3">
      <w:pPr>
        <w:widowControl/>
        <w:snapToGrid w:val="0"/>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21年，盐边县红宝苗族彝族乡中心学校政府采购支出总额0万元，其中：政府采购货物支出0万元、政府采购工程支出0万元、政府采购服务支出0万元。</w:t>
      </w:r>
    </w:p>
    <w:p w14:paraId="26C38C62">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1F690235">
      <w:pPr>
        <w:widowControl/>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日，盐边县红宝苗族彝族乡中心学校共有车辆0辆，其中：主要领导干部用车0辆、机要通信用车0辆、应急保障用车0辆、其他用车0辆、单价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14:paraId="3143A157">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7479AABF">
      <w:pPr>
        <w:widowControl/>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根据预算绩效管理要求，盐边县红宝苗族彝族乡中心学校在年初预算编制阶段，组织对2021年部门整体预算执行情况和财政专户管理资金用于中心业务支出项目开展了绩效目标完成情况自评。2021年特定目标类部门预算项目绩效目标自评表见附件（第四部分）。</w:t>
      </w:r>
    </w:p>
    <w:p w14:paraId="2D29CFF3">
      <w:pPr>
        <w:pStyle w:val="2"/>
        <w:spacing w:before="93"/>
        <w:rPr>
          <w:highlight w:val="yellow"/>
        </w:rPr>
      </w:pPr>
    </w:p>
    <w:p w14:paraId="572C086A">
      <w:pPr>
        <w:widowControl/>
        <w:jc w:val="left"/>
        <w:rPr>
          <w:rFonts w:ascii="仿宋_GB2312" w:eastAsia="仿宋_GB2312"/>
          <w:b/>
          <w:sz w:val="32"/>
          <w:szCs w:val="32"/>
        </w:rPr>
      </w:pPr>
      <w:r>
        <w:rPr>
          <w:rFonts w:ascii="仿宋_GB2312" w:eastAsia="仿宋_GB2312"/>
          <w:b/>
          <w:sz w:val="32"/>
          <w:szCs w:val="32"/>
        </w:rPr>
        <w:br w:type="page"/>
      </w:r>
    </w:p>
    <w:p w14:paraId="32FE0A27">
      <w:pPr>
        <w:numPr>
          <w:ilvl w:val="0"/>
          <w:numId w:val="8"/>
        </w:numPr>
        <w:spacing w:line="600" w:lineRule="exact"/>
        <w:ind w:firstLine="660" w:firstLineChars="150"/>
        <w:jc w:val="center"/>
        <w:outlineLvl w:val="0"/>
        <w:rPr>
          <w:rStyle w:val="24"/>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4"/>
          <w:rFonts w:hint="eastAsia" w:ascii="黑体" w:hAnsi="黑体" w:eastAsia="黑体"/>
          <w:b w:val="0"/>
        </w:rPr>
        <w:t>词解释</w:t>
      </w:r>
      <w:bookmarkEnd w:id="49"/>
      <w:bookmarkEnd w:id="50"/>
    </w:p>
    <w:p w14:paraId="00E00218">
      <w:pPr>
        <w:spacing w:line="600" w:lineRule="exact"/>
        <w:jc w:val="left"/>
        <w:rPr>
          <w:rFonts w:ascii="宋体"/>
          <w:b/>
          <w:sz w:val="44"/>
          <w:szCs w:val="44"/>
        </w:rPr>
      </w:pPr>
    </w:p>
    <w:p w14:paraId="53821CF2">
      <w:pPr>
        <w:pStyle w:val="22"/>
        <w:widowControl/>
        <w:autoSpaceDE/>
        <w:autoSpaceDN/>
        <w:adjustRightInd/>
        <w:snapToGrid w:val="0"/>
        <w:spacing w:line="560" w:lineRule="exact"/>
        <w:ind w:firstLine="643" w:firstLineChars="200"/>
        <w:jc w:val="both"/>
        <w:rPr>
          <w:rFonts w:hint="eastAsia" w:ascii="仿宋_GB2312" w:hAnsi="Times New Roman" w:eastAsia="仿宋_GB2312" w:cs="Times New Roman"/>
          <w:color w:val="auto"/>
          <w:sz w:val="32"/>
          <w:szCs w:val="32"/>
        </w:rPr>
      </w:pPr>
      <w:bookmarkStart w:id="51" w:name="_Toc15396614"/>
      <w:bookmarkStart w:id="52" w:name="_Toc15377226"/>
      <w:r>
        <w:rPr>
          <w:rFonts w:hint="eastAsia" w:ascii="仿宋_GB2312" w:hAnsi="Times New Roman" w:eastAsia="仿宋_GB2312" w:cs="Times New Roman"/>
          <w:b/>
          <w:color w:val="auto"/>
          <w:sz w:val="32"/>
          <w:szCs w:val="32"/>
        </w:rPr>
        <w:t>1.财政拨款收入：</w:t>
      </w:r>
      <w:r>
        <w:rPr>
          <w:rFonts w:hint="eastAsia" w:ascii="仿宋_GB2312" w:hAnsi="Times New Roman" w:eastAsia="仿宋_GB2312" w:cs="Times New Roman"/>
          <w:color w:val="auto"/>
          <w:sz w:val="32"/>
          <w:szCs w:val="32"/>
        </w:rPr>
        <w:t>指单位从同级财政部门取得的财政预算资金。</w:t>
      </w:r>
    </w:p>
    <w:p w14:paraId="20BD6F41">
      <w:pPr>
        <w:pStyle w:val="22"/>
        <w:widowControl/>
        <w:autoSpaceDE/>
        <w:autoSpaceDN/>
        <w:adjustRightInd/>
        <w:snapToGrid w:val="0"/>
        <w:spacing w:line="560" w:lineRule="exact"/>
        <w:ind w:firstLine="643"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b/>
          <w:color w:val="auto"/>
          <w:sz w:val="32"/>
          <w:szCs w:val="32"/>
        </w:rPr>
        <w:t>2.事业收入：</w:t>
      </w:r>
      <w:r>
        <w:rPr>
          <w:rFonts w:hint="eastAsia" w:ascii="仿宋_GB2312" w:hAnsi="Times New Roman" w:eastAsia="仿宋_GB2312" w:cs="Times New Roman"/>
          <w:color w:val="auto"/>
          <w:sz w:val="32"/>
          <w:szCs w:val="32"/>
        </w:rPr>
        <w:t>指事业单位开展专业业务活动及辅助活动取得的收入等。</w:t>
      </w:r>
    </w:p>
    <w:p w14:paraId="2BBB5516">
      <w:pPr>
        <w:pStyle w:val="22"/>
        <w:widowControl/>
        <w:autoSpaceDE/>
        <w:autoSpaceDN/>
        <w:adjustRightInd/>
        <w:snapToGrid w:val="0"/>
        <w:spacing w:line="560" w:lineRule="exact"/>
        <w:ind w:firstLine="643"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b/>
          <w:color w:val="auto"/>
          <w:sz w:val="32"/>
          <w:szCs w:val="32"/>
        </w:rPr>
        <w:t>3.经营收入：</w:t>
      </w:r>
      <w:r>
        <w:rPr>
          <w:rFonts w:hint="eastAsia" w:ascii="仿宋_GB2312" w:hAnsi="Times New Roman" w:eastAsia="仿宋_GB2312" w:cs="Times New Roman"/>
          <w:color w:val="auto"/>
          <w:sz w:val="32"/>
          <w:szCs w:val="32"/>
        </w:rPr>
        <w:t>指事业单位在专业业务活动及其辅助活动之外开展非独立核算经营活动取得的收入等。</w:t>
      </w:r>
    </w:p>
    <w:p w14:paraId="6291122A">
      <w:pPr>
        <w:pStyle w:val="22"/>
        <w:widowControl/>
        <w:autoSpaceDE/>
        <w:autoSpaceDN/>
        <w:adjustRightInd/>
        <w:snapToGrid w:val="0"/>
        <w:spacing w:line="560" w:lineRule="exact"/>
        <w:ind w:firstLine="643"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b/>
          <w:color w:val="auto"/>
          <w:sz w:val="32"/>
          <w:szCs w:val="32"/>
        </w:rPr>
        <w:t>4.其他收入：</w:t>
      </w:r>
      <w:r>
        <w:rPr>
          <w:rFonts w:hint="eastAsia" w:ascii="仿宋_GB2312" w:hAnsi="Times New Roman" w:eastAsia="仿宋_GB2312" w:cs="Times New Roman"/>
          <w:color w:val="auto"/>
          <w:sz w:val="32"/>
          <w:szCs w:val="32"/>
        </w:rPr>
        <w:t>指单位取得的除上述收入以外的各项收入等。</w:t>
      </w:r>
    </w:p>
    <w:p w14:paraId="18BBB9C7">
      <w:pPr>
        <w:pStyle w:val="22"/>
        <w:widowControl/>
        <w:autoSpaceDE/>
        <w:autoSpaceDN/>
        <w:adjustRightInd/>
        <w:snapToGrid w:val="0"/>
        <w:spacing w:line="560" w:lineRule="exact"/>
        <w:ind w:firstLine="643"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b/>
          <w:color w:val="auto"/>
          <w:sz w:val="32"/>
          <w:szCs w:val="32"/>
        </w:rPr>
        <w:t>5.使用非财政拨款结余：</w:t>
      </w:r>
      <w:r>
        <w:rPr>
          <w:rFonts w:hint="eastAsia" w:ascii="仿宋_GB2312" w:hAnsi="Times New Roman" w:eastAsia="仿宋_GB2312" w:cs="Times New Roman"/>
          <w:color w:val="auto"/>
          <w:sz w:val="32"/>
          <w:szCs w:val="32"/>
        </w:rPr>
        <w:t>指事业单位使用以前年度积累的非财政拨款结余弥补当年收支差额的金额。</w:t>
      </w:r>
    </w:p>
    <w:p w14:paraId="0353BC5B">
      <w:pPr>
        <w:pStyle w:val="22"/>
        <w:widowControl/>
        <w:autoSpaceDE/>
        <w:autoSpaceDN/>
        <w:adjustRightInd/>
        <w:snapToGrid w:val="0"/>
        <w:spacing w:line="560" w:lineRule="exact"/>
        <w:ind w:firstLine="643"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b/>
          <w:color w:val="auto"/>
          <w:sz w:val="32"/>
          <w:szCs w:val="32"/>
        </w:rPr>
        <w:t>6.年初结转和结余：</w:t>
      </w:r>
      <w:r>
        <w:rPr>
          <w:rFonts w:hint="eastAsia" w:ascii="仿宋_GB2312" w:hAnsi="Times New Roman" w:eastAsia="仿宋_GB2312" w:cs="Times New Roman"/>
          <w:color w:val="auto"/>
          <w:sz w:val="32"/>
          <w:szCs w:val="32"/>
        </w:rPr>
        <w:t>指以前年度尚未完成、结转到本年按有关规定继续使用的资金。</w:t>
      </w:r>
    </w:p>
    <w:p w14:paraId="7427B803">
      <w:pPr>
        <w:pStyle w:val="22"/>
        <w:widowControl/>
        <w:autoSpaceDE/>
        <w:autoSpaceDN/>
        <w:adjustRightInd/>
        <w:snapToGrid w:val="0"/>
        <w:spacing w:line="560" w:lineRule="exact"/>
        <w:ind w:firstLine="643"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b/>
          <w:color w:val="auto"/>
          <w:sz w:val="32"/>
          <w:szCs w:val="32"/>
        </w:rPr>
        <w:t>7.结余分配：</w:t>
      </w:r>
      <w:r>
        <w:rPr>
          <w:rFonts w:hint="eastAsia" w:ascii="仿宋_GB2312" w:hAnsi="Times New Roman" w:eastAsia="仿宋_GB2312" w:cs="Times New Roman"/>
          <w:color w:val="auto"/>
          <w:sz w:val="32"/>
          <w:szCs w:val="32"/>
        </w:rPr>
        <w:t>指事业单位按照会计制度规定缴纳的所得税、提取的专用结余以及转入非财政拨款结余的金额等。</w:t>
      </w:r>
    </w:p>
    <w:p w14:paraId="4AD4AD46">
      <w:pPr>
        <w:pStyle w:val="22"/>
        <w:widowControl/>
        <w:autoSpaceDE/>
        <w:autoSpaceDN/>
        <w:adjustRightInd/>
        <w:snapToGrid w:val="0"/>
        <w:spacing w:line="560" w:lineRule="exact"/>
        <w:ind w:firstLine="643"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b/>
          <w:color w:val="auto"/>
          <w:sz w:val="32"/>
          <w:szCs w:val="32"/>
        </w:rPr>
        <w:t>8.年末结转和结余：</w:t>
      </w:r>
      <w:r>
        <w:rPr>
          <w:rFonts w:hint="eastAsia" w:ascii="仿宋_GB2312" w:hAnsi="Times New Roman" w:eastAsia="仿宋_GB2312" w:cs="Times New Roman"/>
          <w:color w:val="auto"/>
          <w:sz w:val="32"/>
          <w:szCs w:val="32"/>
        </w:rPr>
        <w:t>指单位按有关规定结转到下年或以后年度继续使用的资金。</w:t>
      </w:r>
    </w:p>
    <w:p w14:paraId="3F9D77BE">
      <w:pPr>
        <w:widowControl/>
        <w:snapToGrid w:val="0"/>
        <w:spacing w:line="560" w:lineRule="exact"/>
        <w:ind w:firstLine="643" w:firstLineChars="200"/>
        <w:rPr>
          <w:rFonts w:hint="eastAsia" w:ascii="仿宋_GB2312" w:eastAsia="仿宋_GB2312"/>
          <w:kern w:val="0"/>
          <w:sz w:val="32"/>
          <w:szCs w:val="32"/>
        </w:rPr>
      </w:pPr>
      <w:r>
        <w:rPr>
          <w:rFonts w:hint="eastAsia" w:ascii="仿宋_GB2312" w:eastAsia="仿宋_GB2312"/>
          <w:b/>
          <w:kern w:val="0"/>
          <w:sz w:val="32"/>
          <w:szCs w:val="32"/>
        </w:rPr>
        <w:t>9.一般公共预算拨款收入：</w:t>
      </w:r>
      <w:r>
        <w:rPr>
          <w:rFonts w:hint="eastAsia" w:ascii="仿宋_GB2312" w:eastAsia="仿宋_GB2312"/>
          <w:kern w:val="0"/>
          <w:sz w:val="32"/>
          <w:szCs w:val="32"/>
        </w:rPr>
        <w:t>指县级财政当年拨付的资金。</w:t>
      </w:r>
    </w:p>
    <w:p w14:paraId="17E16D6F">
      <w:pPr>
        <w:widowControl/>
        <w:snapToGrid w:val="0"/>
        <w:spacing w:line="560" w:lineRule="exact"/>
        <w:ind w:firstLine="643" w:firstLineChars="200"/>
        <w:rPr>
          <w:rFonts w:hint="eastAsia" w:ascii="仿宋_GB2312" w:eastAsia="仿宋_GB2312"/>
          <w:color w:val="000000"/>
          <w:kern w:val="0"/>
          <w:sz w:val="32"/>
          <w:szCs w:val="32"/>
        </w:rPr>
      </w:pPr>
      <w:r>
        <w:rPr>
          <w:rFonts w:hint="eastAsia" w:ascii="仿宋_GB2312" w:eastAsia="仿宋_GB2312"/>
          <w:b/>
          <w:kern w:val="0"/>
          <w:sz w:val="32"/>
          <w:szCs w:val="32"/>
        </w:rPr>
        <w:t>10.教育支出（205类）普通教育（02款）学前教育（01项）：</w:t>
      </w:r>
      <w:r>
        <w:rPr>
          <w:rFonts w:hint="eastAsia" w:ascii="仿宋_GB2312" w:eastAsia="仿宋_GB2312"/>
          <w:color w:val="000000"/>
          <w:kern w:val="0"/>
          <w:sz w:val="32"/>
          <w:szCs w:val="32"/>
        </w:rPr>
        <w:t>指反映各部门举办的学前教育支出。政府各部门对社会组织等举办的幼儿园的资助，如捐赠、补贴等，也在本科目中反映。</w:t>
      </w:r>
    </w:p>
    <w:p w14:paraId="2E055D44">
      <w:pPr>
        <w:widowControl/>
        <w:snapToGrid w:val="0"/>
        <w:spacing w:line="560" w:lineRule="exact"/>
        <w:ind w:firstLine="643" w:firstLineChars="200"/>
        <w:rPr>
          <w:rFonts w:hint="eastAsia" w:ascii="仿宋_GB2312" w:eastAsia="仿宋_GB2312"/>
          <w:color w:val="000000"/>
          <w:kern w:val="0"/>
          <w:sz w:val="32"/>
          <w:szCs w:val="32"/>
        </w:rPr>
      </w:pPr>
      <w:r>
        <w:rPr>
          <w:rFonts w:hint="eastAsia" w:ascii="仿宋_GB2312" w:eastAsia="仿宋_GB2312"/>
          <w:b/>
          <w:kern w:val="0"/>
          <w:sz w:val="32"/>
          <w:szCs w:val="32"/>
        </w:rPr>
        <w:t>11.教育支出（205类）普通教育（02款）小学教育（02项）：</w:t>
      </w:r>
      <w:r>
        <w:rPr>
          <w:rFonts w:hint="eastAsia" w:ascii="仿宋_GB2312" w:eastAsia="仿宋_GB2312"/>
          <w:color w:val="000000"/>
          <w:kern w:val="0"/>
          <w:sz w:val="32"/>
          <w:szCs w:val="32"/>
        </w:rPr>
        <w:t>指反映各部门举办的小学教育支出。政府各部门对社会组织等举办的小学的资助，如捐赠、补贴等，也在本科目中反映。</w:t>
      </w:r>
    </w:p>
    <w:p w14:paraId="115108AD">
      <w:pPr>
        <w:widowControl/>
        <w:snapToGrid w:val="0"/>
        <w:spacing w:line="560" w:lineRule="exact"/>
        <w:ind w:firstLine="643" w:firstLineChars="200"/>
        <w:rPr>
          <w:rFonts w:hint="eastAsia" w:ascii="仿宋_GB2312" w:eastAsia="仿宋_GB2312"/>
          <w:color w:val="000000"/>
          <w:kern w:val="0"/>
          <w:sz w:val="32"/>
          <w:szCs w:val="32"/>
        </w:rPr>
      </w:pPr>
      <w:r>
        <w:rPr>
          <w:rFonts w:hint="eastAsia" w:ascii="仿宋_GB2312" w:eastAsia="仿宋_GB2312"/>
          <w:b/>
          <w:kern w:val="0"/>
          <w:sz w:val="32"/>
          <w:szCs w:val="32"/>
        </w:rPr>
        <w:t>12.业务运行经费：</w:t>
      </w:r>
      <w:r>
        <w:rPr>
          <w:rFonts w:hint="eastAsia" w:ascii="仿宋_GB2312" w:eastAsia="仿宋_GB2312"/>
          <w:color w:val="000000"/>
          <w:kern w:val="0"/>
          <w:sz w:val="32"/>
          <w:szCs w:val="32"/>
        </w:rPr>
        <w:t>为保障事业单位运行用于购买货物和服务的各项资金。包括办公及办公费、水费、电费、印刷费、邮电费、差旅费、会议费等费用开支。</w:t>
      </w:r>
    </w:p>
    <w:p w14:paraId="409AC239">
      <w:pPr>
        <w:widowControl/>
        <w:snapToGrid w:val="0"/>
        <w:spacing w:line="560" w:lineRule="exact"/>
        <w:ind w:firstLine="643" w:firstLineChars="200"/>
        <w:rPr>
          <w:rFonts w:hint="eastAsia" w:ascii="仿宋_GB2312" w:eastAsia="仿宋_GB2312"/>
          <w:color w:val="000000"/>
          <w:kern w:val="0"/>
          <w:sz w:val="32"/>
          <w:szCs w:val="32"/>
        </w:rPr>
      </w:pPr>
      <w:r>
        <w:rPr>
          <w:rFonts w:hint="eastAsia" w:ascii="仿宋_GB2312" w:eastAsia="仿宋_GB2312"/>
          <w:b/>
          <w:kern w:val="0"/>
          <w:sz w:val="32"/>
          <w:szCs w:val="32"/>
        </w:rPr>
        <w:t>13.“三公”经费：</w:t>
      </w:r>
      <w:r>
        <w:rPr>
          <w:rFonts w:hint="eastAsia" w:ascii="仿宋_GB2312" w:eastAsia="仿宋_GB2312"/>
          <w:color w:val="000000"/>
          <w:kern w:val="0"/>
          <w:sz w:val="32"/>
          <w:szCs w:val="32"/>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225D64F">
      <w:pPr>
        <w:widowControl/>
        <w:snapToGrid w:val="0"/>
        <w:spacing w:line="560" w:lineRule="exact"/>
        <w:ind w:firstLine="643" w:firstLineChars="200"/>
        <w:rPr>
          <w:rFonts w:hint="eastAsia" w:ascii="仿宋_GB2312" w:eastAsia="仿宋_GB2312"/>
          <w:color w:val="000000"/>
          <w:kern w:val="0"/>
          <w:sz w:val="32"/>
          <w:szCs w:val="32"/>
        </w:rPr>
      </w:pPr>
      <w:r>
        <w:rPr>
          <w:rFonts w:hint="eastAsia" w:ascii="仿宋_GB2312" w:eastAsia="仿宋_GB2312"/>
          <w:b/>
          <w:kern w:val="0"/>
          <w:sz w:val="32"/>
          <w:szCs w:val="32"/>
        </w:rPr>
        <w:t>14.社会保障和就业支出（208类）行政事业单位养老支出（05款）机关事业单位基本养老保险缴费支出（05项）：</w:t>
      </w:r>
      <w:r>
        <w:rPr>
          <w:rFonts w:hint="eastAsia" w:ascii="仿宋_GB2312" w:eastAsia="仿宋_GB2312"/>
          <w:color w:val="000000"/>
          <w:kern w:val="0"/>
          <w:sz w:val="32"/>
          <w:szCs w:val="32"/>
        </w:rPr>
        <w:t>指反映机关事业单位实施养老保险制度由单位实际缴纳的基本养老保险费支出。</w:t>
      </w:r>
    </w:p>
    <w:p w14:paraId="1407E48B">
      <w:pPr>
        <w:widowControl/>
        <w:snapToGrid w:val="0"/>
        <w:spacing w:line="560" w:lineRule="exact"/>
        <w:ind w:firstLine="643" w:firstLineChars="200"/>
        <w:rPr>
          <w:rFonts w:hint="eastAsia" w:ascii="仿宋_GB2312" w:eastAsia="仿宋_GB2312"/>
          <w:color w:val="000000"/>
          <w:kern w:val="0"/>
          <w:sz w:val="32"/>
          <w:szCs w:val="32"/>
        </w:rPr>
      </w:pPr>
      <w:r>
        <w:rPr>
          <w:rFonts w:hint="eastAsia" w:ascii="仿宋_GB2312" w:eastAsia="仿宋_GB2312"/>
          <w:b/>
          <w:kern w:val="0"/>
          <w:sz w:val="32"/>
          <w:szCs w:val="32"/>
        </w:rPr>
        <w:t>15.社会保障和就业支出（208类）行政事业单位养老支出（05款）机关事业单位职业年金缴费支出（06项）：</w:t>
      </w:r>
      <w:r>
        <w:rPr>
          <w:rFonts w:hint="eastAsia" w:ascii="仿宋_GB2312" w:eastAsia="仿宋_GB2312"/>
          <w:color w:val="000000"/>
          <w:kern w:val="0"/>
          <w:sz w:val="32"/>
          <w:szCs w:val="32"/>
        </w:rPr>
        <w:t>反映机关事业单位实施养老保险制度由单位实际缴纳的职业年金支出。</w:t>
      </w:r>
    </w:p>
    <w:p w14:paraId="4D00514E">
      <w:pPr>
        <w:pStyle w:val="2"/>
        <w:widowControl/>
        <w:snapToGrid w:val="0"/>
        <w:spacing w:beforeLines="0" w:line="560" w:lineRule="exact"/>
        <w:ind w:firstLine="200"/>
        <w:rPr>
          <w:rFonts w:hint="eastAsia"/>
        </w:rPr>
      </w:pPr>
    </w:p>
    <w:p w14:paraId="24A622AC">
      <w:pPr>
        <w:widowControl/>
        <w:snapToGrid w:val="0"/>
        <w:spacing w:line="560" w:lineRule="exact"/>
        <w:ind w:firstLine="643" w:firstLineChars="200"/>
        <w:rPr>
          <w:rFonts w:hint="eastAsia" w:ascii="仿宋_GB2312" w:eastAsia="仿宋_GB2312"/>
          <w:color w:val="000000"/>
          <w:kern w:val="0"/>
          <w:sz w:val="32"/>
          <w:szCs w:val="32"/>
        </w:rPr>
      </w:pPr>
      <w:r>
        <w:rPr>
          <w:rFonts w:hint="eastAsia" w:ascii="仿宋_GB2312" w:eastAsia="仿宋_GB2312"/>
          <w:b/>
          <w:kern w:val="0"/>
          <w:sz w:val="32"/>
          <w:szCs w:val="32"/>
        </w:rPr>
        <w:t>16.住房保障支出（221类）住房改革支出（02款）住房公积金（01项）：</w:t>
      </w:r>
      <w:r>
        <w:rPr>
          <w:rFonts w:hint="eastAsia" w:ascii="仿宋_GB2312" w:eastAsia="仿宋_GB2312"/>
          <w:color w:val="000000"/>
          <w:kern w:val="0"/>
          <w:sz w:val="32"/>
          <w:szCs w:val="32"/>
        </w:rPr>
        <w:t>指反映行政事业单位按照人力资源和社会保障部、财政部规定的基本工资和津贴补贴以及规定比例为职工缴纳的住房公积金。</w:t>
      </w:r>
    </w:p>
    <w:p w14:paraId="15D3889C">
      <w:pPr>
        <w:widowControl/>
        <w:snapToGrid w:val="0"/>
        <w:spacing w:line="560" w:lineRule="exact"/>
        <w:ind w:firstLine="200"/>
        <w:rPr>
          <w:rFonts w:ascii="黑体" w:hAnsi="黑体" w:eastAsia="黑体"/>
          <w:sz w:val="44"/>
          <w:szCs w:val="44"/>
        </w:rPr>
      </w:pPr>
    </w:p>
    <w:p w14:paraId="1F050337">
      <w:pPr>
        <w:spacing w:line="600" w:lineRule="exact"/>
        <w:jc w:val="center"/>
        <w:outlineLvl w:val="0"/>
        <w:rPr>
          <w:rFonts w:ascii="黑体" w:hAnsi="黑体" w:eastAsia="黑体"/>
          <w:sz w:val="44"/>
          <w:szCs w:val="44"/>
        </w:rPr>
      </w:pPr>
    </w:p>
    <w:p w14:paraId="59EF54B7">
      <w:pPr>
        <w:pStyle w:val="2"/>
        <w:spacing w:before="93"/>
        <w:rPr>
          <w:rFonts w:ascii="黑体" w:hAnsi="黑体" w:eastAsia="黑体"/>
          <w:sz w:val="44"/>
          <w:szCs w:val="44"/>
        </w:rPr>
      </w:pPr>
    </w:p>
    <w:p w14:paraId="1D89A6A8">
      <w:pPr>
        <w:pStyle w:val="2"/>
        <w:spacing w:before="93"/>
        <w:rPr>
          <w:rFonts w:ascii="黑体" w:hAnsi="黑体" w:eastAsia="黑体"/>
          <w:sz w:val="44"/>
          <w:szCs w:val="44"/>
        </w:rPr>
      </w:pPr>
    </w:p>
    <w:p w14:paraId="10E7FC04">
      <w:pPr>
        <w:pStyle w:val="2"/>
        <w:spacing w:before="93"/>
        <w:rPr>
          <w:rFonts w:ascii="黑体" w:hAnsi="黑体" w:eastAsia="黑体"/>
          <w:sz w:val="44"/>
          <w:szCs w:val="44"/>
        </w:rPr>
      </w:pPr>
    </w:p>
    <w:p w14:paraId="498F0D9C">
      <w:pPr>
        <w:pStyle w:val="2"/>
        <w:spacing w:before="93"/>
        <w:rPr>
          <w:rFonts w:ascii="黑体" w:hAnsi="黑体" w:eastAsia="黑体"/>
          <w:sz w:val="44"/>
          <w:szCs w:val="44"/>
        </w:rPr>
      </w:pPr>
    </w:p>
    <w:p w14:paraId="7EA79376">
      <w:pPr>
        <w:pStyle w:val="2"/>
        <w:spacing w:before="93"/>
        <w:rPr>
          <w:rFonts w:ascii="黑体" w:hAnsi="黑体" w:eastAsia="黑体"/>
          <w:sz w:val="44"/>
          <w:szCs w:val="44"/>
        </w:rPr>
      </w:pPr>
    </w:p>
    <w:p w14:paraId="2DE9C281">
      <w:pPr>
        <w:spacing w:line="600" w:lineRule="exact"/>
        <w:jc w:val="center"/>
        <w:outlineLvl w:val="0"/>
        <w:rPr>
          <w:rStyle w:val="24"/>
          <w:rFonts w:ascii="黑体" w:hAnsi="黑体" w:eastAsia="黑体"/>
          <w:b w:val="0"/>
        </w:rPr>
      </w:pPr>
      <w:r>
        <w:rPr>
          <w:rFonts w:hint="eastAsia" w:ascii="黑体" w:hAnsi="黑体" w:eastAsia="黑体"/>
          <w:sz w:val="44"/>
          <w:szCs w:val="44"/>
        </w:rPr>
        <w:t>第</w:t>
      </w:r>
      <w:r>
        <w:rPr>
          <w:rStyle w:val="24"/>
          <w:rFonts w:hint="eastAsia" w:ascii="黑体" w:hAnsi="黑体" w:eastAsia="黑体"/>
          <w:b w:val="0"/>
        </w:rPr>
        <w:t>四部分 附件</w:t>
      </w:r>
    </w:p>
    <w:p w14:paraId="35ED7433">
      <w:pPr>
        <w:spacing w:line="572" w:lineRule="exact"/>
        <w:jc w:val="left"/>
        <w:outlineLvl w:val="0"/>
        <w:rPr>
          <w:rFonts w:ascii="仿宋_GB2312" w:hAnsi="仿宋_GB2312" w:eastAsia="仿宋_GB2312" w:cs="仿宋_GB2312"/>
          <w:sz w:val="32"/>
          <w:szCs w:val="32"/>
        </w:rPr>
      </w:pPr>
      <w:r>
        <w:rPr>
          <w:rFonts w:hint="eastAsia" w:ascii="黑体" w:hAnsi="黑体" w:eastAsia="黑体" w:cs="黑体"/>
          <w:sz w:val="32"/>
          <w:szCs w:val="32"/>
        </w:rPr>
        <w:t>附件</w:t>
      </w:r>
    </w:p>
    <w:p w14:paraId="50C0795C">
      <w:pPr>
        <w:spacing w:line="600" w:lineRule="exact"/>
        <w:jc w:val="center"/>
        <w:rPr>
          <w:rFonts w:ascii="方正小标宋简体" w:hAnsi="宋体" w:eastAsia="方正小标宋简体"/>
          <w:color w:val="000000"/>
          <w:kern w:val="0"/>
          <w:sz w:val="40"/>
          <w:szCs w:val="44"/>
        </w:rPr>
      </w:pPr>
    </w:p>
    <w:p w14:paraId="02F74A3E">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盐边县红宝苗族彝族乡中心学校</w:t>
      </w:r>
    </w:p>
    <w:p w14:paraId="1527F0F3">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202</w:t>
      </w:r>
      <w:r>
        <w:rPr>
          <w:rFonts w:hint="eastAsia" w:ascii="方正小标宋简体" w:hAnsi="宋体" w:eastAsia="方正小标宋简体"/>
          <w:color w:val="000000"/>
          <w:kern w:val="0"/>
          <w:sz w:val="40"/>
          <w:szCs w:val="44"/>
        </w:rPr>
        <w:t>1年部门</w:t>
      </w:r>
      <w:r>
        <w:rPr>
          <w:rFonts w:hint="eastAsia" w:ascii="方正小标宋简体" w:hAnsi="宋体" w:eastAsia="方正小标宋简体"/>
          <w:color w:val="000000"/>
          <w:kern w:val="0"/>
          <w:sz w:val="40"/>
          <w:szCs w:val="44"/>
          <w:lang w:val="zh-CN"/>
        </w:rPr>
        <w:t>整体支出绩效评价报告</w:t>
      </w:r>
    </w:p>
    <w:p w14:paraId="72B6DF0E">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7023611F">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部门概况</w:t>
      </w:r>
    </w:p>
    <w:p w14:paraId="2DE27EE0">
      <w:pPr>
        <w:widowControl/>
        <w:adjustRightInd w:val="0"/>
        <w:snapToGrid w:val="0"/>
        <w:spacing w:line="580" w:lineRule="exact"/>
        <w:ind w:firstLine="643" w:firstLineChars="200"/>
        <w:contextualSpacing/>
        <w:jc w:val="left"/>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（一）机构组成。</w:t>
      </w:r>
    </w:p>
    <w:p w14:paraId="457C97FB">
      <w:pPr>
        <w:widowControl/>
        <w:snapToGrid w:val="0"/>
        <w:spacing w:line="560" w:lineRule="exact"/>
        <w:ind w:firstLine="640" w:firstLineChars="200"/>
        <w:rPr>
          <w:rFonts w:hint="eastAsia" w:ascii="仿宋_GB2312" w:hAnsi="仿宋" w:eastAsia="仿宋_GB2312" w:cs="仿宋"/>
          <w:sz w:val="32"/>
        </w:rPr>
      </w:pPr>
      <w:r>
        <w:rPr>
          <w:rFonts w:hint="eastAsia" w:ascii="仿宋_GB2312" w:hAnsi="仿宋" w:eastAsia="仿宋_GB2312" w:cs="仿宋"/>
          <w:sz w:val="32"/>
          <w:szCs w:val="32"/>
        </w:rPr>
        <w:t>盐边县红宝苗族彝族乡中心学校</w:t>
      </w:r>
      <w:r>
        <w:rPr>
          <w:rFonts w:hint="eastAsia" w:ascii="仿宋_GB2312" w:hAnsi="仿宋" w:eastAsia="仿宋_GB2312" w:cs="仿宋"/>
          <w:sz w:val="32"/>
        </w:rPr>
        <w:t>是盐边县教育体育局下属非独立核算单位1个，其中行政单位0个，参照公务员法管理的事业单位0个，其他事业单位0个。</w:t>
      </w:r>
    </w:p>
    <w:p w14:paraId="10EF0D8C">
      <w:pPr>
        <w:spacing w:line="560" w:lineRule="exact"/>
        <w:ind w:firstLine="643" w:firstLineChars="200"/>
        <w:rPr>
          <w:b/>
          <w:bCs/>
          <w:sz w:val="32"/>
          <w:lang w:val="zh-CN"/>
        </w:rPr>
      </w:pPr>
      <w:r>
        <w:rPr>
          <w:rFonts w:hint="eastAsia"/>
          <w:b/>
          <w:bCs/>
          <w:sz w:val="32"/>
          <w:lang w:val="zh-CN"/>
        </w:rPr>
        <w:t>（二）机构职能。</w:t>
      </w:r>
    </w:p>
    <w:p w14:paraId="4E7BC67B">
      <w:pPr>
        <w:widowControl/>
        <w:snapToGrid w:val="0"/>
        <w:spacing w:line="560" w:lineRule="exact"/>
        <w:ind w:firstLine="640" w:firstLineChars="200"/>
        <w:rPr>
          <w:rFonts w:hint="eastAsia" w:ascii="仿宋_GB2312" w:hAnsi="仿宋" w:eastAsia="仿宋_GB2312" w:cs="仿宋"/>
          <w:sz w:val="32"/>
        </w:rPr>
      </w:pPr>
      <w:r>
        <w:rPr>
          <w:rFonts w:hint="eastAsia" w:ascii="仿宋_GB2312" w:hAnsi="仿宋" w:eastAsia="仿宋_GB2312" w:cs="仿宋"/>
          <w:sz w:val="32"/>
        </w:rPr>
        <w:t>2021年实施小学义务教育,促进基础教育发展,小学学历教育(社会相关服务)。</w:t>
      </w:r>
    </w:p>
    <w:p w14:paraId="4C2B9DA7">
      <w:pPr>
        <w:widowControl/>
        <w:numPr>
          <w:ilvl w:val="0"/>
          <w:numId w:val="9"/>
        </w:numPr>
        <w:adjustRightInd w:val="0"/>
        <w:snapToGrid w:val="0"/>
        <w:spacing w:line="580" w:lineRule="exact"/>
        <w:ind w:firstLine="643" w:firstLineChars="200"/>
        <w:contextualSpacing/>
        <w:jc w:val="left"/>
        <w:rPr>
          <w:rFonts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人员概况。</w:t>
      </w:r>
    </w:p>
    <w:p w14:paraId="2C05699D">
      <w:pPr>
        <w:widowControl/>
        <w:snapToGrid w:val="0"/>
        <w:spacing w:line="560" w:lineRule="exact"/>
        <w:ind w:firstLine="640" w:firstLineChars="200"/>
        <w:rPr>
          <w:rFonts w:hint="eastAsia" w:ascii="仿宋_GB2312" w:hAnsi="仿宋" w:eastAsia="仿宋_GB2312" w:cs="仿宋"/>
          <w:sz w:val="32"/>
        </w:rPr>
      </w:pPr>
      <w:r>
        <w:rPr>
          <w:rFonts w:hint="eastAsia" w:ascii="仿宋_GB2312" w:hAnsi="仿宋" w:eastAsia="仿宋_GB2312" w:cs="仿宋"/>
          <w:sz w:val="32"/>
        </w:rPr>
        <w:t>人员情况：2021年末财政供养人数为：在职人员13人，副高3人，中3人，助理7人，退休人员11人.遗属人员4人。</w:t>
      </w:r>
    </w:p>
    <w:p w14:paraId="64417EB2">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16D0D010">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14:paraId="46DA167D">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 xml:space="preserve"> 2021年度部门财政拨款收入226.54万元。年初结转和结余6.10万元。收入总计232.64万元。</w:t>
      </w:r>
    </w:p>
    <w:p w14:paraId="436CAF2C">
      <w:pPr>
        <w:widowControl/>
        <w:numPr>
          <w:ilvl w:val="0"/>
          <w:numId w:val="10"/>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14:paraId="057EAA2E">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2021年度部门财政拨款支出232.64万元（其中教育支出191.93万元，占总支出的82.50%；社会保障和就业支出20.99万元，占总支出的9.02%；住房保障支出19.72万元，占总支出的8.48%）。</w:t>
      </w:r>
    </w:p>
    <w:p w14:paraId="3FAC6331">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39BCC3DB">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14:paraId="29F0D2E1">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2021年</w:t>
      </w:r>
      <w:r>
        <w:rPr>
          <w:rFonts w:hint="eastAsia" w:ascii="仿宋_GB2312" w:hAnsi="仿宋_GB2312" w:eastAsia="仿宋_GB2312" w:cs="仿宋_GB2312"/>
          <w:sz w:val="32"/>
          <w:szCs w:val="32"/>
        </w:rPr>
        <w:t>盐边县红宝苗族彝族乡中心学校</w:t>
      </w:r>
      <w:r>
        <w:rPr>
          <w:rFonts w:hint="eastAsia" w:ascii="仿宋_GB2312" w:hAnsi="宋体" w:eastAsia="仿宋_GB2312" w:cs="宋体"/>
          <w:color w:val="000000"/>
          <w:kern w:val="0"/>
          <w:sz w:val="32"/>
          <w:szCs w:val="32"/>
          <w:shd w:val="clear" w:color="auto" w:fill="FFFFFF"/>
          <w:lang w:val="zh-CN"/>
        </w:rPr>
        <w:t>部门绩效目标制定、目标实现、预算编制准确、支出控制、预算动态调整、执行进度、预算完成情况均严格按照预算法及上级主管部门流程操作无违规情况发生。</w:t>
      </w:r>
    </w:p>
    <w:p w14:paraId="0FC3BDEE">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6678988C">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2021年</w:t>
      </w:r>
      <w:r>
        <w:rPr>
          <w:rFonts w:hint="eastAsia" w:ascii="仿宋_GB2312" w:hAnsi="仿宋_GB2312" w:eastAsia="仿宋_GB2312" w:cs="仿宋_GB2312"/>
          <w:sz w:val="32"/>
          <w:szCs w:val="32"/>
        </w:rPr>
        <w:t>盐边县红宝苗族彝族乡中心学校</w:t>
      </w:r>
      <w:r>
        <w:rPr>
          <w:rFonts w:hint="eastAsia" w:ascii="仿宋_GB2312" w:hAnsi="宋体" w:eastAsia="仿宋_GB2312" w:cs="宋体"/>
          <w:color w:val="000000"/>
          <w:kern w:val="0"/>
          <w:sz w:val="32"/>
          <w:szCs w:val="32"/>
          <w:shd w:val="clear" w:color="auto" w:fill="FFFFFF"/>
          <w:lang w:val="zh-CN"/>
        </w:rPr>
        <w:t>绩效自评公开、评价结果整改和应用结果反馈优良。</w:t>
      </w:r>
    </w:p>
    <w:p w14:paraId="0B56D38D">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0E9D2F67">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无</w:t>
      </w:r>
    </w:p>
    <w:p w14:paraId="36A76B1D">
      <w:pPr>
        <w:spacing w:line="600" w:lineRule="exact"/>
        <w:jc w:val="center"/>
        <w:outlineLvl w:val="0"/>
        <w:rPr>
          <w:rFonts w:ascii="黑体" w:hAnsi="黑体" w:eastAsia="黑体"/>
          <w:sz w:val="44"/>
          <w:szCs w:val="44"/>
        </w:rPr>
      </w:pPr>
    </w:p>
    <w:p w14:paraId="4E8879DE">
      <w:pPr>
        <w:pStyle w:val="2"/>
        <w:spacing w:before="93"/>
        <w:rPr>
          <w:rFonts w:ascii="黑体" w:hAnsi="黑体" w:eastAsia="黑体"/>
          <w:sz w:val="44"/>
          <w:szCs w:val="44"/>
        </w:rPr>
      </w:pPr>
    </w:p>
    <w:p w14:paraId="5D429986">
      <w:pPr>
        <w:pStyle w:val="2"/>
        <w:spacing w:before="93"/>
        <w:rPr>
          <w:rFonts w:ascii="黑体" w:hAnsi="黑体" w:eastAsia="黑体"/>
          <w:sz w:val="44"/>
          <w:szCs w:val="44"/>
        </w:rPr>
      </w:pPr>
    </w:p>
    <w:p w14:paraId="673CFFC4">
      <w:pPr>
        <w:pStyle w:val="2"/>
        <w:spacing w:before="93"/>
        <w:rPr>
          <w:rFonts w:ascii="黑体" w:hAnsi="黑体" w:eastAsia="黑体"/>
          <w:sz w:val="44"/>
          <w:szCs w:val="44"/>
        </w:rPr>
      </w:pPr>
    </w:p>
    <w:p w14:paraId="5B938936">
      <w:pPr>
        <w:pStyle w:val="2"/>
        <w:spacing w:before="93"/>
        <w:rPr>
          <w:rFonts w:ascii="黑体" w:hAnsi="黑体" w:eastAsia="黑体"/>
          <w:sz w:val="44"/>
          <w:szCs w:val="44"/>
        </w:rPr>
      </w:pPr>
    </w:p>
    <w:p w14:paraId="0A8AD66C">
      <w:pPr>
        <w:pStyle w:val="2"/>
        <w:spacing w:before="93"/>
        <w:rPr>
          <w:rFonts w:ascii="黑体" w:hAnsi="黑体" w:eastAsia="黑体"/>
          <w:sz w:val="44"/>
          <w:szCs w:val="44"/>
        </w:rPr>
      </w:pPr>
    </w:p>
    <w:p w14:paraId="5E4EECC0">
      <w:pPr>
        <w:pStyle w:val="2"/>
        <w:spacing w:before="93"/>
        <w:rPr>
          <w:rFonts w:ascii="黑体" w:hAnsi="黑体" w:eastAsia="黑体"/>
          <w:sz w:val="44"/>
          <w:szCs w:val="44"/>
        </w:rPr>
      </w:pPr>
    </w:p>
    <w:tbl>
      <w:tblPr>
        <w:tblStyle w:val="12"/>
        <w:tblpPr w:leftFromText="180" w:rightFromText="180" w:vertAnchor="text" w:horzAnchor="margin" w:tblpXSpec="center" w:tblpY="87"/>
        <w:tblOverlap w:val="never"/>
        <w:tblW w:w="9990" w:type="dxa"/>
        <w:tblInd w:w="0" w:type="dxa"/>
        <w:tblLayout w:type="autofit"/>
        <w:tblCellMar>
          <w:top w:w="0" w:type="dxa"/>
          <w:left w:w="108" w:type="dxa"/>
          <w:bottom w:w="0" w:type="dxa"/>
          <w:right w:w="108" w:type="dxa"/>
        </w:tblCellMar>
      </w:tblPr>
      <w:tblGrid>
        <w:gridCol w:w="740"/>
        <w:gridCol w:w="734"/>
        <w:gridCol w:w="988"/>
        <w:gridCol w:w="1972"/>
        <w:gridCol w:w="1527"/>
        <w:gridCol w:w="1468"/>
        <w:gridCol w:w="1074"/>
        <w:gridCol w:w="1487"/>
      </w:tblGrid>
      <w:tr w14:paraId="49C1720C">
        <w:tblPrEx>
          <w:tblCellMar>
            <w:top w:w="0" w:type="dxa"/>
            <w:left w:w="108" w:type="dxa"/>
            <w:bottom w:w="0" w:type="dxa"/>
            <w:right w:w="108" w:type="dxa"/>
          </w:tblCellMar>
        </w:tblPrEx>
        <w:trPr>
          <w:trHeight w:val="285" w:hRule="atLeast"/>
        </w:trPr>
        <w:tc>
          <w:tcPr>
            <w:tcW w:w="9990" w:type="dxa"/>
            <w:gridSpan w:val="8"/>
            <w:tcBorders>
              <w:top w:val="nil"/>
              <w:left w:val="nil"/>
              <w:bottom w:val="nil"/>
              <w:right w:val="nil"/>
            </w:tcBorders>
            <w:shd w:val="clear" w:color="auto" w:fill="auto"/>
            <w:vAlign w:val="center"/>
          </w:tcPr>
          <w:p w14:paraId="66181160">
            <w:pPr>
              <w:widowControl/>
              <w:jc w:val="center"/>
              <w:rPr>
                <w:rFonts w:ascii="宋体" w:hAnsi="宋体" w:cs="宋体"/>
                <w:b/>
                <w:bCs/>
                <w:kern w:val="0"/>
                <w:sz w:val="44"/>
                <w:szCs w:val="44"/>
              </w:rPr>
            </w:pPr>
            <w:r>
              <w:rPr>
                <w:rFonts w:hint="eastAsia" w:ascii="宋体" w:hAnsi="宋体" w:cs="宋体"/>
                <w:b/>
                <w:bCs/>
                <w:kern w:val="0"/>
                <w:sz w:val="44"/>
                <w:szCs w:val="44"/>
              </w:rPr>
              <w:t>盐边县红宝苗族彝族乡中心学校</w:t>
            </w:r>
          </w:p>
          <w:p w14:paraId="182D86C3">
            <w:pPr>
              <w:widowControl/>
              <w:jc w:val="center"/>
              <w:rPr>
                <w:rFonts w:ascii="宋体" w:hAnsi="宋体" w:cs="宋体"/>
                <w:b/>
                <w:bCs/>
                <w:kern w:val="0"/>
                <w:sz w:val="44"/>
                <w:szCs w:val="44"/>
              </w:rPr>
            </w:pPr>
            <w:r>
              <w:rPr>
                <w:rFonts w:hint="eastAsia" w:ascii="宋体" w:hAnsi="宋体" w:cs="宋体"/>
                <w:b/>
                <w:bCs/>
                <w:kern w:val="0"/>
                <w:sz w:val="44"/>
                <w:szCs w:val="44"/>
              </w:rPr>
              <w:t>部门预算整体绩效自评表</w:t>
            </w:r>
          </w:p>
          <w:p w14:paraId="389BA249">
            <w:pPr>
              <w:widowControl/>
              <w:jc w:val="center"/>
              <w:rPr>
                <w:rFonts w:ascii="宋体" w:hAnsi="宋体" w:cs="宋体"/>
                <w:kern w:val="0"/>
                <w:sz w:val="24"/>
              </w:rPr>
            </w:pPr>
            <w:r>
              <w:rPr>
                <w:rFonts w:hint="eastAsia" w:ascii="宋体" w:hAnsi="宋体" w:cs="宋体"/>
                <w:kern w:val="0"/>
                <w:sz w:val="24"/>
              </w:rPr>
              <w:t>（</w:t>
            </w:r>
            <w:r>
              <w:rPr>
                <w:kern w:val="0"/>
                <w:sz w:val="24"/>
              </w:rPr>
              <w:t>2021</w:t>
            </w:r>
            <w:r>
              <w:rPr>
                <w:rFonts w:hint="eastAsia" w:ascii="宋体" w:hAnsi="宋体" w:cs="宋体"/>
                <w:kern w:val="0"/>
                <w:sz w:val="24"/>
              </w:rPr>
              <w:t>年度）</w:t>
            </w:r>
          </w:p>
        </w:tc>
      </w:tr>
      <w:tr w14:paraId="33CE89A2">
        <w:tblPrEx>
          <w:tblCellMar>
            <w:top w:w="0" w:type="dxa"/>
            <w:left w:w="108" w:type="dxa"/>
            <w:bottom w:w="0" w:type="dxa"/>
            <w:right w:w="108" w:type="dxa"/>
          </w:tblCellMar>
        </w:tblPrEx>
        <w:trPr>
          <w:trHeight w:val="285" w:hRule="atLeast"/>
        </w:trPr>
        <w:tc>
          <w:tcPr>
            <w:tcW w:w="740" w:type="dxa"/>
            <w:tcBorders>
              <w:top w:val="nil"/>
              <w:left w:val="nil"/>
              <w:bottom w:val="single" w:color="auto" w:sz="4" w:space="0"/>
              <w:right w:val="nil"/>
            </w:tcBorders>
            <w:shd w:val="clear" w:color="auto" w:fill="auto"/>
            <w:noWrap/>
            <w:vAlign w:val="center"/>
          </w:tcPr>
          <w:p w14:paraId="5E666E66">
            <w:pPr>
              <w:widowControl/>
              <w:jc w:val="left"/>
              <w:rPr>
                <w:rFonts w:ascii="宋体" w:hAnsi="宋体" w:cs="宋体"/>
                <w:kern w:val="0"/>
                <w:sz w:val="24"/>
              </w:rPr>
            </w:pPr>
            <w:r>
              <w:rPr>
                <w:rFonts w:hint="eastAsia" w:ascii="宋体" w:hAnsi="宋体" w:cs="宋体"/>
                <w:kern w:val="0"/>
                <w:sz w:val="24"/>
              </w:rPr>
              <w:t>　</w:t>
            </w:r>
          </w:p>
        </w:tc>
        <w:tc>
          <w:tcPr>
            <w:tcW w:w="734" w:type="dxa"/>
            <w:tcBorders>
              <w:top w:val="nil"/>
              <w:left w:val="nil"/>
              <w:bottom w:val="single" w:color="auto" w:sz="4" w:space="0"/>
              <w:right w:val="nil"/>
            </w:tcBorders>
            <w:shd w:val="clear" w:color="auto" w:fill="auto"/>
            <w:vAlign w:val="center"/>
          </w:tcPr>
          <w:p w14:paraId="62ACC399">
            <w:pPr>
              <w:widowControl/>
              <w:jc w:val="left"/>
              <w:rPr>
                <w:rFonts w:ascii="宋体" w:hAnsi="宋体" w:cs="宋体"/>
                <w:kern w:val="0"/>
                <w:sz w:val="24"/>
              </w:rPr>
            </w:pPr>
            <w:r>
              <w:rPr>
                <w:rFonts w:hint="eastAsia" w:ascii="宋体" w:hAnsi="宋体" w:cs="宋体"/>
                <w:kern w:val="0"/>
                <w:sz w:val="24"/>
              </w:rPr>
              <w:t>　</w:t>
            </w:r>
          </w:p>
        </w:tc>
        <w:tc>
          <w:tcPr>
            <w:tcW w:w="988" w:type="dxa"/>
            <w:tcBorders>
              <w:top w:val="nil"/>
              <w:left w:val="nil"/>
              <w:bottom w:val="nil"/>
              <w:right w:val="nil"/>
            </w:tcBorders>
            <w:shd w:val="clear" w:color="auto" w:fill="auto"/>
            <w:vAlign w:val="center"/>
          </w:tcPr>
          <w:p w14:paraId="5B17EBBF">
            <w:pPr>
              <w:widowControl/>
              <w:jc w:val="left"/>
              <w:rPr>
                <w:rFonts w:ascii="宋体" w:hAnsi="宋体" w:cs="宋体"/>
                <w:kern w:val="0"/>
                <w:sz w:val="24"/>
              </w:rPr>
            </w:pPr>
          </w:p>
        </w:tc>
        <w:tc>
          <w:tcPr>
            <w:tcW w:w="1972" w:type="dxa"/>
            <w:tcBorders>
              <w:top w:val="nil"/>
              <w:left w:val="nil"/>
              <w:bottom w:val="nil"/>
              <w:right w:val="nil"/>
            </w:tcBorders>
            <w:shd w:val="clear" w:color="auto" w:fill="auto"/>
            <w:vAlign w:val="center"/>
          </w:tcPr>
          <w:p w14:paraId="7B797800">
            <w:pPr>
              <w:widowControl/>
              <w:jc w:val="left"/>
              <w:rPr>
                <w:rFonts w:ascii="宋体" w:hAnsi="宋体" w:cs="宋体"/>
                <w:kern w:val="0"/>
                <w:sz w:val="24"/>
              </w:rPr>
            </w:pPr>
          </w:p>
        </w:tc>
        <w:tc>
          <w:tcPr>
            <w:tcW w:w="1527" w:type="dxa"/>
            <w:tcBorders>
              <w:top w:val="nil"/>
              <w:left w:val="nil"/>
              <w:bottom w:val="nil"/>
              <w:right w:val="nil"/>
            </w:tcBorders>
            <w:shd w:val="clear" w:color="auto" w:fill="auto"/>
            <w:vAlign w:val="center"/>
          </w:tcPr>
          <w:p w14:paraId="3F45935A">
            <w:pPr>
              <w:widowControl/>
              <w:jc w:val="left"/>
              <w:rPr>
                <w:rFonts w:ascii="宋体" w:hAnsi="宋体" w:cs="宋体"/>
                <w:kern w:val="0"/>
                <w:sz w:val="24"/>
              </w:rPr>
            </w:pPr>
          </w:p>
        </w:tc>
        <w:tc>
          <w:tcPr>
            <w:tcW w:w="1468" w:type="dxa"/>
            <w:tcBorders>
              <w:top w:val="nil"/>
              <w:left w:val="nil"/>
              <w:bottom w:val="nil"/>
              <w:right w:val="nil"/>
            </w:tcBorders>
            <w:shd w:val="clear" w:color="auto" w:fill="auto"/>
            <w:vAlign w:val="center"/>
          </w:tcPr>
          <w:p w14:paraId="5E3D5FA8">
            <w:pPr>
              <w:widowControl/>
              <w:jc w:val="left"/>
              <w:rPr>
                <w:rFonts w:ascii="宋体" w:hAnsi="宋体" w:cs="宋体"/>
                <w:kern w:val="0"/>
                <w:sz w:val="24"/>
              </w:rPr>
            </w:pPr>
          </w:p>
        </w:tc>
        <w:tc>
          <w:tcPr>
            <w:tcW w:w="1074" w:type="dxa"/>
            <w:tcBorders>
              <w:top w:val="nil"/>
              <w:left w:val="nil"/>
              <w:bottom w:val="nil"/>
              <w:right w:val="nil"/>
            </w:tcBorders>
            <w:shd w:val="clear" w:color="auto" w:fill="auto"/>
            <w:vAlign w:val="center"/>
          </w:tcPr>
          <w:p w14:paraId="4E2338A2">
            <w:pPr>
              <w:widowControl/>
              <w:jc w:val="left"/>
              <w:rPr>
                <w:rFonts w:ascii="宋体" w:hAnsi="宋体" w:cs="宋体"/>
                <w:kern w:val="0"/>
                <w:sz w:val="24"/>
              </w:rPr>
            </w:pPr>
          </w:p>
        </w:tc>
        <w:tc>
          <w:tcPr>
            <w:tcW w:w="1487" w:type="dxa"/>
            <w:tcBorders>
              <w:top w:val="nil"/>
              <w:left w:val="nil"/>
              <w:bottom w:val="nil"/>
              <w:right w:val="nil"/>
            </w:tcBorders>
            <w:shd w:val="clear" w:color="auto" w:fill="auto"/>
            <w:vAlign w:val="center"/>
          </w:tcPr>
          <w:p w14:paraId="76871AF4">
            <w:pPr>
              <w:widowControl/>
              <w:jc w:val="left"/>
              <w:rPr>
                <w:rFonts w:ascii="宋体" w:hAnsi="宋体" w:cs="宋体"/>
                <w:kern w:val="0"/>
                <w:sz w:val="24"/>
              </w:rPr>
            </w:pPr>
          </w:p>
        </w:tc>
      </w:tr>
      <w:tr w14:paraId="4805CEED">
        <w:tblPrEx>
          <w:tblCellMar>
            <w:top w:w="0" w:type="dxa"/>
            <w:left w:w="108" w:type="dxa"/>
            <w:bottom w:w="0" w:type="dxa"/>
            <w:right w:w="108" w:type="dxa"/>
          </w:tblCellMar>
        </w:tblPrEx>
        <w:trPr>
          <w:trHeight w:val="285" w:hRule="atLeast"/>
        </w:trPr>
        <w:tc>
          <w:tcPr>
            <w:tcW w:w="2462"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4EE1516">
            <w:pPr>
              <w:widowControl/>
              <w:jc w:val="center"/>
              <w:rPr>
                <w:rFonts w:ascii="宋体" w:hAnsi="宋体" w:cs="宋体"/>
                <w:kern w:val="0"/>
                <w:sz w:val="24"/>
              </w:rPr>
            </w:pPr>
            <w:r>
              <w:rPr>
                <w:rFonts w:hint="eastAsia" w:ascii="宋体" w:hAnsi="宋体" w:cs="宋体"/>
                <w:kern w:val="0"/>
                <w:sz w:val="24"/>
              </w:rPr>
              <w:t>单位名称</w:t>
            </w:r>
          </w:p>
        </w:tc>
        <w:tc>
          <w:tcPr>
            <w:tcW w:w="7528" w:type="dxa"/>
            <w:gridSpan w:val="5"/>
            <w:tcBorders>
              <w:top w:val="single" w:color="auto" w:sz="4" w:space="0"/>
              <w:left w:val="nil"/>
              <w:bottom w:val="single" w:color="auto" w:sz="4" w:space="0"/>
              <w:right w:val="single" w:color="000000" w:sz="4" w:space="0"/>
            </w:tcBorders>
            <w:shd w:val="clear" w:color="auto" w:fill="auto"/>
            <w:vAlign w:val="center"/>
          </w:tcPr>
          <w:p w14:paraId="70118B2E">
            <w:pPr>
              <w:widowControl/>
              <w:jc w:val="center"/>
              <w:rPr>
                <w:rFonts w:ascii="宋体" w:hAnsi="宋体" w:cs="宋体"/>
                <w:kern w:val="0"/>
                <w:sz w:val="24"/>
              </w:rPr>
            </w:pPr>
            <w:r>
              <w:rPr>
                <w:rFonts w:hint="eastAsia" w:ascii="宋体" w:hAnsi="宋体" w:cs="宋体"/>
                <w:kern w:val="0"/>
                <w:sz w:val="24"/>
              </w:rPr>
              <w:t>盐边县红宝苗族彝族乡中心学校</w:t>
            </w:r>
          </w:p>
        </w:tc>
      </w:tr>
      <w:tr w14:paraId="3D177D11">
        <w:tblPrEx>
          <w:tblCellMar>
            <w:top w:w="0" w:type="dxa"/>
            <w:left w:w="108" w:type="dxa"/>
            <w:bottom w:w="0" w:type="dxa"/>
            <w:right w:w="108" w:type="dxa"/>
          </w:tblCellMar>
        </w:tblPrEx>
        <w:trPr>
          <w:trHeight w:val="285" w:hRule="atLeast"/>
        </w:trPr>
        <w:tc>
          <w:tcPr>
            <w:tcW w:w="246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CC6B01">
            <w:pPr>
              <w:widowControl/>
              <w:jc w:val="center"/>
              <w:rPr>
                <w:rFonts w:ascii="宋体" w:hAnsi="宋体" w:cs="宋体"/>
                <w:kern w:val="0"/>
                <w:sz w:val="24"/>
              </w:rPr>
            </w:pPr>
            <w:r>
              <w:rPr>
                <w:rFonts w:hint="eastAsia" w:ascii="宋体" w:hAnsi="宋体" w:cs="宋体"/>
                <w:kern w:val="0"/>
                <w:sz w:val="24"/>
              </w:rPr>
              <w:t>项目资金</w:t>
            </w:r>
          </w:p>
          <w:p w14:paraId="485DCBEC">
            <w:pPr>
              <w:widowControl/>
              <w:jc w:val="center"/>
              <w:rPr>
                <w:rFonts w:ascii="宋体" w:hAnsi="宋体" w:cs="宋体"/>
                <w:kern w:val="0"/>
                <w:sz w:val="24"/>
              </w:rPr>
            </w:pPr>
            <w:r>
              <w:rPr>
                <w:rFonts w:hint="eastAsia" w:ascii="宋体" w:hAnsi="宋体" w:cs="宋体"/>
                <w:kern w:val="0"/>
                <w:sz w:val="24"/>
              </w:rPr>
              <w:t>（万元）</w:t>
            </w:r>
          </w:p>
        </w:tc>
        <w:tc>
          <w:tcPr>
            <w:tcW w:w="1972" w:type="dxa"/>
            <w:tcBorders>
              <w:top w:val="nil"/>
              <w:left w:val="nil"/>
              <w:bottom w:val="single" w:color="auto" w:sz="4" w:space="0"/>
              <w:right w:val="single" w:color="auto" w:sz="4" w:space="0"/>
            </w:tcBorders>
            <w:shd w:val="clear" w:color="auto" w:fill="auto"/>
            <w:vAlign w:val="center"/>
          </w:tcPr>
          <w:p w14:paraId="788BB1A5">
            <w:pPr>
              <w:widowControl/>
              <w:jc w:val="center"/>
              <w:rPr>
                <w:rFonts w:ascii="宋体" w:hAnsi="宋体" w:cs="宋体"/>
                <w:kern w:val="0"/>
                <w:sz w:val="24"/>
              </w:rPr>
            </w:pPr>
            <w:r>
              <w:rPr>
                <w:rFonts w:hint="eastAsia" w:ascii="宋体" w:hAnsi="宋体" w:cs="宋体"/>
                <w:kern w:val="0"/>
                <w:sz w:val="24"/>
              </w:rPr>
              <w:t>　</w:t>
            </w:r>
          </w:p>
        </w:tc>
        <w:tc>
          <w:tcPr>
            <w:tcW w:w="1527" w:type="dxa"/>
            <w:tcBorders>
              <w:top w:val="nil"/>
              <w:left w:val="nil"/>
              <w:bottom w:val="single" w:color="auto" w:sz="4" w:space="0"/>
              <w:right w:val="single" w:color="auto" w:sz="4" w:space="0"/>
            </w:tcBorders>
            <w:shd w:val="clear" w:color="auto" w:fill="auto"/>
            <w:vAlign w:val="center"/>
          </w:tcPr>
          <w:p w14:paraId="6BF1E4F4">
            <w:pPr>
              <w:widowControl/>
              <w:jc w:val="center"/>
              <w:rPr>
                <w:rFonts w:ascii="宋体" w:hAnsi="宋体" w:cs="宋体"/>
                <w:kern w:val="0"/>
                <w:sz w:val="24"/>
              </w:rPr>
            </w:pPr>
            <w:r>
              <w:rPr>
                <w:rFonts w:hint="eastAsia" w:ascii="宋体" w:hAnsi="宋体" w:cs="宋体"/>
                <w:kern w:val="0"/>
                <w:sz w:val="24"/>
              </w:rPr>
              <w:t>全年预算数</w:t>
            </w:r>
          </w:p>
        </w:tc>
        <w:tc>
          <w:tcPr>
            <w:tcW w:w="1468" w:type="dxa"/>
            <w:tcBorders>
              <w:top w:val="nil"/>
              <w:left w:val="nil"/>
              <w:bottom w:val="single" w:color="auto" w:sz="4" w:space="0"/>
              <w:right w:val="single" w:color="auto" w:sz="4" w:space="0"/>
            </w:tcBorders>
            <w:shd w:val="clear" w:color="auto" w:fill="auto"/>
            <w:vAlign w:val="center"/>
          </w:tcPr>
          <w:p w14:paraId="6F687DA2">
            <w:pPr>
              <w:widowControl/>
              <w:jc w:val="center"/>
              <w:rPr>
                <w:rFonts w:ascii="宋体" w:hAnsi="宋体" w:cs="宋体"/>
                <w:kern w:val="0"/>
                <w:sz w:val="24"/>
              </w:rPr>
            </w:pPr>
            <w:r>
              <w:rPr>
                <w:rFonts w:hint="eastAsia" w:ascii="宋体" w:hAnsi="宋体" w:cs="宋体"/>
                <w:kern w:val="0"/>
                <w:sz w:val="24"/>
              </w:rPr>
              <w:t>实际完成数</w:t>
            </w:r>
          </w:p>
        </w:tc>
        <w:tc>
          <w:tcPr>
            <w:tcW w:w="2561" w:type="dxa"/>
            <w:gridSpan w:val="2"/>
            <w:tcBorders>
              <w:top w:val="single" w:color="auto" w:sz="4" w:space="0"/>
              <w:left w:val="nil"/>
              <w:bottom w:val="single" w:color="auto" w:sz="4" w:space="0"/>
              <w:right w:val="single" w:color="000000" w:sz="4" w:space="0"/>
            </w:tcBorders>
            <w:shd w:val="clear" w:color="auto" w:fill="auto"/>
            <w:vAlign w:val="center"/>
          </w:tcPr>
          <w:p w14:paraId="784AA24C">
            <w:pPr>
              <w:widowControl/>
              <w:jc w:val="center"/>
              <w:rPr>
                <w:rFonts w:ascii="宋体" w:hAnsi="宋体" w:cs="宋体"/>
                <w:kern w:val="0"/>
                <w:sz w:val="24"/>
              </w:rPr>
            </w:pPr>
            <w:r>
              <w:rPr>
                <w:rFonts w:hint="eastAsia" w:ascii="宋体" w:hAnsi="宋体" w:cs="宋体"/>
                <w:kern w:val="0"/>
                <w:sz w:val="24"/>
              </w:rPr>
              <w:t>执行率（%）</w:t>
            </w:r>
          </w:p>
        </w:tc>
      </w:tr>
      <w:tr w14:paraId="355B26B5">
        <w:tblPrEx>
          <w:tblCellMar>
            <w:top w:w="0" w:type="dxa"/>
            <w:left w:w="108" w:type="dxa"/>
            <w:bottom w:w="0" w:type="dxa"/>
            <w:right w:w="108" w:type="dxa"/>
          </w:tblCellMar>
        </w:tblPrEx>
        <w:trPr>
          <w:trHeight w:val="285" w:hRule="atLeast"/>
        </w:trPr>
        <w:tc>
          <w:tcPr>
            <w:tcW w:w="2462" w:type="dxa"/>
            <w:gridSpan w:val="3"/>
            <w:vMerge w:val="continue"/>
            <w:tcBorders>
              <w:top w:val="single" w:color="auto" w:sz="4" w:space="0"/>
              <w:left w:val="single" w:color="auto" w:sz="4" w:space="0"/>
              <w:bottom w:val="single" w:color="auto" w:sz="4" w:space="0"/>
              <w:right w:val="single" w:color="auto" w:sz="4" w:space="0"/>
            </w:tcBorders>
            <w:vAlign w:val="center"/>
          </w:tcPr>
          <w:p w14:paraId="76CA205B">
            <w:pPr>
              <w:widowControl/>
              <w:jc w:val="left"/>
              <w:rPr>
                <w:rFonts w:ascii="宋体" w:hAnsi="宋体" w:cs="宋体"/>
                <w:kern w:val="0"/>
                <w:sz w:val="24"/>
              </w:rPr>
            </w:pPr>
          </w:p>
        </w:tc>
        <w:tc>
          <w:tcPr>
            <w:tcW w:w="1972" w:type="dxa"/>
            <w:tcBorders>
              <w:top w:val="nil"/>
              <w:left w:val="nil"/>
              <w:bottom w:val="single" w:color="auto" w:sz="4" w:space="0"/>
              <w:right w:val="single" w:color="auto" w:sz="4" w:space="0"/>
            </w:tcBorders>
            <w:shd w:val="clear" w:color="auto" w:fill="auto"/>
            <w:vAlign w:val="center"/>
          </w:tcPr>
          <w:p w14:paraId="79F0BE2C">
            <w:pPr>
              <w:widowControl/>
              <w:jc w:val="left"/>
              <w:rPr>
                <w:rFonts w:ascii="宋体" w:hAnsi="宋体" w:cs="宋体"/>
                <w:kern w:val="0"/>
                <w:sz w:val="24"/>
              </w:rPr>
            </w:pPr>
            <w:r>
              <w:rPr>
                <w:rFonts w:hint="eastAsia" w:ascii="宋体" w:hAnsi="宋体" w:cs="宋体"/>
                <w:kern w:val="0"/>
                <w:sz w:val="24"/>
              </w:rPr>
              <w:t xml:space="preserve"> 年度资金总额：</w:t>
            </w:r>
          </w:p>
        </w:tc>
        <w:tc>
          <w:tcPr>
            <w:tcW w:w="1527" w:type="dxa"/>
            <w:tcBorders>
              <w:top w:val="nil"/>
              <w:left w:val="nil"/>
              <w:bottom w:val="single" w:color="auto" w:sz="4" w:space="0"/>
              <w:right w:val="single" w:color="auto" w:sz="4" w:space="0"/>
            </w:tcBorders>
            <w:shd w:val="clear" w:color="auto" w:fill="auto"/>
            <w:vAlign w:val="center"/>
          </w:tcPr>
          <w:p w14:paraId="7C330980">
            <w:pPr>
              <w:widowControl/>
              <w:jc w:val="center"/>
              <w:rPr>
                <w:rFonts w:ascii="宋体" w:hAnsi="宋体" w:cs="宋体"/>
                <w:kern w:val="0"/>
                <w:sz w:val="24"/>
              </w:rPr>
            </w:pPr>
            <w:r>
              <w:rPr>
                <w:rFonts w:hint="eastAsia" w:ascii="宋体" w:hAnsi="宋体" w:cs="宋体"/>
                <w:kern w:val="0"/>
                <w:sz w:val="24"/>
              </w:rPr>
              <w:t>232.64</w:t>
            </w:r>
          </w:p>
        </w:tc>
        <w:tc>
          <w:tcPr>
            <w:tcW w:w="1468" w:type="dxa"/>
            <w:tcBorders>
              <w:top w:val="nil"/>
              <w:left w:val="nil"/>
              <w:bottom w:val="single" w:color="auto" w:sz="4" w:space="0"/>
              <w:right w:val="single" w:color="auto" w:sz="4" w:space="0"/>
            </w:tcBorders>
            <w:shd w:val="clear" w:color="auto" w:fill="auto"/>
            <w:vAlign w:val="center"/>
          </w:tcPr>
          <w:p w14:paraId="1D2A15FF">
            <w:pPr>
              <w:widowControl/>
              <w:jc w:val="center"/>
              <w:rPr>
                <w:rFonts w:ascii="宋体" w:hAnsi="宋体" w:cs="宋体"/>
                <w:kern w:val="0"/>
                <w:sz w:val="24"/>
              </w:rPr>
            </w:pPr>
            <w:r>
              <w:rPr>
                <w:rFonts w:hint="eastAsia" w:ascii="宋体" w:hAnsi="宋体" w:cs="宋体"/>
                <w:kern w:val="0"/>
                <w:sz w:val="24"/>
              </w:rPr>
              <w:t>232.64</w:t>
            </w:r>
          </w:p>
        </w:tc>
        <w:tc>
          <w:tcPr>
            <w:tcW w:w="2561" w:type="dxa"/>
            <w:gridSpan w:val="2"/>
            <w:tcBorders>
              <w:top w:val="single" w:color="auto" w:sz="4" w:space="0"/>
              <w:left w:val="nil"/>
              <w:bottom w:val="single" w:color="auto" w:sz="4" w:space="0"/>
              <w:right w:val="single" w:color="000000" w:sz="4" w:space="0"/>
            </w:tcBorders>
            <w:shd w:val="clear" w:color="auto" w:fill="auto"/>
            <w:vAlign w:val="center"/>
          </w:tcPr>
          <w:p w14:paraId="664FBD34">
            <w:pPr>
              <w:widowControl/>
              <w:jc w:val="center"/>
              <w:rPr>
                <w:rFonts w:ascii="宋体" w:hAnsi="宋体" w:cs="宋体"/>
                <w:kern w:val="0"/>
                <w:sz w:val="24"/>
              </w:rPr>
            </w:pPr>
            <w:r>
              <w:rPr>
                <w:rFonts w:hint="eastAsia" w:ascii="宋体" w:hAnsi="宋体" w:cs="宋体"/>
                <w:kern w:val="0"/>
                <w:sz w:val="24"/>
              </w:rPr>
              <w:t>100%</w:t>
            </w:r>
          </w:p>
        </w:tc>
      </w:tr>
      <w:tr w14:paraId="5ADD81FE">
        <w:tblPrEx>
          <w:tblCellMar>
            <w:top w:w="0" w:type="dxa"/>
            <w:left w:w="108" w:type="dxa"/>
            <w:bottom w:w="0" w:type="dxa"/>
            <w:right w:w="108" w:type="dxa"/>
          </w:tblCellMar>
        </w:tblPrEx>
        <w:trPr>
          <w:trHeight w:val="285" w:hRule="atLeast"/>
        </w:trPr>
        <w:tc>
          <w:tcPr>
            <w:tcW w:w="2462" w:type="dxa"/>
            <w:gridSpan w:val="3"/>
            <w:vMerge w:val="continue"/>
            <w:tcBorders>
              <w:top w:val="single" w:color="auto" w:sz="4" w:space="0"/>
              <w:left w:val="single" w:color="auto" w:sz="4" w:space="0"/>
              <w:bottom w:val="single" w:color="auto" w:sz="4" w:space="0"/>
              <w:right w:val="single" w:color="auto" w:sz="4" w:space="0"/>
            </w:tcBorders>
            <w:vAlign w:val="center"/>
          </w:tcPr>
          <w:p w14:paraId="4DE2E33B">
            <w:pPr>
              <w:widowControl/>
              <w:jc w:val="left"/>
              <w:rPr>
                <w:rFonts w:ascii="宋体" w:hAnsi="宋体" w:cs="宋体"/>
                <w:kern w:val="0"/>
                <w:sz w:val="24"/>
              </w:rPr>
            </w:pPr>
          </w:p>
        </w:tc>
        <w:tc>
          <w:tcPr>
            <w:tcW w:w="1972" w:type="dxa"/>
            <w:tcBorders>
              <w:top w:val="nil"/>
              <w:left w:val="nil"/>
              <w:bottom w:val="single" w:color="auto" w:sz="4" w:space="0"/>
              <w:right w:val="single" w:color="auto" w:sz="4" w:space="0"/>
            </w:tcBorders>
            <w:shd w:val="clear" w:color="auto" w:fill="auto"/>
            <w:vAlign w:val="center"/>
          </w:tcPr>
          <w:p w14:paraId="720CB7BC">
            <w:pPr>
              <w:widowControl/>
              <w:jc w:val="left"/>
              <w:rPr>
                <w:rFonts w:ascii="宋体" w:hAnsi="宋体" w:cs="宋体"/>
                <w:kern w:val="0"/>
                <w:sz w:val="24"/>
              </w:rPr>
            </w:pPr>
            <w:r>
              <w:rPr>
                <w:rFonts w:hint="eastAsia" w:ascii="宋体" w:hAnsi="宋体" w:cs="宋体"/>
                <w:kern w:val="0"/>
                <w:sz w:val="24"/>
              </w:rPr>
              <w:t xml:space="preserve"> 其中：财政拨款</w:t>
            </w:r>
          </w:p>
        </w:tc>
        <w:tc>
          <w:tcPr>
            <w:tcW w:w="1527" w:type="dxa"/>
            <w:tcBorders>
              <w:top w:val="nil"/>
              <w:left w:val="nil"/>
              <w:bottom w:val="single" w:color="auto" w:sz="4" w:space="0"/>
              <w:right w:val="single" w:color="auto" w:sz="4" w:space="0"/>
            </w:tcBorders>
            <w:shd w:val="clear" w:color="auto" w:fill="auto"/>
            <w:vAlign w:val="center"/>
          </w:tcPr>
          <w:p w14:paraId="4B9AC147">
            <w:pPr>
              <w:widowControl/>
              <w:jc w:val="center"/>
              <w:rPr>
                <w:rFonts w:ascii="宋体" w:hAnsi="宋体" w:cs="宋体"/>
                <w:kern w:val="0"/>
                <w:sz w:val="24"/>
              </w:rPr>
            </w:pPr>
            <w:r>
              <w:rPr>
                <w:rFonts w:hint="eastAsia" w:ascii="宋体" w:hAnsi="宋体" w:cs="宋体"/>
                <w:kern w:val="0"/>
                <w:sz w:val="24"/>
              </w:rPr>
              <w:t>232.64</w:t>
            </w:r>
          </w:p>
        </w:tc>
        <w:tc>
          <w:tcPr>
            <w:tcW w:w="1468" w:type="dxa"/>
            <w:tcBorders>
              <w:top w:val="nil"/>
              <w:left w:val="nil"/>
              <w:bottom w:val="single" w:color="auto" w:sz="4" w:space="0"/>
              <w:right w:val="single" w:color="auto" w:sz="4" w:space="0"/>
            </w:tcBorders>
            <w:shd w:val="clear" w:color="auto" w:fill="auto"/>
            <w:vAlign w:val="center"/>
          </w:tcPr>
          <w:p w14:paraId="46C3794C">
            <w:pPr>
              <w:widowControl/>
              <w:jc w:val="center"/>
              <w:rPr>
                <w:rFonts w:ascii="宋体" w:hAnsi="宋体" w:cs="宋体"/>
                <w:kern w:val="0"/>
                <w:sz w:val="24"/>
              </w:rPr>
            </w:pPr>
            <w:r>
              <w:rPr>
                <w:rFonts w:hint="eastAsia" w:ascii="宋体" w:hAnsi="宋体" w:cs="宋体"/>
                <w:kern w:val="0"/>
                <w:sz w:val="24"/>
              </w:rPr>
              <w:t>232.64</w:t>
            </w:r>
          </w:p>
        </w:tc>
        <w:tc>
          <w:tcPr>
            <w:tcW w:w="2561" w:type="dxa"/>
            <w:gridSpan w:val="2"/>
            <w:tcBorders>
              <w:top w:val="single" w:color="auto" w:sz="4" w:space="0"/>
              <w:left w:val="nil"/>
              <w:bottom w:val="single" w:color="auto" w:sz="4" w:space="0"/>
              <w:right w:val="single" w:color="000000" w:sz="4" w:space="0"/>
            </w:tcBorders>
            <w:shd w:val="clear" w:color="auto" w:fill="auto"/>
            <w:vAlign w:val="center"/>
          </w:tcPr>
          <w:p w14:paraId="66E98F8C">
            <w:pPr>
              <w:widowControl/>
              <w:jc w:val="center"/>
              <w:rPr>
                <w:rFonts w:ascii="宋体" w:hAnsi="宋体" w:cs="宋体"/>
                <w:kern w:val="0"/>
                <w:sz w:val="24"/>
              </w:rPr>
            </w:pPr>
            <w:r>
              <w:rPr>
                <w:rFonts w:hint="eastAsia" w:ascii="宋体" w:hAnsi="宋体" w:cs="宋体"/>
                <w:kern w:val="0"/>
                <w:sz w:val="24"/>
              </w:rPr>
              <w:t>100%</w:t>
            </w:r>
          </w:p>
        </w:tc>
      </w:tr>
      <w:tr w14:paraId="3FC57699">
        <w:tblPrEx>
          <w:tblCellMar>
            <w:top w:w="0" w:type="dxa"/>
            <w:left w:w="108" w:type="dxa"/>
            <w:bottom w:w="0" w:type="dxa"/>
            <w:right w:w="108" w:type="dxa"/>
          </w:tblCellMar>
        </w:tblPrEx>
        <w:trPr>
          <w:trHeight w:val="285" w:hRule="atLeast"/>
        </w:trPr>
        <w:tc>
          <w:tcPr>
            <w:tcW w:w="2462" w:type="dxa"/>
            <w:gridSpan w:val="3"/>
            <w:vMerge w:val="continue"/>
            <w:tcBorders>
              <w:top w:val="single" w:color="auto" w:sz="4" w:space="0"/>
              <w:left w:val="single" w:color="auto" w:sz="4" w:space="0"/>
              <w:bottom w:val="single" w:color="auto" w:sz="4" w:space="0"/>
              <w:right w:val="single" w:color="auto" w:sz="4" w:space="0"/>
            </w:tcBorders>
            <w:vAlign w:val="center"/>
          </w:tcPr>
          <w:p w14:paraId="67FDE747">
            <w:pPr>
              <w:widowControl/>
              <w:jc w:val="left"/>
              <w:rPr>
                <w:rFonts w:ascii="宋体" w:hAnsi="宋体" w:cs="宋体"/>
                <w:kern w:val="0"/>
                <w:sz w:val="24"/>
              </w:rPr>
            </w:pPr>
          </w:p>
        </w:tc>
        <w:tc>
          <w:tcPr>
            <w:tcW w:w="1972" w:type="dxa"/>
            <w:tcBorders>
              <w:top w:val="nil"/>
              <w:left w:val="nil"/>
              <w:bottom w:val="single" w:color="auto" w:sz="4" w:space="0"/>
              <w:right w:val="single" w:color="auto" w:sz="4" w:space="0"/>
            </w:tcBorders>
            <w:shd w:val="clear" w:color="auto" w:fill="auto"/>
            <w:vAlign w:val="center"/>
          </w:tcPr>
          <w:p w14:paraId="63DE094B">
            <w:pPr>
              <w:widowControl/>
              <w:jc w:val="left"/>
              <w:rPr>
                <w:rFonts w:ascii="宋体" w:hAnsi="宋体" w:cs="宋体"/>
                <w:kern w:val="0"/>
                <w:sz w:val="24"/>
              </w:rPr>
            </w:pPr>
            <w:r>
              <w:rPr>
                <w:rFonts w:hint="eastAsia" w:ascii="宋体" w:hAnsi="宋体" w:cs="宋体"/>
                <w:kern w:val="0"/>
                <w:sz w:val="24"/>
              </w:rPr>
              <w:t xml:space="preserve">             其他资金</w:t>
            </w:r>
          </w:p>
        </w:tc>
        <w:tc>
          <w:tcPr>
            <w:tcW w:w="1527" w:type="dxa"/>
            <w:tcBorders>
              <w:top w:val="nil"/>
              <w:left w:val="nil"/>
              <w:bottom w:val="single" w:color="auto" w:sz="4" w:space="0"/>
              <w:right w:val="single" w:color="auto" w:sz="4" w:space="0"/>
            </w:tcBorders>
            <w:shd w:val="clear" w:color="auto" w:fill="auto"/>
            <w:vAlign w:val="center"/>
          </w:tcPr>
          <w:p w14:paraId="461D3B41">
            <w:pPr>
              <w:widowControl/>
              <w:jc w:val="left"/>
              <w:rPr>
                <w:rFonts w:ascii="宋体" w:hAnsi="宋体" w:cs="宋体"/>
                <w:kern w:val="0"/>
                <w:sz w:val="24"/>
              </w:rPr>
            </w:pPr>
            <w:r>
              <w:rPr>
                <w:rFonts w:hint="eastAsia" w:ascii="宋体" w:hAnsi="宋体" w:cs="宋体"/>
                <w:kern w:val="0"/>
                <w:sz w:val="24"/>
              </w:rPr>
              <w:t>　</w:t>
            </w:r>
          </w:p>
        </w:tc>
        <w:tc>
          <w:tcPr>
            <w:tcW w:w="1468" w:type="dxa"/>
            <w:tcBorders>
              <w:top w:val="nil"/>
              <w:left w:val="nil"/>
              <w:bottom w:val="single" w:color="auto" w:sz="4" w:space="0"/>
              <w:right w:val="single" w:color="auto" w:sz="4" w:space="0"/>
            </w:tcBorders>
            <w:shd w:val="clear" w:color="auto" w:fill="auto"/>
            <w:vAlign w:val="center"/>
          </w:tcPr>
          <w:p w14:paraId="30DD8379">
            <w:pPr>
              <w:widowControl/>
              <w:jc w:val="left"/>
              <w:rPr>
                <w:rFonts w:ascii="宋体" w:hAnsi="宋体" w:cs="宋体"/>
                <w:kern w:val="0"/>
                <w:sz w:val="24"/>
              </w:rPr>
            </w:pPr>
            <w:r>
              <w:rPr>
                <w:rFonts w:hint="eastAsia" w:ascii="宋体" w:hAnsi="宋体" w:cs="宋体"/>
                <w:kern w:val="0"/>
                <w:sz w:val="24"/>
              </w:rPr>
              <w:t>　</w:t>
            </w:r>
          </w:p>
        </w:tc>
        <w:tc>
          <w:tcPr>
            <w:tcW w:w="2561" w:type="dxa"/>
            <w:gridSpan w:val="2"/>
            <w:tcBorders>
              <w:top w:val="single" w:color="auto" w:sz="4" w:space="0"/>
              <w:left w:val="nil"/>
              <w:bottom w:val="single" w:color="auto" w:sz="4" w:space="0"/>
              <w:right w:val="single" w:color="000000" w:sz="4" w:space="0"/>
            </w:tcBorders>
            <w:shd w:val="clear" w:color="auto" w:fill="auto"/>
            <w:vAlign w:val="center"/>
          </w:tcPr>
          <w:p w14:paraId="463B1FCC">
            <w:pPr>
              <w:widowControl/>
              <w:jc w:val="center"/>
              <w:rPr>
                <w:rFonts w:ascii="宋体" w:hAnsi="宋体" w:cs="宋体"/>
                <w:kern w:val="0"/>
                <w:sz w:val="24"/>
              </w:rPr>
            </w:pPr>
            <w:r>
              <w:rPr>
                <w:rFonts w:hint="eastAsia" w:ascii="宋体" w:hAnsi="宋体" w:cs="宋体"/>
                <w:kern w:val="0"/>
                <w:sz w:val="24"/>
              </w:rPr>
              <w:t>　</w:t>
            </w:r>
          </w:p>
        </w:tc>
      </w:tr>
      <w:tr w14:paraId="3CBA13F2">
        <w:tblPrEx>
          <w:tblCellMar>
            <w:top w:w="0" w:type="dxa"/>
            <w:left w:w="108" w:type="dxa"/>
            <w:bottom w:w="0" w:type="dxa"/>
            <w:right w:w="108" w:type="dxa"/>
          </w:tblCellMar>
        </w:tblPrEx>
        <w:trPr>
          <w:trHeight w:val="465"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94E66B4">
            <w:pPr>
              <w:widowControl/>
              <w:jc w:val="center"/>
              <w:rPr>
                <w:rFonts w:ascii="宋体" w:hAnsi="宋体" w:cs="宋体"/>
                <w:kern w:val="0"/>
                <w:sz w:val="24"/>
              </w:rPr>
            </w:pPr>
            <w:r>
              <w:rPr>
                <w:rFonts w:hint="eastAsia" w:ascii="宋体" w:hAnsi="宋体" w:cs="宋体"/>
                <w:kern w:val="0"/>
                <w:sz w:val="24"/>
              </w:rPr>
              <w:t>总</w:t>
            </w:r>
          </w:p>
          <w:p w14:paraId="088D7389">
            <w:pPr>
              <w:widowControl/>
              <w:jc w:val="center"/>
              <w:rPr>
                <w:rFonts w:ascii="宋体" w:hAnsi="宋体" w:cs="宋体"/>
                <w:kern w:val="0"/>
                <w:sz w:val="24"/>
              </w:rPr>
            </w:pPr>
            <w:r>
              <w:rPr>
                <w:rFonts w:hint="eastAsia" w:ascii="宋体" w:hAnsi="宋体" w:cs="宋体"/>
                <w:kern w:val="0"/>
                <w:sz w:val="24"/>
              </w:rPr>
              <w:t>体</w:t>
            </w:r>
          </w:p>
          <w:p w14:paraId="2169E1BE">
            <w:pPr>
              <w:widowControl/>
              <w:jc w:val="center"/>
              <w:rPr>
                <w:rFonts w:ascii="宋体" w:hAnsi="宋体" w:cs="宋体"/>
                <w:kern w:val="0"/>
                <w:sz w:val="24"/>
              </w:rPr>
            </w:pPr>
            <w:r>
              <w:rPr>
                <w:rFonts w:hint="eastAsia" w:ascii="宋体" w:hAnsi="宋体" w:cs="宋体"/>
                <w:kern w:val="0"/>
                <w:sz w:val="24"/>
              </w:rPr>
              <w:t>目</w:t>
            </w:r>
          </w:p>
          <w:p w14:paraId="6E91193E">
            <w:pPr>
              <w:widowControl/>
              <w:jc w:val="center"/>
              <w:rPr>
                <w:rFonts w:ascii="宋体" w:hAnsi="宋体" w:cs="宋体"/>
                <w:kern w:val="0"/>
                <w:sz w:val="24"/>
              </w:rPr>
            </w:pPr>
            <w:r>
              <w:rPr>
                <w:rFonts w:hint="eastAsia" w:ascii="宋体" w:hAnsi="宋体" w:cs="宋体"/>
                <w:kern w:val="0"/>
                <w:sz w:val="24"/>
              </w:rPr>
              <w:t>标</w:t>
            </w:r>
          </w:p>
        </w:tc>
        <w:tc>
          <w:tcPr>
            <w:tcW w:w="3694" w:type="dxa"/>
            <w:gridSpan w:val="3"/>
            <w:tcBorders>
              <w:top w:val="single" w:color="auto" w:sz="4" w:space="0"/>
              <w:left w:val="nil"/>
              <w:bottom w:val="single" w:color="auto" w:sz="4" w:space="0"/>
              <w:right w:val="single" w:color="auto" w:sz="4" w:space="0"/>
            </w:tcBorders>
            <w:shd w:val="clear" w:color="auto" w:fill="auto"/>
            <w:vAlign w:val="center"/>
          </w:tcPr>
          <w:p w14:paraId="60FA9C2F">
            <w:pPr>
              <w:widowControl/>
              <w:jc w:val="center"/>
              <w:rPr>
                <w:rFonts w:ascii="宋体" w:hAnsi="宋体" w:cs="宋体"/>
                <w:kern w:val="0"/>
                <w:sz w:val="24"/>
              </w:rPr>
            </w:pPr>
            <w:r>
              <w:rPr>
                <w:rFonts w:hint="eastAsia" w:ascii="宋体" w:hAnsi="宋体" w:cs="宋体"/>
                <w:kern w:val="0"/>
                <w:sz w:val="24"/>
              </w:rPr>
              <w:t>年度设定目标</w:t>
            </w:r>
          </w:p>
        </w:tc>
        <w:tc>
          <w:tcPr>
            <w:tcW w:w="5556" w:type="dxa"/>
            <w:gridSpan w:val="4"/>
            <w:tcBorders>
              <w:top w:val="single" w:color="auto" w:sz="4" w:space="0"/>
              <w:left w:val="nil"/>
              <w:bottom w:val="single" w:color="auto" w:sz="4" w:space="0"/>
              <w:right w:val="single" w:color="auto" w:sz="4" w:space="0"/>
            </w:tcBorders>
            <w:shd w:val="clear" w:color="auto" w:fill="auto"/>
            <w:vAlign w:val="center"/>
          </w:tcPr>
          <w:p w14:paraId="2CEB9721">
            <w:pPr>
              <w:widowControl/>
              <w:jc w:val="center"/>
              <w:rPr>
                <w:rFonts w:ascii="宋体" w:hAnsi="宋体" w:cs="宋体"/>
                <w:kern w:val="0"/>
                <w:sz w:val="24"/>
              </w:rPr>
            </w:pPr>
            <w:r>
              <w:rPr>
                <w:rFonts w:hint="eastAsia" w:ascii="宋体" w:hAnsi="宋体" w:cs="宋体"/>
                <w:kern w:val="0"/>
                <w:sz w:val="24"/>
              </w:rPr>
              <w:t>实际完成情况</w:t>
            </w:r>
          </w:p>
        </w:tc>
      </w:tr>
      <w:tr w14:paraId="0F898937">
        <w:tblPrEx>
          <w:tblCellMar>
            <w:top w:w="0" w:type="dxa"/>
            <w:left w:w="108" w:type="dxa"/>
            <w:bottom w:w="0" w:type="dxa"/>
            <w:right w:w="108" w:type="dxa"/>
          </w:tblCellMar>
        </w:tblPrEx>
        <w:trPr>
          <w:trHeight w:val="90" w:hRule="atLeast"/>
        </w:trPr>
        <w:tc>
          <w:tcPr>
            <w:tcW w:w="740" w:type="dxa"/>
            <w:vMerge w:val="continue"/>
            <w:tcBorders>
              <w:top w:val="nil"/>
              <w:left w:val="single" w:color="auto" w:sz="4" w:space="0"/>
              <w:bottom w:val="single" w:color="auto" w:sz="4" w:space="0"/>
              <w:right w:val="single" w:color="auto" w:sz="4" w:space="0"/>
            </w:tcBorders>
            <w:vAlign w:val="center"/>
          </w:tcPr>
          <w:p w14:paraId="62336265">
            <w:pPr>
              <w:widowControl/>
              <w:jc w:val="left"/>
              <w:rPr>
                <w:rFonts w:ascii="宋体" w:hAnsi="宋体" w:cs="宋体"/>
                <w:kern w:val="0"/>
                <w:sz w:val="24"/>
              </w:rPr>
            </w:pPr>
          </w:p>
        </w:tc>
        <w:tc>
          <w:tcPr>
            <w:tcW w:w="3694" w:type="dxa"/>
            <w:gridSpan w:val="3"/>
            <w:tcBorders>
              <w:top w:val="single" w:color="auto" w:sz="4" w:space="0"/>
              <w:left w:val="nil"/>
              <w:bottom w:val="single" w:color="auto" w:sz="4" w:space="0"/>
              <w:right w:val="single" w:color="000000" w:sz="4" w:space="0"/>
            </w:tcBorders>
            <w:shd w:val="clear" w:color="auto" w:fill="auto"/>
          </w:tcPr>
          <w:p w14:paraId="2C631EB6">
            <w:pPr>
              <w:widowControl/>
              <w:jc w:val="left"/>
              <w:rPr>
                <w:rFonts w:ascii="宋体" w:hAnsi="宋体" w:cs="宋体"/>
                <w:kern w:val="0"/>
                <w:sz w:val="24"/>
              </w:rPr>
            </w:pPr>
          </w:p>
          <w:p w14:paraId="6CF9F4AE">
            <w:pPr>
              <w:widowControl/>
              <w:jc w:val="left"/>
              <w:rPr>
                <w:rFonts w:ascii="宋体" w:hAnsi="宋体" w:cs="宋体"/>
                <w:kern w:val="0"/>
                <w:sz w:val="24"/>
              </w:rPr>
            </w:pPr>
            <w:r>
              <w:rPr>
                <w:rFonts w:hint="eastAsia" w:ascii="宋体" w:hAnsi="宋体" w:cs="宋体"/>
                <w:kern w:val="0"/>
                <w:sz w:val="24"/>
              </w:rPr>
              <w:t xml:space="preserve">   保障了中心学校全年的人员经费、公用经费、专项经费。人员经费包括基本医疗保险、综合社保、工资、奖励性绩效、机关养老保险缴费、人员变动和退休人员的职业年金缴费等，公用经费是包括退休人员每人1000元的福利费、工会经费、专用材料费、差旅费，规范资金管理，强化资金使用效益意识，提升资金管理水平和工作质量。</w:t>
            </w:r>
          </w:p>
        </w:tc>
        <w:tc>
          <w:tcPr>
            <w:tcW w:w="5556" w:type="dxa"/>
            <w:gridSpan w:val="4"/>
            <w:tcBorders>
              <w:top w:val="single" w:color="auto" w:sz="4" w:space="0"/>
              <w:left w:val="nil"/>
              <w:bottom w:val="single" w:color="auto" w:sz="4" w:space="0"/>
              <w:right w:val="single" w:color="000000" w:sz="4" w:space="0"/>
            </w:tcBorders>
            <w:shd w:val="clear" w:color="auto" w:fill="auto"/>
          </w:tcPr>
          <w:p w14:paraId="7425F50B">
            <w:pPr>
              <w:widowControl/>
              <w:jc w:val="left"/>
              <w:rPr>
                <w:rFonts w:ascii="宋体" w:hAnsi="宋体" w:cs="宋体"/>
                <w:kern w:val="0"/>
                <w:sz w:val="24"/>
              </w:rPr>
            </w:pPr>
            <w:r>
              <w:rPr>
                <w:rFonts w:hint="eastAsia" w:ascii="宋体" w:hAnsi="宋体" w:cs="宋体"/>
                <w:kern w:val="0"/>
                <w:sz w:val="24"/>
              </w:rPr>
              <w:t xml:space="preserve">  保障了2021年1-12月份中心学校全年的人员经费、公用经费、专项经费。人员经费包括基本医疗保险、综合社保、工资、奖励性绩效、机关养老保险缴费、人员变动和退休人员的职业年金缴费等，公用经费是包括退休人员每人1000元的福利费、工会经费、专用材料费、差旅费，规范资金管理，强化资金使用效益意识，提升资金管理水平和工作质量。</w:t>
            </w:r>
          </w:p>
        </w:tc>
      </w:tr>
      <w:tr w14:paraId="6842FCFB">
        <w:tblPrEx>
          <w:tblCellMar>
            <w:top w:w="0" w:type="dxa"/>
            <w:left w:w="108" w:type="dxa"/>
            <w:bottom w:w="0" w:type="dxa"/>
            <w:right w:w="108" w:type="dxa"/>
          </w:tblCellMar>
        </w:tblPrEx>
        <w:trPr>
          <w:trHeight w:val="450" w:hRule="atLeast"/>
        </w:trPr>
        <w:tc>
          <w:tcPr>
            <w:tcW w:w="740" w:type="dxa"/>
            <w:vMerge w:val="restart"/>
            <w:tcBorders>
              <w:top w:val="nil"/>
              <w:left w:val="single" w:color="auto" w:sz="4" w:space="0"/>
              <w:bottom w:val="nil"/>
              <w:right w:val="single" w:color="auto" w:sz="4" w:space="0"/>
            </w:tcBorders>
            <w:shd w:val="clear" w:color="auto" w:fill="auto"/>
            <w:vAlign w:val="center"/>
          </w:tcPr>
          <w:p w14:paraId="0191FBD1">
            <w:pPr>
              <w:widowControl/>
              <w:jc w:val="center"/>
              <w:rPr>
                <w:rFonts w:ascii="宋体" w:hAnsi="宋体" w:cs="宋体"/>
                <w:kern w:val="0"/>
                <w:sz w:val="24"/>
              </w:rPr>
            </w:pPr>
            <w:r>
              <w:rPr>
                <w:rFonts w:hint="eastAsia" w:ascii="宋体" w:hAnsi="宋体" w:cs="宋体"/>
                <w:kern w:val="0"/>
                <w:sz w:val="24"/>
              </w:rPr>
              <w:t>绩</w:t>
            </w:r>
          </w:p>
          <w:p w14:paraId="5CC97E00">
            <w:pPr>
              <w:widowControl/>
              <w:jc w:val="center"/>
              <w:rPr>
                <w:rFonts w:ascii="宋体" w:hAnsi="宋体" w:cs="宋体"/>
                <w:kern w:val="0"/>
                <w:sz w:val="24"/>
              </w:rPr>
            </w:pPr>
            <w:r>
              <w:rPr>
                <w:rFonts w:hint="eastAsia" w:ascii="宋体" w:hAnsi="宋体" w:cs="宋体"/>
                <w:kern w:val="0"/>
                <w:sz w:val="24"/>
              </w:rPr>
              <w:t>效</w:t>
            </w:r>
          </w:p>
          <w:p w14:paraId="36CAED6D">
            <w:pPr>
              <w:widowControl/>
              <w:jc w:val="center"/>
              <w:rPr>
                <w:rFonts w:ascii="宋体" w:hAnsi="宋体" w:cs="宋体"/>
                <w:kern w:val="0"/>
                <w:sz w:val="24"/>
              </w:rPr>
            </w:pPr>
            <w:r>
              <w:rPr>
                <w:rFonts w:hint="eastAsia" w:ascii="宋体" w:hAnsi="宋体" w:cs="宋体"/>
                <w:kern w:val="0"/>
                <w:sz w:val="24"/>
              </w:rPr>
              <w:t>指</w:t>
            </w:r>
          </w:p>
          <w:p w14:paraId="165D66A8">
            <w:pPr>
              <w:widowControl/>
              <w:jc w:val="center"/>
              <w:rPr>
                <w:rFonts w:ascii="宋体" w:hAnsi="宋体" w:cs="宋体"/>
                <w:kern w:val="0"/>
                <w:sz w:val="24"/>
              </w:rPr>
            </w:pPr>
            <w:r>
              <w:rPr>
                <w:rFonts w:hint="eastAsia" w:ascii="宋体" w:hAnsi="宋体" w:cs="宋体"/>
                <w:kern w:val="0"/>
                <w:sz w:val="24"/>
              </w:rPr>
              <w:t>标</w:t>
            </w:r>
          </w:p>
        </w:tc>
        <w:tc>
          <w:tcPr>
            <w:tcW w:w="734" w:type="dxa"/>
            <w:tcBorders>
              <w:top w:val="nil"/>
              <w:left w:val="nil"/>
              <w:bottom w:val="nil"/>
              <w:right w:val="single" w:color="auto" w:sz="4" w:space="0"/>
            </w:tcBorders>
            <w:shd w:val="clear" w:color="auto" w:fill="auto"/>
            <w:vAlign w:val="center"/>
          </w:tcPr>
          <w:p w14:paraId="72071D0D">
            <w:pPr>
              <w:widowControl/>
              <w:jc w:val="center"/>
              <w:rPr>
                <w:rFonts w:ascii="宋体" w:hAnsi="宋体" w:cs="宋体"/>
                <w:kern w:val="0"/>
                <w:sz w:val="24"/>
              </w:rPr>
            </w:pPr>
            <w:r>
              <w:rPr>
                <w:rFonts w:hint="eastAsia" w:ascii="宋体" w:hAnsi="宋体" w:cs="宋体"/>
                <w:kern w:val="0"/>
                <w:sz w:val="24"/>
              </w:rPr>
              <w:t>一级</w:t>
            </w:r>
          </w:p>
          <w:p w14:paraId="3DC4A087">
            <w:pPr>
              <w:widowControl/>
              <w:jc w:val="center"/>
              <w:rPr>
                <w:rFonts w:ascii="宋体" w:hAnsi="宋体" w:cs="宋体"/>
                <w:kern w:val="0"/>
                <w:sz w:val="24"/>
              </w:rPr>
            </w:pPr>
            <w:r>
              <w:rPr>
                <w:rFonts w:hint="eastAsia" w:ascii="宋体" w:hAnsi="宋体" w:cs="宋体"/>
                <w:kern w:val="0"/>
                <w:sz w:val="24"/>
              </w:rPr>
              <w:t>指标</w:t>
            </w:r>
          </w:p>
        </w:tc>
        <w:tc>
          <w:tcPr>
            <w:tcW w:w="988" w:type="dxa"/>
            <w:tcBorders>
              <w:top w:val="nil"/>
              <w:left w:val="nil"/>
              <w:bottom w:val="single" w:color="auto" w:sz="4" w:space="0"/>
              <w:right w:val="single" w:color="auto" w:sz="4" w:space="0"/>
            </w:tcBorders>
            <w:shd w:val="clear" w:color="auto" w:fill="auto"/>
            <w:vAlign w:val="center"/>
          </w:tcPr>
          <w:p w14:paraId="4AB4B6F5">
            <w:pPr>
              <w:widowControl/>
              <w:jc w:val="center"/>
              <w:rPr>
                <w:rFonts w:ascii="宋体" w:hAnsi="宋体" w:cs="宋体"/>
                <w:kern w:val="0"/>
                <w:sz w:val="24"/>
              </w:rPr>
            </w:pPr>
            <w:r>
              <w:rPr>
                <w:rFonts w:hint="eastAsia" w:ascii="宋体" w:hAnsi="宋体" w:cs="宋体"/>
                <w:kern w:val="0"/>
                <w:sz w:val="24"/>
              </w:rPr>
              <w:t>二级指标</w:t>
            </w:r>
          </w:p>
        </w:tc>
        <w:tc>
          <w:tcPr>
            <w:tcW w:w="1972" w:type="dxa"/>
            <w:tcBorders>
              <w:top w:val="nil"/>
              <w:left w:val="nil"/>
              <w:bottom w:val="single" w:color="auto" w:sz="4" w:space="0"/>
              <w:right w:val="single" w:color="auto" w:sz="4" w:space="0"/>
            </w:tcBorders>
            <w:shd w:val="clear" w:color="auto" w:fill="auto"/>
            <w:vAlign w:val="center"/>
          </w:tcPr>
          <w:p w14:paraId="66914C61">
            <w:pPr>
              <w:widowControl/>
              <w:jc w:val="center"/>
              <w:rPr>
                <w:rFonts w:ascii="宋体" w:hAnsi="宋体" w:cs="宋体"/>
                <w:kern w:val="0"/>
                <w:sz w:val="24"/>
              </w:rPr>
            </w:pPr>
            <w:r>
              <w:rPr>
                <w:rFonts w:hint="eastAsia" w:ascii="宋体" w:hAnsi="宋体" w:cs="宋体"/>
                <w:kern w:val="0"/>
                <w:sz w:val="24"/>
              </w:rPr>
              <w:t>三级指标</w:t>
            </w:r>
          </w:p>
        </w:tc>
        <w:tc>
          <w:tcPr>
            <w:tcW w:w="1527" w:type="dxa"/>
            <w:tcBorders>
              <w:top w:val="nil"/>
              <w:left w:val="nil"/>
              <w:bottom w:val="single" w:color="auto" w:sz="4" w:space="0"/>
              <w:right w:val="single" w:color="auto" w:sz="4" w:space="0"/>
            </w:tcBorders>
            <w:shd w:val="clear" w:color="auto" w:fill="auto"/>
            <w:vAlign w:val="center"/>
          </w:tcPr>
          <w:p w14:paraId="63E0C9AC">
            <w:pPr>
              <w:widowControl/>
              <w:jc w:val="center"/>
              <w:rPr>
                <w:rFonts w:ascii="宋体" w:hAnsi="宋体" w:cs="宋体"/>
                <w:kern w:val="0"/>
                <w:sz w:val="24"/>
              </w:rPr>
            </w:pPr>
            <w:r>
              <w:rPr>
                <w:rFonts w:hint="eastAsia" w:ascii="宋体" w:hAnsi="宋体" w:cs="宋体"/>
                <w:kern w:val="0"/>
                <w:sz w:val="24"/>
              </w:rPr>
              <w:t>年度指标值</w:t>
            </w:r>
          </w:p>
        </w:tc>
        <w:tc>
          <w:tcPr>
            <w:tcW w:w="1468" w:type="dxa"/>
            <w:tcBorders>
              <w:top w:val="nil"/>
              <w:left w:val="nil"/>
              <w:bottom w:val="single" w:color="auto" w:sz="4" w:space="0"/>
              <w:right w:val="single" w:color="auto" w:sz="4" w:space="0"/>
            </w:tcBorders>
            <w:shd w:val="clear" w:color="auto" w:fill="auto"/>
            <w:vAlign w:val="center"/>
          </w:tcPr>
          <w:p w14:paraId="3BACF9B5">
            <w:pPr>
              <w:widowControl/>
              <w:jc w:val="center"/>
              <w:rPr>
                <w:rFonts w:ascii="宋体" w:hAnsi="宋体" w:cs="宋体"/>
                <w:kern w:val="0"/>
                <w:sz w:val="24"/>
              </w:rPr>
            </w:pPr>
            <w:r>
              <w:rPr>
                <w:rFonts w:hint="eastAsia" w:ascii="宋体" w:hAnsi="宋体" w:cs="宋体"/>
                <w:kern w:val="0"/>
                <w:sz w:val="24"/>
              </w:rPr>
              <w:t>实际完成数</w:t>
            </w:r>
          </w:p>
        </w:tc>
        <w:tc>
          <w:tcPr>
            <w:tcW w:w="1074" w:type="dxa"/>
            <w:tcBorders>
              <w:top w:val="nil"/>
              <w:left w:val="nil"/>
              <w:bottom w:val="single" w:color="auto" w:sz="4" w:space="0"/>
              <w:right w:val="single" w:color="auto" w:sz="4" w:space="0"/>
            </w:tcBorders>
            <w:shd w:val="clear" w:color="auto" w:fill="auto"/>
            <w:vAlign w:val="center"/>
          </w:tcPr>
          <w:p w14:paraId="42FA71E3">
            <w:pPr>
              <w:widowControl/>
              <w:jc w:val="center"/>
              <w:rPr>
                <w:rFonts w:ascii="宋体" w:hAnsi="宋体" w:cs="宋体"/>
                <w:kern w:val="0"/>
                <w:sz w:val="24"/>
              </w:rPr>
            </w:pPr>
            <w:r>
              <w:rPr>
                <w:rFonts w:hint="eastAsia" w:ascii="宋体" w:hAnsi="宋体" w:cs="宋体"/>
                <w:kern w:val="0"/>
                <w:sz w:val="24"/>
              </w:rPr>
              <w:t>完成率（%）</w:t>
            </w:r>
          </w:p>
        </w:tc>
        <w:tc>
          <w:tcPr>
            <w:tcW w:w="1487" w:type="dxa"/>
            <w:tcBorders>
              <w:top w:val="nil"/>
              <w:left w:val="nil"/>
              <w:bottom w:val="single" w:color="auto" w:sz="4" w:space="0"/>
              <w:right w:val="single" w:color="auto" w:sz="4" w:space="0"/>
            </w:tcBorders>
            <w:shd w:val="clear" w:color="auto" w:fill="auto"/>
            <w:vAlign w:val="center"/>
          </w:tcPr>
          <w:p w14:paraId="5539EB49">
            <w:pPr>
              <w:widowControl/>
              <w:jc w:val="center"/>
              <w:rPr>
                <w:rFonts w:ascii="宋体" w:hAnsi="宋体" w:cs="宋体"/>
                <w:kern w:val="0"/>
                <w:sz w:val="24"/>
              </w:rPr>
            </w:pPr>
            <w:r>
              <w:rPr>
                <w:rFonts w:hint="eastAsia" w:ascii="宋体" w:hAnsi="宋体" w:cs="宋体"/>
                <w:kern w:val="0"/>
                <w:sz w:val="24"/>
              </w:rPr>
              <w:t>未完成原因和改进措施</w:t>
            </w:r>
          </w:p>
        </w:tc>
      </w:tr>
      <w:tr w14:paraId="48D9706C">
        <w:tblPrEx>
          <w:tblCellMar>
            <w:top w:w="0" w:type="dxa"/>
            <w:left w:w="108" w:type="dxa"/>
            <w:bottom w:w="0" w:type="dxa"/>
            <w:right w:w="108" w:type="dxa"/>
          </w:tblCellMar>
        </w:tblPrEx>
        <w:trPr>
          <w:trHeight w:val="670" w:hRule="atLeast"/>
        </w:trPr>
        <w:tc>
          <w:tcPr>
            <w:tcW w:w="740" w:type="dxa"/>
            <w:vMerge w:val="continue"/>
            <w:tcBorders>
              <w:top w:val="nil"/>
              <w:left w:val="single" w:color="auto" w:sz="4" w:space="0"/>
              <w:bottom w:val="nil"/>
              <w:right w:val="single" w:color="auto" w:sz="4" w:space="0"/>
            </w:tcBorders>
            <w:vAlign w:val="center"/>
          </w:tcPr>
          <w:p w14:paraId="6EFB07BD">
            <w:pPr>
              <w:widowControl/>
              <w:jc w:val="left"/>
              <w:rPr>
                <w:rFonts w:ascii="宋体" w:hAnsi="宋体" w:cs="宋体"/>
                <w:kern w:val="0"/>
                <w:sz w:val="24"/>
              </w:rPr>
            </w:pPr>
          </w:p>
        </w:tc>
        <w:tc>
          <w:tcPr>
            <w:tcW w:w="734" w:type="dxa"/>
            <w:vMerge w:val="restart"/>
            <w:tcBorders>
              <w:top w:val="single" w:color="auto" w:sz="4" w:space="0"/>
              <w:left w:val="single" w:color="auto" w:sz="4" w:space="0"/>
              <w:bottom w:val="nil"/>
              <w:right w:val="single" w:color="auto" w:sz="4" w:space="0"/>
            </w:tcBorders>
            <w:shd w:val="clear" w:color="auto" w:fill="auto"/>
            <w:vAlign w:val="center"/>
          </w:tcPr>
          <w:p w14:paraId="537BF36D">
            <w:pPr>
              <w:widowControl/>
              <w:jc w:val="center"/>
              <w:rPr>
                <w:rFonts w:ascii="宋体" w:hAnsi="宋体" w:cs="宋体"/>
                <w:kern w:val="0"/>
                <w:sz w:val="24"/>
              </w:rPr>
            </w:pPr>
            <w:r>
              <w:rPr>
                <w:rFonts w:hint="eastAsia" w:ascii="宋体" w:hAnsi="宋体" w:cs="宋体"/>
                <w:kern w:val="0"/>
                <w:sz w:val="24"/>
              </w:rPr>
              <w:t>项目完成</w:t>
            </w:r>
          </w:p>
        </w:tc>
        <w:tc>
          <w:tcPr>
            <w:tcW w:w="988" w:type="dxa"/>
            <w:tcBorders>
              <w:top w:val="nil"/>
              <w:left w:val="nil"/>
              <w:right w:val="single" w:color="auto" w:sz="4" w:space="0"/>
            </w:tcBorders>
            <w:shd w:val="clear" w:color="auto" w:fill="auto"/>
            <w:vAlign w:val="center"/>
          </w:tcPr>
          <w:p w14:paraId="42E91518">
            <w:pPr>
              <w:widowControl/>
              <w:jc w:val="center"/>
              <w:rPr>
                <w:rFonts w:ascii="宋体" w:hAnsi="宋体" w:cs="宋体"/>
                <w:kern w:val="0"/>
                <w:sz w:val="24"/>
              </w:rPr>
            </w:pPr>
            <w:r>
              <w:rPr>
                <w:rFonts w:hint="eastAsia" w:ascii="宋体" w:hAnsi="宋体" w:cs="宋体"/>
                <w:kern w:val="0"/>
                <w:sz w:val="24"/>
              </w:rPr>
              <w:t>数量指标</w:t>
            </w:r>
          </w:p>
        </w:tc>
        <w:tc>
          <w:tcPr>
            <w:tcW w:w="1972" w:type="dxa"/>
            <w:tcBorders>
              <w:top w:val="nil"/>
              <w:left w:val="nil"/>
              <w:bottom w:val="single" w:color="auto" w:sz="4" w:space="0"/>
              <w:right w:val="single" w:color="auto" w:sz="4" w:space="0"/>
            </w:tcBorders>
            <w:shd w:val="clear" w:color="auto" w:fill="auto"/>
            <w:vAlign w:val="center"/>
          </w:tcPr>
          <w:p w14:paraId="6682CFA5">
            <w:pPr>
              <w:widowControl/>
              <w:jc w:val="left"/>
              <w:rPr>
                <w:rFonts w:ascii="宋体" w:hAnsi="宋体" w:cs="宋体"/>
                <w:kern w:val="0"/>
                <w:sz w:val="24"/>
              </w:rPr>
            </w:pPr>
            <w:r>
              <w:rPr>
                <w:rFonts w:hint="eastAsia" w:ascii="宋体" w:hAnsi="宋体" w:cs="宋体"/>
                <w:kern w:val="0"/>
                <w:sz w:val="24"/>
              </w:rPr>
              <w:t xml:space="preserve"> 指标1：机构数</w:t>
            </w:r>
          </w:p>
        </w:tc>
        <w:tc>
          <w:tcPr>
            <w:tcW w:w="1527" w:type="dxa"/>
            <w:tcBorders>
              <w:top w:val="nil"/>
              <w:left w:val="nil"/>
              <w:bottom w:val="single" w:color="auto" w:sz="4" w:space="0"/>
              <w:right w:val="single" w:color="auto" w:sz="4" w:space="0"/>
            </w:tcBorders>
            <w:shd w:val="clear" w:color="auto" w:fill="auto"/>
            <w:vAlign w:val="center"/>
          </w:tcPr>
          <w:p w14:paraId="19FD4AEB">
            <w:pPr>
              <w:widowControl/>
              <w:jc w:val="center"/>
              <w:textAlignment w:val="center"/>
              <w:rPr>
                <w:rFonts w:ascii="宋体" w:hAnsi="宋体" w:cs="宋体"/>
                <w:kern w:val="0"/>
                <w:sz w:val="24"/>
              </w:rPr>
            </w:pPr>
            <w:r>
              <w:rPr>
                <w:rFonts w:hint="eastAsia" w:ascii="宋体" w:hAnsi="宋体" w:cs="宋体"/>
                <w:color w:val="000000"/>
                <w:kern w:val="0"/>
                <w:sz w:val="24"/>
                <w:lang w:bidi="ar"/>
              </w:rPr>
              <w:t>1</w:t>
            </w:r>
          </w:p>
        </w:tc>
        <w:tc>
          <w:tcPr>
            <w:tcW w:w="1468" w:type="dxa"/>
            <w:tcBorders>
              <w:top w:val="nil"/>
              <w:left w:val="nil"/>
              <w:bottom w:val="single" w:color="auto" w:sz="4" w:space="0"/>
              <w:right w:val="single" w:color="auto" w:sz="4" w:space="0"/>
            </w:tcBorders>
            <w:shd w:val="clear" w:color="auto" w:fill="auto"/>
            <w:vAlign w:val="center"/>
          </w:tcPr>
          <w:p w14:paraId="72D900F7">
            <w:pPr>
              <w:widowControl/>
              <w:jc w:val="center"/>
              <w:textAlignment w:val="center"/>
              <w:rPr>
                <w:rFonts w:ascii="宋体" w:hAnsi="宋体" w:cs="宋体"/>
                <w:kern w:val="0"/>
                <w:sz w:val="24"/>
              </w:rPr>
            </w:pPr>
            <w:r>
              <w:rPr>
                <w:rFonts w:hint="eastAsia" w:ascii="宋体" w:hAnsi="宋体" w:cs="宋体"/>
                <w:color w:val="000000"/>
                <w:kern w:val="0"/>
                <w:sz w:val="24"/>
                <w:lang w:bidi="ar"/>
              </w:rPr>
              <w:t>1</w:t>
            </w:r>
          </w:p>
        </w:tc>
        <w:tc>
          <w:tcPr>
            <w:tcW w:w="1074" w:type="dxa"/>
            <w:tcBorders>
              <w:top w:val="nil"/>
              <w:left w:val="nil"/>
              <w:bottom w:val="single" w:color="auto" w:sz="4" w:space="0"/>
              <w:right w:val="single" w:color="auto" w:sz="4" w:space="0"/>
            </w:tcBorders>
            <w:shd w:val="clear" w:color="auto" w:fill="auto"/>
            <w:vAlign w:val="center"/>
          </w:tcPr>
          <w:p w14:paraId="6D2DA3F6">
            <w:pPr>
              <w:widowControl/>
              <w:jc w:val="right"/>
              <w:rPr>
                <w:rFonts w:ascii="宋体" w:hAnsi="宋体" w:cs="宋体"/>
                <w:kern w:val="0"/>
                <w:sz w:val="24"/>
              </w:rPr>
            </w:pPr>
            <w:r>
              <w:rPr>
                <w:rFonts w:hint="eastAsia" w:ascii="宋体" w:hAnsi="宋体" w:cs="宋体"/>
                <w:kern w:val="0"/>
                <w:sz w:val="24"/>
              </w:rPr>
              <w:t>100%</w:t>
            </w:r>
          </w:p>
        </w:tc>
        <w:tc>
          <w:tcPr>
            <w:tcW w:w="1487" w:type="dxa"/>
            <w:tcBorders>
              <w:top w:val="nil"/>
              <w:left w:val="nil"/>
              <w:bottom w:val="single" w:color="auto" w:sz="4" w:space="0"/>
              <w:right w:val="single" w:color="auto" w:sz="4" w:space="0"/>
            </w:tcBorders>
            <w:shd w:val="clear" w:color="auto" w:fill="auto"/>
            <w:vAlign w:val="center"/>
          </w:tcPr>
          <w:p w14:paraId="1EC6E8FA">
            <w:pPr>
              <w:widowControl/>
              <w:jc w:val="left"/>
              <w:rPr>
                <w:rFonts w:ascii="宋体" w:hAnsi="宋体" w:cs="宋体"/>
                <w:kern w:val="0"/>
                <w:sz w:val="20"/>
                <w:szCs w:val="20"/>
              </w:rPr>
            </w:pPr>
            <w:r>
              <w:rPr>
                <w:rFonts w:hint="eastAsia" w:ascii="宋体" w:hAnsi="宋体" w:cs="宋体"/>
                <w:kern w:val="0"/>
                <w:sz w:val="20"/>
                <w:szCs w:val="20"/>
              </w:rPr>
              <w:t>　</w:t>
            </w:r>
          </w:p>
        </w:tc>
      </w:tr>
      <w:tr w14:paraId="79DC740D">
        <w:tblPrEx>
          <w:tblCellMar>
            <w:top w:w="0" w:type="dxa"/>
            <w:left w:w="108" w:type="dxa"/>
            <w:bottom w:w="0" w:type="dxa"/>
            <w:right w:w="108" w:type="dxa"/>
          </w:tblCellMar>
        </w:tblPrEx>
        <w:trPr>
          <w:trHeight w:val="665" w:hRule="atLeast"/>
        </w:trPr>
        <w:tc>
          <w:tcPr>
            <w:tcW w:w="740" w:type="dxa"/>
            <w:vMerge w:val="continue"/>
            <w:tcBorders>
              <w:top w:val="nil"/>
              <w:left w:val="single" w:color="auto" w:sz="4" w:space="0"/>
              <w:bottom w:val="nil"/>
              <w:right w:val="single" w:color="auto" w:sz="4" w:space="0"/>
            </w:tcBorders>
            <w:vAlign w:val="center"/>
          </w:tcPr>
          <w:p w14:paraId="5FDE1B55">
            <w:pPr>
              <w:widowControl/>
              <w:jc w:val="left"/>
              <w:rPr>
                <w:rFonts w:ascii="宋体" w:hAnsi="宋体" w:cs="宋体"/>
                <w:kern w:val="0"/>
                <w:sz w:val="24"/>
              </w:rPr>
            </w:pPr>
          </w:p>
        </w:tc>
        <w:tc>
          <w:tcPr>
            <w:tcW w:w="734" w:type="dxa"/>
            <w:vMerge w:val="continue"/>
            <w:tcBorders>
              <w:top w:val="single" w:color="auto" w:sz="4" w:space="0"/>
              <w:left w:val="single" w:color="auto" w:sz="4" w:space="0"/>
              <w:bottom w:val="nil"/>
              <w:right w:val="single" w:color="auto" w:sz="4" w:space="0"/>
            </w:tcBorders>
            <w:vAlign w:val="center"/>
          </w:tcPr>
          <w:p w14:paraId="1373C2A0">
            <w:pPr>
              <w:widowControl/>
              <w:jc w:val="left"/>
              <w:rPr>
                <w:rFonts w:ascii="宋体" w:hAnsi="宋体" w:cs="宋体"/>
                <w:kern w:val="0"/>
                <w:sz w:val="24"/>
              </w:rPr>
            </w:pPr>
          </w:p>
        </w:tc>
        <w:tc>
          <w:tcPr>
            <w:tcW w:w="988" w:type="dxa"/>
            <w:tcBorders>
              <w:top w:val="single" w:color="auto" w:sz="4" w:space="0"/>
              <w:left w:val="single" w:color="auto" w:sz="4" w:space="0"/>
              <w:bottom w:val="single" w:color="000000" w:sz="4" w:space="0"/>
              <w:right w:val="single" w:color="auto" w:sz="4" w:space="0"/>
            </w:tcBorders>
            <w:shd w:val="clear" w:color="auto" w:fill="auto"/>
            <w:vAlign w:val="center"/>
          </w:tcPr>
          <w:p w14:paraId="126B758D">
            <w:pPr>
              <w:widowControl/>
              <w:jc w:val="center"/>
              <w:rPr>
                <w:rFonts w:ascii="宋体" w:hAnsi="宋体" w:cs="宋体"/>
                <w:kern w:val="0"/>
                <w:sz w:val="24"/>
              </w:rPr>
            </w:pPr>
            <w:r>
              <w:rPr>
                <w:rFonts w:hint="eastAsia" w:ascii="宋体" w:hAnsi="宋体" w:cs="宋体"/>
                <w:kern w:val="0"/>
                <w:sz w:val="24"/>
              </w:rPr>
              <w:t>质量指标</w:t>
            </w:r>
          </w:p>
        </w:tc>
        <w:tc>
          <w:tcPr>
            <w:tcW w:w="1972" w:type="dxa"/>
            <w:tcBorders>
              <w:top w:val="nil"/>
              <w:left w:val="nil"/>
              <w:bottom w:val="single" w:color="auto" w:sz="4" w:space="0"/>
              <w:right w:val="single" w:color="auto" w:sz="4" w:space="0"/>
            </w:tcBorders>
            <w:shd w:val="clear" w:color="auto" w:fill="auto"/>
            <w:vAlign w:val="center"/>
          </w:tcPr>
          <w:p w14:paraId="70C6FC91">
            <w:pPr>
              <w:widowControl/>
              <w:jc w:val="left"/>
              <w:textAlignment w:val="center"/>
              <w:rPr>
                <w:rFonts w:ascii="宋体" w:hAnsi="宋体" w:cs="宋体"/>
                <w:kern w:val="0"/>
                <w:szCs w:val="21"/>
              </w:rPr>
            </w:pPr>
            <w:r>
              <w:rPr>
                <w:rFonts w:hint="eastAsia" w:ascii="宋体" w:hAnsi="宋体" w:cs="宋体"/>
                <w:color w:val="000000"/>
                <w:kern w:val="0"/>
                <w:sz w:val="24"/>
                <w:lang w:bidi="ar"/>
              </w:rPr>
              <w:t>指标1：日常工作运转率</w:t>
            </w:r>
          </w:p>
        </w:tc>
        <w:tc>
          <w:tcPr>
            <w:tcW w:w="1527" w:type="dxa"/>
            <w:tcBorders>
              <w:top w:val="nil"/>
              <w:left w:val="nil"/>
              <w:bottom w:val="single" w:color="auto" w:sz="4" w:space="0"/>
              <w:right w:val="single" w:color="auto" w:sz="4" w:space="0"/>
            </w:tcBorders>
            <w:shd w:val="clear" w:color="auto" w:fill="auto"/>
            <w:vAlign w:val="center"/>
          </w:tcPr>
          <w:p w14:paraId="2F60535E">
            <w:pPr>
              <w:widowControl/>
              <w:jc w:val="center"/>
              <w:textAlignment w:val="center"/>
              <w:rPr>
                <w:rFonts w:ascii="宋体" w:hAnsi="宋体" w:cs="宋体"/>
                <w:kern w:val="0"/>
                <w:sz w:val="20"/>
                <w:szCs w:val="20"/>
              </w:rPr>
            </w:pPr>
            <w:r>
              <w:rPr>
                <w:rFonts w:hint="eastAsia" w:ascii="宋体" w:hAnsi="宋体" w:cs="宋体"/>
                <w:color w:val="000000"/>
                <w:kern w:val="0"/>
                <w:sz w:val="22"/>
                <w:szCs w:val="22"/>
                <w:lang w:bidi="ar"/>
              </w:rPr>
              <w:t>100%</w:t>
            </w:r>
          </w:p>
        </w:tc>
        <w:tc>
          <w:tcPr>
            <w:tcW w:w="1468" w:type="dxa"/>
            <w:tcBorders>
              <w:top w:val="nil"/>
              <w:left w:val="nil"/>
              <w:bottom w:val="single" w:color="auto" w:sz="4" w:space="0"/>
              <w:right w:val="single" w:color="auto" w:sz="4" w:space="0"/>
            </w:tcBorders>
            <w:shd w:val="clear" w:color="auto" w:fill="auto"/>
            <w:vAlign w:val="center"/>
          </w:tcPr>
          <w:p w14:paraId="342F4A3E">
            <w:pPr>
              <w:widowControl/>
              <w:jc w:val="center"/>
              <w:textAlignment w:val="center"/>
              <w:rPr>
                <w:rFonts w:ascii="宋体" w:hAnsi="宋体" w:cs="宋体"/>
                <w:kern w:val="0"/>
                <w:sz w:val="20"/>
                <w:szCs w:val="20"/>
              </w:rPr>
            </w:pPr>
            <w:r>
              <w:rPr>
                <w:rFonts w:hint="eastAsia" w:ascii="宋体" w:hAnsi="宋体" w:cs="宋体"/>
                <w:color w:val="000000"/>
                <w:kern w:val="0"/>
                <w:sz w:val="22"/>
                <w:szCs w:val="22"/>
                <w:lang w:bidi="ar"/>
              </w:rPr>
              <w:t>100%</w:t>
            </w:r>
          </w:p>
        </w:tc>
        <w:tc>
          <w:tcPr>
            <w:tcW w:w="1074" w:type="dxa"/>
            <w:tcBorders>
              <w:top w:val="nil"/>
              <w:left w:val="nil"/>
              <w:bottom w:val="single" w:color="auto" w:sz="4" w:space="0"/>
              <w:right w:val="single" w:color="auto" w:sz="4" w:space="0"/>
            </w:tcBorders>
            <w:shd w:val="clear" w:color="auto" w:fill="auto"/>
            <w:vAlign w:val="center"/>
          </w:tcPr>
          <w:p w14:paraId="3A88035E">
            <w:pPr>
              <w:widowControl/>
              <w:jc w:val="center"/>
              <w:textAlignment w:val="center"/>
              <w:rPr>
                <w:rFonts w:ascii="宋体" w:hAnsi="宋体" w:cs="宋体"/>
                <w:kern w:val="0"/>
                <w:sz w:val="20"/>
                <w:szCs w:val="20"/>
              </w:rPr>
            </w:pPr>
            <w:r>
              <w:rPr>
                <w:rFonts w:hint="eastAsia" w:ascii="宋体" w:hAnsi="宋体" w:cs="宋体"/>
                <w:color w:val="000000"/>
                <w:kern w:val="0"/>
                <w:sz w:val="22"/>
                <w:szCs w:val="22"/>
                <w:lang w:bidi="ar"/>
              </w:rPr>
              <w:t>100%</w:t>
            </w:r>
          </w:p>
        </w:tc>
        <w:tc>
          <w:tcPr>
            <w:tcW w:w="1487" w:type="dxa"/>
            <w:tcBorders>
              <w:top w:val="nil"/>
              <w:left w:val="nil"/>
              <w:bottom w:val="single" w:color="auto" w:sz="4" w:space="0"/>
              <w:right w:val="single" w:color="auto" w:sz="4" w:space="0"/>
            </w:tcBorders>
            <w:shd w:val="clear" w:color="auto" w:fill="auto"/>
            <w:vAlign w:val="center"/>
          </w:tcPr>
          <w:p w14:paraId="74FF244C">
            <w:pPr>
              <w:widowControl/>
              <w:jc w:val="left"/>
              <w:textAlignment w:val="center"/>
              <w:rPr>
                <w:rFonts w:ascii="宋体" w:hAnsi="宋体" w:cs="宋体"/>
                <w:kern w:val="0"/>
                <w:sz w:val="20"/>
                <w:szCs w:val="20"/>
              </w:rPr>
            </w:pPr>
          </w:p>
        </w:tc>
      </w:tr>
      <w:tr w14:paraId="4F7C175B">
        <w:tblPrEx>
          <w:tblCellMar>
            <w:top w:w="0" w:type="dxa"/>
            <w:left w:w="108" w:type="dxa"/>
            <w:bottom w:w="0" w:type="dxa"/>
            <w:right w:w="108" w:type="dxa"/>
          </w:tblCellMar>
        </w:tblPrEx>
        <w:trPr>
          <w:trHeight w:val="585" w:hRule="atLeast"/>
        </w:trPr>
        <w:tc>
          <w:tcPr>
            <w:tcW w:w="740" w:type="dxa"/>
            <w:vMerge w:val="continue"/>
            <w:tcBorders>
              <w:top w:val="nil"/>
              <w:left w:val="single" w:color="auto" w:sz="4" w:space="0"/>
              <w:bottom w:val="nil"/>
              <w:right w:val="single" w:color="auto" w:sz="4" w:space="0"/>
            </w:tcBorders>
            <w:vAlign w:val="center"/>
          </w:tcPr>
          <w:p w14:paraId="6BB50393">
            <w:pPr>
              <w:widowControl/>
              <w:jc w:val="left"/>
              <w:rPr>
                <w:rFonts w:ascii="宋体" w:hAnsi="宋体" w:cs="宋体"/>
                <w:kern w:val="0"/>
                <w:sz w:val="24"/>
              </w:rPr>
            </w:pPr>
          </w:p>
        </w:tc>
        <w:tc>
          <w:tcPr>
            <w:tcW w:w="734" w:type="dxa"/>
            <w:vMerge w:val="continue"/>
            <w:tcBorders>
              <w:top w:val="single" w:color="auto" w:sz="4" w:space="0"/>
              <w:left w:val="single" w:color="auto" w:sz="4" w:space="0"/>
              <w:bottom w:val="nil"/>
              <w:right w:val="single" w:color="auto" w:sz="4" w:space="0"/>
            </w:tcBorders>
            <w:vAlign w:val="center"/>
          </w:tcPr>
          <w:p w14:paraId="4447B15E">
            <w:pPr>
              <w:widowControl/>
              <w:jc w:val="left"/>
              <w:rPr>
                <w:rFonts w:ascii="宋体" w:hAnsi="宋体" w:cs="宋体"/>
                <w:kern w:val="0"/>
                <w:sz w:val="24"/>
              </w:rPr>
            </w:pPr>
          </w:p>
        </w:tc>
        <w:tc>
          <w:tcPr>
            <w:tcW w:w="988" w:type="dxa"/>
            <w:tcBorders>
              <w:top w:val="nil"/>
              <w:left w:val="single" w:color="auto" w:sz="4" w:space="0"/>
              <w:bottom w:val="nil"/>
              <w:right w:val="single" w:color="auto" w:sz="4" w:space="0"/>
            </w:tcBorders>
            <w:shd w:val="clear" w:color="auto" w:fill="auto"/>
            <w:vAlign w:val="center"/>
          </w:tcPr>
          <w:p w14:paraId="3BC67253">
            <w:pPr>
              <w:widowControl/>
              <w:jc w:val="center"/>
              <w:rPr>
                <w:rFonts w:ascii="宋体" w:hAnsi="宋体" w:cs="宋体"/>
                <w:kern w:val="0"/>
                <w:sz w:val="24"/>
              </w:rPr>
            </w:pPr>
            <w:r>
              <w:rPr>
                <w:rFonts w:hint="eastAsia" w:ascii="宋体" w:hAnsi="宋体" w:cs="宋体"/>
                <w:kern w:val="0"/>
                <w:sz w:val="24"/>
              </w:rPr>
              <w:t>时效指标</w:t>
            </w:r>
          </w:p>
        </w:tc>
        <w:tc>
          <w:tcPr>
            <w:tcW w:w="1972" w:type="dxa"/>
            <w:tcBorders>
              <w:top w:val="nil"/>
              <w:left w:val="nil"/>
              <w:bottom w:val="single" w:color="auto" w:sz="4" w:space="0"/>
              <w:right w:val="single" w:color="auto" w:sz="4" w:space="0"/>
            </w:tcBorders>
            <w:shd w:val="clear" w:color="auto" w:fill="auto"/>
            <w:vAlign w:val="center"/>
          </w:tcPr>
          <w:p w14:paraId="1EF76760">
            <w:pPr>
              <w:widowControl/>
              <w:jc w:val="left"/>
              <w:textAlignment w:val="center"/>
              <w:rPr>
                <w:rFonts w:ascii="宋体" w:hAnsi="宋体" w:cs="宋体"/>
                <w:kern w:val="0"/>
                <w:sz w:val="20"/>
                <w:szCs w:val="20"/>
              </w:rPr>
            </w:pPr>
            <w:r>
              <w:rPr>
                <w:rFonts w:hint="eastAsia" w:ascii="宋体" w:hAnsi="宋体" w:cs="宋体"/>
                <w:color w:val="000000"/>
                <w:kern w:val="0"/>
                <w:sz w:val="24"/>
                <w:lang w:bidi="ar"/>
              </w:rPr>
              <w:t>指标1：本年度内</w:t>
            </w:r>
          </w:p>
        </w:tc>
        <w:tc>
          <w:tcPr>
            <w:tcW w:w="1527" w:type="dxa"/>
            <w:tcBorders>
              <w:top w:val="nil"/>
              <w:left w:val="nil"/>
              <w:bottom w:val="single" w:color="auto" w:sz="4" w:space="0"/>
              <w:right w:val="single" w:color="auto" w:sz="4" w:space="0"/>
            </w:tcBorders>
            <w:shd w:val="clear" w:color="auto" w:fill="auto"/>
            <w:vAlign w:val="center"/>
          </w:tcPr>
          <w:p w14:paraId="392B26E9">
            <w:pPr>
              <w:widowControl/>
              <w:jc w:val="center"/>
              <w:textAlignment w:val="center"/>
              <w:rPr>
                <w:rFonts w:ascii="宋体" w:hAnsi="宋体" w:cs="宋体"/>
                <w:kern w:val="0"/>
                <w:sz w:val="20"/>
                <w:szCs w:val="20"/>
              </w:rPr>
            </w:pPr>
            <w:r>
              <w:rPr>
                <w:rFonts w:hint="eastAsia" w:ascii="宋体" w:hAnsi="宋体" w:cs="宋体"/>
                <w:color w:val="000000"/>
                <w:kern w:val="0"/>
                <w:sz w:val="24"/>
                <w:lang w:bidi="ar"/>
              </w:rPr>
              <w:t>2021年1-12月</w:t>
            </w:r>
          </w:p>
        </w:tc>
        <w:tc>
          <w:tcPr>
            <w:tcW w:w="1468" w:type="dxa"/>
            <w:tcBorders>
              <w:top w:val="nil"/>
              <w:left w:val="nil"/>
              <w:bottom w:val="single" w:color="auto" w:sz="4" w:space="0"/>
              <w:right w:val="single" w:color="auto" w:sz="4" w:space="0"/>
            </w:tcBorders>
            <w:shd w:val="clear" w:color="auto" w:fill="auto"/>
            <w:vAlign w:val="center"/>
          </w:tcPr>
          <w:p w14:paraId="58148720">
            <w:pPr>
              <w:widowControl/>
              <w:jc w:val="center"/>
              <w:textAlignment w:val="center"/>
              <w:rPr>
                <w:rFonts w:ascii="宋体" w:hAnsi="宋体" w:cs="宋体"/>
                <w:kern w:val="0"/>
                <w:sz w:val="20"/>
                <w:szCs w:val="20"/>
              </w:rPr>
            </w:pPr>
            <w:r>
              <w:rPr>
                <w:rFonts w:hint="eastAsia" w:ascii="宋体" w:hAnsi="宋体" w:cs="宋体"/>
                <w:color w:val="000000"/>
                <w:kern w:val="0"/>
                <w:sz w:val="24"/>
                <w:lang w:bidi="ar"/>
              </w:rPr>
              <w:t>年度内</w:t>
            </w:r>
          </w:p>
        </w:tc>
        <w:tc>
          <w:tcPr>
            <w:tcW w:w="1074" w:type="dxa"/>
            <w:tcBorders>
              <w:top w:val="nil"/>
              <w:left w:val="nil"/>
              <w:bottom w:val="single" w:color="auto" w:sz="4" w:space="0"/>
              <w:right w:val="single" w:color="auto" w:sz="4" w:space="0"/>
            </w:tcBorders>
            <w:shd w:val="clear" w:color="auto" w:fill="auto"/>
            <w:vAlign w:val="center"/>
          </w:tcPr>
          <w:p w14:paraId="5C8682C6">
            <w:pPr>
              <w:widowControl/>
              <w:jc w:val="center"/>
              <w:textAlignment w:val="center"/>
              <w:rPr>
                <w:rFonts w:ascii="宋体" w:hAnsi="宋体" w:cs="宋体"/>
                <w:kern w:val="0"/>
                <w:sz w:val="20"/>
                <w:szCs w:val="20"/>
              </w:rPr>
            </w:pPr>
            <w:r>
              <w:rPr>
                <w:rFonts w:hint="eastAsia" w:ascii="宋体" w:hAnsi="宋体" w:cs="宋体"/>
                <w:color w:val="000000"/>
                <w:kern w:val="0"/>
                <w:sz w:val="22"/>
                <w:szCs w:val="22"/>
                <w:lang w:bidi="ar"/>
              </w:rPr>
              <w:t>100%</w:t>
            </w:r>
          </w:p>
        </w:tc>
        <w:tc>
          <w:tcPr>
            <w:tcW w:w="1487" w:type="dxa"/>
            <w:tcBorders>
              <w:top w:val="nil"/>
              <w:left w:val="nil"/>
              <w:bottom w:val="single" w:color="auto" w:sz="4" w:space="0"/>
              <w:right w:val="single" w:color="auto" w:sz="4" w:space="0"/>
            </w:tcBorders>
            <w:shd w:val="clear" w:color="auto" w:fill="auto"/>
            <w:vAlign w:val="center"/>
          </w:tcPr>
          <w:p w14:paraId="5B3D80F1">
            <w:pPr>
              <w:widowControl/>
              <w:jc w:val="left"/>
              <w:textAlignment w:val="center"/>
              <w:rPr>
                <w:rFonts w:ascii="宋体" w:hAnsi="宋体" w:cs="宋体"/>
                <w:kern w:val="0"/>
                <w:sz w:val="20"/>
                <w:szCs w:val="20"/>
              </w:rPr>
            </w:pPr>
          </w:p>
        </w:tc>
      </w:tr>
      <w:tr w14:paraId="7CB77BB1">
        <w:tblPrEx>
          <w:tblCellMar>
            <w:top w:w="0" w:type="dxa"/>
            <w:left w:w="108" w:type="dxa"/>
            <w:bottom w:w="0" w:type="dxa"/>
            <w:right w:w="108" w:type="dxa"/>
          </w:tblCellMar>
        </w:tblPrEx>
        <w:trPr>
          <w:trHeight w:val="690" w:hRule="atLeast"/>
        </w:trPr>
        <w:tc>
          <w:tcPr>
            <w:tcW w:w="740" w:type="dxa"/>
            <w:vMerge w:val="continue"/>
            <w:tcBorders>
              <w:top w:val="nil"/>
              <w:left w:val="single" w:color="auto" w:sz="4" w:space="0"/>
              <w:bottom w:val="nil"/>
              <w:right w:val="single" w:color="auto" w:sz="4" w:space="0"/>
            </w:tcBorders>
            <w:vAlign w:val="center"/>
          </w:tcPr>
          <w:p w14:paraId="53DC3D0A">
            <w:pPr>
              <w:widowControl/>
              <w:jc w:val="left"/>
              <w:rPr>
                <w:rFonts w:ascii="宋体" w:hAnsi="宋体" w:cs="宋体"/>
                <w:kern w:val="0"/>
                <w:sz w:val="24"/>
              </w:rPr>
            </w:pPr>
          </w:p>
        </w:tc>
        <w:tc>
          <w:tcPr>
            <w:tcW w:w="734" w:type="dxa"/>
            <w:vMerge w:val="continue"/>
            <w:tcBorders>
              <w:top w:val="single" w:color="auto" w:sz="4" w:space="0"/>
              <w:left w:val="single" w:color="auto" w:sz="4" w:space="0"/>
              <w:bottom w:val="nil"/>
              <w:right w:val="single" w:color="auto" w:sz="4" w:space="0"/>
            </w:tcBorders>
            <w:vAlign w:val="center"/>
          </w:tcPr>
          <w:p w14:paraId="22AB4FF2">
            <w:pPr>
              <w:widowControl/>
              <w:jc w:val="left"/>
              <w:rPr>
                <w:rFonts w:ascii="宋体" w:hAnsi="宋体" w:cs="宋体"/>
                <w:kern w:val="0"/>
                <w:sz w:val="24"/>
              </w:rPr>
            </w:pPr>
          </w:p>
        </w:tc>
        <w:tc>
          <w:tcPr>
            <w:tcW w:w="988" w:type="dxa"/>
            <w:tcBorders>
              <w:top w:val="single" w:color="auto" w:sz="4" w:space="0"/>
              <w:left w:val="single" w:color="auto" w:sz="4" w:space="0"/>
              <w:bottom w:val="nil"/>
              <w:right w:val="single" w:color="auto" w:sz="4" w:space="0"/>
            </w:tcBorders>
            <w:shd w:val="clear" w:color="auto" w:fill="auto"/>
            <w:vAlign w:val="center"/>
          </w:tcPr>
          <w:p w14:paraId="47DBA29D">
            <w:pPr>
              <w:widowControl/>
              <w:jc w:val="center"/>
              <w:rPr>
                <w:rFonts w:ascii="宋体" w:hAnsi="宋体" w:cs="宋体"/>
                <w:kern w:val="0"/>
                <w:sz w:val="24"/>
              </w:rPr>
            </w:pPr>
            <w:r>
              <w:rPr>
                <w:rFonts w:hint="eastAsia" w:ascii="宋体" w:hAnsi="宋体" w:cs="宋体"/>
                <w:kern w:val="0"/>
                <w:sz w:val="24"/>
              </w:rPr>
              <w:t>成本指标</w:t>
            </w:r>
          </w:p>
        </w:tc>
        <w:tc>
          <w:tcPr>
            <w:tcW w:w="1972" w:type="dxa"/>
            <w:tcBorders>
              <w:top w:val="nil"/>
              <w:left w:val="nil"/>
              <w:bottom w:val="single" w:color="auto" w:sz="4" w:space="0"/>
              <w:right w:val="single" w:color="auto" w:sz="4" w:space="0"/>
            </w:tcBorders>
            <w:shd w:val="clear" w:color="auto" w:fill="auto"/>
            <w:vAlign w:val="center"/>
          </w:tcPr>
          <w:p w14:paraId="58585A49">
            <w:pPr>
              <w:widowControl/>
              <w:jc w:val="left"/>
              <w:textAlignment w:val="center"/>
              <w:rPr>
                <w:rFonts w:ascii="宋体" w:hAnsi="宋体" w:cs="宋体"/>
                <w:kern w:val="0"/>
                <w:sz w:val="20"/>
                <w:szCs w:val="20"/>
              </w:rPr>
            </w:pPr>
            <w:r>
              <w:rPr>
                <w:rFonts w:hint="eastAsia" w:ascii="宋体" w:hAnsi="宋体" w:cs="宋体"/>
                <w:color w:val="000000"/>
                <w:kern w:val="0"/>
                <w:sz w:val="24"/>
                <w:lang w:bidi="ar"/>
              </w:rPr>
              <w:t>指标1：中心2021年总支出</w:t>
            </w:r>
          </w:p>
        </w:tc>
        <w:tc>
          <w:tcPr>
            <w:tcW w:w="1527" w:type="dxa"/>
            <w:tcBorders>
              <w:top w:val="nil"/>
              <w:left w:val="nil"/>
              <w:bottom w:val="single" w:color="auto" w:sz="4" w:space="0"/>
              <w:right w:val="single" w:color="auto" w:sz="4" w:space="0"/>
            </w:tcBorders>
            <w:shd w:val="clear" w:color="auto" w:fill="auto"/>
            <w:vAlign w:val="center"/>
          </w:tcPr>
          <w:p w14:paraId="15C55AB7">
            <w:pPr>
              <w:widowControl/>
              <w:jc w:val="center"/>
              <w:textAlignment w:val="center"/>
              <w:rPr>
                <w:rFonts w:ascii="宋体" w:hAnsi="宋体" w:cs="宋体"/>
                <w:kern w:val="0"/>
                <w:sz w:val="20"/>
                <w:szCs w:val="20"/>
              </w:rPr>
            </w:pPr>
            <w:r>
              <w:rPr>
                <w:rFonts w:hint="eastAsia" w:ascii="宋体" w:hAnsi="宋体" w:cs="宋体"/>
                <w:color w:val="000000"/>
                <w:kern w:val="0"/>
                <w:sz w:val="24"/>
                <w:lang w:bidi="ar"/>
              </w:rPr>
              <w:t>232.64万元</w:t>
            </w:r>
          </w:p>
        </w:tc>
        <w:tc>
          <w:tcPr>
            <w:tcW w:w="1468" w:type="dxa"/>
            <w:tcBorders>
              <w:top w:val="nil"/>
              <w:left w:val="nil"/>
              <w:bottom w:val="single" w:color="auto" w:sz="4" w:space="0"/>
              <w:right w:val="single" w:color="auto" w:sz="4" w:space="0"/>
            </w:tcBorders>
            <w:shd w:val="clear" w:color="auto" w:fill="auto"/>
            <w:vAlign w:val="center"/>
          </w:tcPr>
          <w:p w14:paraId="10A7672C">
            <w:pPr>
              <w:widowControl/>
              <w:jc w:val="center"/>
              <w:textAlignment w:val="center"/>
              <w:rPr>
                <w:rFonts w:ascii="宋体" w:hAnsi="宋体" w:cs="宋体"/>
                <w:kern w:val="0"/>
                <w:sz w:val="20"/>
                <w:szCs w:val="20"/>
              </w:rPr>
            </w:pPr>
            <w:r>
              <w:rPr>
                <w:rFonts w:hint="eastAsia" w:ascii="宋体" w:hAnsi="宋体" w:cs="宋体"/>
                <w:color w:val="000000"/>
                <w:kern w:val="0"/>
                <w:sz w:val="24"/>
                <w:lang w:bidi="ar"/>
              </w:rPr>
              <w:t>232.64万元</w:t>
            </w:r>
          </w:p>
        </w:tc>
        <w:tc>
          <w:tcPr>
            <w:tcW w:w="1074" w:type="dxa"/>
            <w:tcBorders>
              <w:top w:val="nil"/>
              <w:left w:val="nil"/>
              <w:bottom w:val="single" w:color="auto" w:sz="4" w:space="0"/>
              <w:right w:val="single" w:color="auto" w:sz="4" w:space="0"/>
            </w:tcBorders>
            <w:shd w:val="clear" w:color="auto" w:fill="auto"/>
            <w:vAlign w:val="center"/>
          </w:tcPr>
          <w:p w14:paraId="26CE6F45">
            <w:pPr>
              <w:widowControl/>
              <w:jc w:val="center"/>
              <w:textAlignment w:val="center"/>
              <w:rPr>
                <w:rFonts w:ascii="宋体" w:hAnsi="宋体" w:cs="宋体"/>
                <w:kern w:val="0"/>
                <w:sz w:val="20"/>
                <w:szCs w:val="20"/>
              </w:rPr>
            </w:pPr>
            <w:r>
              <w:rPr>
                <w:rFonts w:hint="eastAsia" w:ascii="宋体" w:hAnsi="宋体" w:cs="宋体"/>
                <w:color w:val="000000"/>
                <w:kern w:val="0"/>
                <w:sz w:val="24"/>
                <w:lang w:bidi="ar"/>
              </w:rPr>
              <w:t>100%</w:t>
            </w:r>
          </w:p>
        </w:tc>
        <w:tc>
          <w:tcPr>
            <w:tcW w:w="1487" w:type="dxa"/>
            <w:tcBorders>
              <w:top w:val="nil"/>
              <w:left w:val="nil"/>
              <w:bottom w:val="single" w:color="auto" w:sz="4" w:space="0"/>
              <w:right w:val="single" w:color="auto" w:sz="4" w:space="0"/>
            </w:tcBorders>
            <w:shd w:val="clear" w:color="auto" w:fill="auto"/>
            <w:vAlign w:val="center"/>
          </w:tcPr>
          <w:p w14:paraId="62ED2574">
            <w:pPr>
              <w:widowControl/>
              <w:jc w:val="left"/>
              <w:textAlignment w:val="center"/>
              <w:rPr>
                <w:rFonts w:ascii="宋体" w:hAnsi="宋体" w:cs="宋体"/>
                <w:kern w:val="0"/>
                <w:sz w:val="20"/>
                <w:szCs w:val="20"/>
              </w:rPr>
            </w:pPr>
          </w:p>
        </w:tc>
      </w:tr>
      <w:tr w14:paraId="1A3B4EE6">
        <w:tblPrEx>
          <w:tblCellMar>
            <w:top w:w="0" w:type="dxa"/>
            <w:left w:w="108" w:type="dxa"/>
            <w:bottom w:w="0" w:type="dxa"/>
            <w:right w:w="108" w:type="dxa"/>
          </w:tblCellMar>
        </w:tblPrEx>
        <w:trPr>
          <w:trHeight w:val="640" w:hRule="atLeast"/>
        </w:trPr>
        <w:tc>
          <w:tcPr>
            <w:tcW w:w="740" w:type="dxa"/>
            <w:vMerge w:val="continue"/>
            <w:tcBorders>
              <w:top w:val="nil"/>
              <w:left w:val="single" w:color="auto" w:sz="4" w:space="0"/>
              <w:bottom w:val="nil"/>
              <w:right w:val="single" w:color="auto" w:sz="4" w:space="0"/>
            </w:tcBorders>
            <w:vAlign w:val="center"/>
          </w:tcPr>
          <w:p w14:paraId="12F1CAC8">
            <w:pPr>
              <w:widowControl/>
              <w:jc w:val="left"/>
              <w:rPr>
                <w:rFonts w:ascii="宋体" w:hAnsi="宋体" w:cs="宋体"/>
                <w:kern w:val="0"/>
                <w:sz w:val="24"/>
              </w:rPr>
            </w:pPr>
          </w:p>
        </w:tc>
        <w:tc>
          <w:tcPr>
            <w:tcW w:w="734" w:type="dxa"/>
            <w:vMerge w:val="continue"/>
            <w:tcBorders>
              <w:left w:val="single" w:color="auto" w:sz="4" w:space="0"/>
              <w:right w:val="single" w:color="auto" w:sz="4" w:space="0"/>
            </w:tcBorders>
            <w:vAlign w:val="center"/>
          </w:tcPr>
          <w:p w14:paraId="7B1D6CC5">
            <w:pPr>
              <w:widowControl/>
              <w:jc w:val="left"/>
              <w:rPr>
                <w:rFonts w:ascii="宋体" w:hAnsi="宋体" w:cs="宋体"/>
                <w:kern w:val="0"/>
                <w:sz w:val="24"/>
              </w:rPr>
            </w:pPr>
          </w:p>
        </w:tc>
        <w:tc>
          <w:tcPr>
            <w:tcW w:w="988" w:type="dxa"/>
            <w:tcBorders>
              <w:top w:val="single" w:color="auto" w:sz="4" w:space="0"/>
              <w:left w:val="nil"/>
              <w:right w:val="single" w:color="auto" w:sz="4" w:space="0"/>
            </w:tcBorders>
            <w:shd w:val="clear" w:color="auto" w:fill="auto"/>
            <w:vAlign w:val="center"/>
          </w:tcPr>
          <w:p w14:paraId="025FFCE6">
            <w:pPr>
              <w:widowControl/>
              <w:jc w:val="center"/>
              <w:rPr>
                <w:rFonts w:ascii="宋体" w:hAnsi="宋体" w:cs="宋体"/>
                <w:kern w:val="0"/>
                <w:sz w:val="24"/>
              </w:rPr>
            </w:pPr>
            <w:r>
              <w:rPr>
                <w:rFonts w:hint="eastAsia" w:ascii="宋体" w:hAnsi="宋体" w:cs="宋体"/>
                <w:kern w:val="0"/>
                <w:sz w:val="24"/>
              </w:rPr>
              <w:t>可持续影响</w:t>
            </w:r>
          </w:p>
          <w:p w14:paraId="5AF4E5F6">
            <w:pPr>
              <w:widowControl/>
              <w:jc w:val="center"/>
              <w:rPr>
                <w:rFonts w:ascii="宋体" w:hAnsi="宋体" w:cs="宋体"/>
                <w:kern w:val="0"/>
                <w:sz w:val="24"/>
              </w:rPr>
            </w:pPr>
            <w:r>
              <w:rPr>
                <w:rFonts w:hint="eastAsia" w:ascii="宋体" w:hAnsi="宋体" w:cs="宋体"/>
                <w:kern w:val="0"/>
                <w:sz w:val="24"/>
              </w:rPr>
              <w:t>指标</w:t>
            </w:r>
          </w:p>
        </w:tc>
        <w:tc>
          <w:tcPr>
            <w:tcW w:w="1972" w:type="dxa"/>
            <w:tcBorders>
              <w:top w:val="nil"/>
              <w:left w:val="nil"/>
              <w:bottom w:val="single" w:color="auto" w:sz="4" w:space="0"/>
              <w:right w:val="single" w:color="auto" w:sz="4" w:space="0"/>
            </w:tcBorders>
            <w:shd w:val="clear" w:color="auto" w:fill="auto"/>
            <w:vAlign w:val="center"/>
          </w:tcPr>
          <w:p w14:paraId="2D30EE44">
            <w:pPr>
              <w:widowControl/>
              <w:jc w:val="left"/>
              <w:textAlignment w:val="center"/>
              <w:rPr>
                <w:rFonts w:ascii="宋体" w:hAnsi="宋体" w:cs="宋体"/>
                <w:kern w:val="0"/>
                <w:szCs w:val="21"/>
              </w:rPr>
            </w:pPr>
            <w:r>
              <w:rPr>
                <w:rFonts w:hint="eastAsia" w:ascii="宋体" w:hAnsi="宋体" w:cs="宋体"/>
                <w:color w:val="000000"/>
                <w:kern w:val="0"/>
                <w:sz w:val="22"/>
                <w:szCs w:val="22"/>
                <w:lang w:bidi="ar"/>
              </w:rPr>
              <w:t xml:space="preserve"> 指标1：儿童服务水平</w:t>
            </w:r>
          </w:p>
        </w:tc>
        <w:tc>
          <w:tcPr>
            <w:tcW w:w="1527" w:type="dxa"/>
            <w:tcBorders>
              <w:top w:val="nil"/>
              <w:left w:val="nil"/>
              <w:bottom w:val="single" w:color="auto" w:sz="4" w:space="0"/>
              <w:right w:val="single" w:color="auto" w:sz="4" w:space="0"/>
            </w:tcBorders>
            <w:shd w:val="clear" w:color="auto" w:fill="auto"/>
            <w:vAlign w:val="center"/>
          </w:tcPr>
          <w:p w14:paraId="3D631DB2">
            <w:pPr>
              <w:widowControl/>
              <w:jc w:val="center"/>
              <w:textAlignment w:val="center"/>
              <w:rPr>
                <w:rFonts w:ascii="宋体" w:hAnsi="宋体" w:cs="宋体"/>
                <w:kern w:val="0"/>
                <w:sz w:val="20"/>
                <w:szCs w:val="20"/>
              </w:rPr>
            </w:pPr>
            <w:r>
              <w:rPr>
                <w:rFonts w:hint="eastAsia" w:ascii="宋体" w:hAnsi="宋体" w:cs="宋体"/>
                <w:color w:val="000000"/>
                <w:kern w:val="0"/>
                <w:sz w:val="22"/>
                <w:szCs w:val="22"/>
                <w:lang w:bidi="ar"/>
              </w:rPr>
              <w:t>不断提高</w:t>
            </w:r>
          </w:p>
        </w:tc>
        <w:tc>
          <w:tcPr>
            <w:tcW w:w="1468" w:type="dxa"/>
            <w:tcBorders>
              <w:top w:val="nil"/>
              <w:left w:val="nil"/>
              <w:bottom w:val="single" w:color="auto" w:sz="4" w:space="0"/>
              <w:right w:val="single" w:color="auto" w:sz="4" w:space="0"/>
            </w:tcBorders>
            <w:shd w:val="clear" w:color="auto" w:fill="auto"/>
            <w:vAlign w:val="center"/>
          </w:tcPr>
          <w:p w14:paraId="06C69839">
            <w:pPr>
              <w:widowControl/>
              <w:jc w:val="center"/>
              <w:textAlignment w:val="center"/>
              <w:rPr>
                <w:rFonts w:ascii="宋体" w:hAnsi="宋体" w:cs="宋体"/>
                <w:kern w:val="0"/>
                <w:sz w:val="20"/>
                <w:szCs w:val="20"/>
              </w:rPr>
            </w:pPr>
            <w:r>
              <w:rPr>
                <w:rFonts w:hint="eastAsia" w:ascii="宋体" w:hAnsi="宋体" w:cs="宋体"/>
                <w:color w:val="000000"/>
                <w:kern w:val="0"/>
                <w:sz w:val="22"/>
                <w:szCs w:val="22"/>
                <w:lang w:bidi="ar"/>
              </w:rPr>
              <w:t>不断提高</w:t>
            </w:r>
          </w:p>
        </w:tc>
        <w:tc>
          <w:tcPr>
            <w:tcW w:w="1074" w:type="dxa"/>
            <w:tcBorders>
              <w:top w:val="nil"/>
              <w:left w:val="nil"/>
              <w:bottom w:val="single" w:color="auto" w:sz="4" w:space="0"/>
              <w:right w:val="single" w:color="auto" w:sz="4" w:space="0"/>
            </w:tcBorders>
            <w:shd w:val="clear" w:color="auto" w:fill="auto"/>
            <w:vAlign w:val="center"/>
          </w:tcPr>
          <w:p w14:paraId="7701D1B7">
            <w:pPr>
              <w:widowControl/>
              <w:jc w:val="center"/>
              <w:textAlignment w:val="center"/>
              <w:rPr>
                <w:rFonts w:ascii="宋体" w:hAnsi="宋体" w:cs="宋体"/>
                <w:kern w:val="0"/>
                <w:sz w:val="20"/>
                <w:szCs w:val="20"/>
              </w:rPr>
            </w:pPr>
            <w:r>
              <w:rPr>
                <w:rFonts w:hint="eastAsia" w:ascii="宋体" w:hAnsi="宋体" w:cs="宋体"/>
                <w:color w:val="000000"/>
                <w:kern w:val="0"/>
                <w:sz w:val="22"/>
                <w:szCs w:val="22"/>
                <w:lang w:bidi="ar"/>
              </w:rPr>
              <w:t>100%</w:t>
            </w:r>
          </w:p>
        </w:tc>
        <w:tc>
          <w:tcPr>
            <w:tcW w:w="1487" w:type="dxa"/>
            <w:tcBorders>
              <w:top w:val="nil"/>
              <w:left w:val="nil"/>
              <w:bottom w:val="single" w:color="auto" w:sz="4" w:space="0"/>
              <w:right w:val="single" w:color="auto" w:sz="4" w:space="0"/>
            </w:tcBorders>
            <w:shd w:val="clear" w:color="auto" w:fill="auto"/>
            <w:vAlign w:val="center"/>
          </w:tcPr>
          <w:p w14:paraId="2E90C8D9">
            <w:pPr>
              <w:widowControl/>
              <w:jc w:val="left"/>
              <w:textAlignment w:val="center"/>
              <w:rPr>
                <w:rFonts w:ascii="宋体" w:hAnsi="宋体" w:cs="宋体"/>
                <w:kern w:val="0"/>
                <w:sz w:val="20"/>
                <w:szCs w:val="20"/>
              </w:rPr>
            </w:pPr>
          </w:p>
        </w:tc>
      </w:tr>
      <w:tr w14:paraId="633A0747">
        <w:tblPrEx>
          <w:tblCellMar>
            <w:top w:w="0" w:type="dxa"/>
            <w:left w:w="108" w:type="dxa"/>
            <w:bottom w:w="0" w:type="dxa"/>
            <w:right w:w="108" w:type="dxa"/>
          </w:tblCellMar>
        </w:tblPrEx>
        <w:trPr>
          <w:trHeight w:val="835" w:hRule="atLeast"/>
        </w:trPr>
        <w:tc>
          <w:tcPr>
            <w:tcW w:w="740" w:type="dxa"/>
            <w:vMerge w:val="continue"/>
            <w:tcBorders>
              <w:top w:val="nil"/>
              <w:left w:val="single" w:color="auto" w:sz="4" w:space="0"/>
              <w:bottom w:val="nil"/>
              <w:right w:val="single" w:color="auto" w:sz="4" w:space="0"/>
            </w:tcBorders>
            <w:vAlign w:val="center"/>
          </w:tcPr>
          <w:p w14:paraId="04BA8DB4">
            <w:pPr>
              <w:widowControl/>
              <w:jc w:val="left"/>
              <w:rPr>
                <w:rFonts w:ascii="宋体" w:hAnsi="宋体" w:cs="宋体"/>
                <w:kern w:val="0"/>
                <w:sz w:val="24"/>
              </w:rPr>
            </w:pPr>
          </w:p>
        </w:tc>
        <w:tc>
          <w:tcPr>
            <w:tcW w:w="734" w:type="dxa"/>
            <w:vMerge w:val="restart"/>
            <w:tcBorders>
              <w:top w:val="single" w:color="auto" w:sz="4" w:space="0"/>
              <w:left w:val="nil"/>
              <w:right w:val="single" w:color="auto" w:sz="4" w:space="0"/>
            </w:tcBorders>
            <w:shd w:val="clear" w:color="auto" w:fill="auto"/>
            <w:vAlign w:val="center"/>
          </w:tcPr>
          <w:p w14:paraId="78A47CBE">
            <w:pPr>
              <w:widowControl/>
              <w:jc w:val="center"/>
              <w:rPr>
                <w:rFonts w:ascii="宋体" w:hAnsi="宋体" w:cs="宋体"/>
                <w:kern w:val="0"/>
                <w:sz w:val="24"/>
              </w:rPr>
            </w:pPr>
            <w:r>
              <w:rPr>
                <w:rFonts w:hint="eastAsia" w:ascii="宋体" w:hAnsi="宋体" w:cs="宋体"/>
                <w:kern w:val="0"/>
                <w:sz w:val="24"/>
              </w:rPr>
              <w:t>满意度指标</w:t>
            </w:r>
          </w:p>
        </w:tc>
        <w:tc>
          <w:tcPr>
            <w:tcW w:w="988" w:type="dxa"/>
            <w:vMerge w:val="restart"/>
            <w:tcBorders>
              <w:top w:val="single" w:color="auto" w:sz="4" w:space="0"/>
              <w:left w:val="nil"/>
              <w:right w:val="single" w:color="auto" w:sz="4" w:space="0"/>
            </w:tcBorders>
            <w:shd w:val="clear" w:color="auto" w:fill="auto"/>
            <w:vAlign w:val="center"/>
          </w:tcPr>
          <w:p w14:paraId="266F7936">
            <w:pPr>
              <w:widowControl/>
              <w:jc w:val="center"/>
              <w:rPr>
                <w:rFonts w:ascii="宋体" w:hAnsi="宋体" w:cs="宋体"/>
                <w:kern w:val="0"/>
                <w:sz w:val="24"/>
              </w:rPr>
            </w:pPr>
            <w:r>
              <w:rPr>
                <w:rFonts w:hint="eastAsia" w:ascii="宋体" w:hAnsi="宋体" w:cs="宋体"/>
                <w:kern w:val="0"/>
                <w:sz w:val="24"/>
              </w:rPr>
              <w:t>满意度指标</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572A0E01">
            <w:pPr>
              <w:widowControl/>
              <w:jc w:val="left"/>
              <w:textAlignment w:val="center"/>
              <w:rPr>
                <w:rFonts w:ascii="宋体" w:hAnsi="宋体" w:cs="宋体"/>
                <w:kern w:val="0"/>
                <w:sz w:val="20"/>
                <w:szCs w:val="20"/>
              </w:rPr>
            </w:pPr>
            <w:r>
              <w:rPr>
                <w:rFonts w:hint="eastAsia" w:ascii="宋体" w:hAnsi="宋体" w:cs="宋体"/>
                <w:color w:val="000000"/>
                <w:kern w:val="0"/>
                <w:sz w:val="22"/>
                <w:szCs w:val="22"/>
                <w:lang w:bidi="ar"/>
              </w:rPr>
              <w:t xml:space="preserve"> 指标1：服务对象满意率</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7A6843B5">
            <w:pPr>
              <w:widowControl/>
              <w:jc w:val="center"/>
              <w:textAlignment w:val="center"/>
              <w:rPr>
                <w:rFonts w:ascii="宋体" w:hAnsi="宋体" w:cs="宋体"/>
                <w:kern w:val="0"/>
                <w:sz w:val="20"/>
                <w:szCs w:val="20"/>
              </w:rPr>
            </w:pPr>
            <w:r>
              <w:rPr>
                <w:rFonts w:hint="eastAsia" w:ascii="宋体" w:hAnsi="宋体" w:cs="宋体"/>
                <w:color w:val="000000"/>
                <w:kern w:val="0"/>
                <w:sz w:val="22"/>
                <w:szCs w:val="22"/>
                <w:lang w:bidi="ar"/>
              </w:rPr>
              <w:t>大于9</w:t>
            </w:r>
            <w:r>
              <w:rPr>
                <w:rStyle w:val="32"/>
                <w:rFonts w:hint="default"/>
                <w:lang w:bidi="ar"/>
              </w:rPr>
              <w:t>0%</w:t>
            </w:r>
          </w:p>
        </w:tc>
        <w:tc>
          <w:tcPr>
            <w:tcW w:w="1468" w:type="dxa"/>
            <w:tcBorders>
              <w:top w:val="single" w:color="auto" w:sz="4" w:space="0"/>
              <w:left w:val="single" w:color="auto" w:sz="4" w:space="0"/>
              <w:bottom w:val="single" w:color="auto" w:sz="4" w:space="0"/>
              <w:right w:val="single" w:color="auto" w:sz="4" w:space="0"/>
            </w:tcBorders>
            <w:shd w:val="clear" w:color="auto" w:fill="auto"/>
            <w:vAlign w:val="center"/>
          </w:tcPr>
          <w:p w14:paraId="3C5D5A5C">
            <w:pPr>
              <w:widowControl/>
              <w:jc w:val="center"/>
              <w:textAlignment w:val="center"/>
              <w:rPr>
                <w:rFonts w:ascii="宋体" w:hAnsi="宋体" w:cs="宋体"/>
                <w:kern w:val="0"/>
                <w:sz w:val="20"/>
                <w:szCs w:val="20"/>
              </w:rPr>
            </w:pPr>
            <w:r>
              <w:rPr>
                <w:rFonts w:hint="eastAsia" w:ascii="宋体" w:hAnsi="宋体" w:cs="宋体"/>
                <w:color w:val="000000"/>
                <w:kern w:val="0"/>
                <w:sz w:val="22"/>
                <w:szCs w:val="22"/>
                <w:lang w:bidi="ar"/>
              </w:rPr>
              <w:t>93.36%</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14:paraId="78E443CB">
            <w:pPr>
              <w:widowControl/>
              <w:jc w:val="center"/>
              <w:textAlignment w:val="center"/>
              <w:rPr>
                <w:rFonts w:ascii="宋体" w:hAnsi="宋体" w:cs="宋体"/>
                <w:kern w:val="0"/>
                <w:sz w:val="20"/>
                <w:szCs w:val="20"/>
              </w:rPr>
            </w:pPr>
            <w:r>
              <w:rPr>
                <w:rFonts w:hint="eastAsia" w:ascii="宋体" w:hAnsi="宋体" w:cs="宋体"/>
                <w:color w:val="000000"/>
                <w:kern w:val="0"/>
                <w:sz w:val="22"/>
                <w:szCs w:val="22"/>
                <w:lang w:bidi="ar"/>
              </w:rPr>
              <w:t>100%</w:t>
            </w: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14:paraId="19531156">
            <w:pPr>
              <w:widowControl/>
              <w:jc w:val="left"/>
              <w:textAlignment w:val="center"/>
              <w:rPr>
                <w:rFonts w:ascii="宋体" w:hAnsi="宋体" w:cs="宋体"/>
                <w:kern w:val="0"/>
                <w:sz w:val="20"/>
                <w:szCs w:val="20"/>
              </w:rPr>
            </w:pPr>
          </w:p>
        </w:tc>
      </w:tr>
      <w:tr w14:paraId="07D781EC">
        <w:tblPrEx>
          <w:tblCellMar>
            <w:top w:w="0" w:type="dxa"/>
            <w:left w:w="108" w:type="dxa"/>
            <w:bottom w:w="0" w:type="dxa"/>
            <w:right w:w="108" w:type="dxa"/>
          </w:tblCellMar>
        </w:tblPrEx>
        <w:trPr>
          <w:trHeight w:val="830" w:hRule="atLeast"/>
        </w:trPr>
        <w:tc>
          <w:tcPr>
            <w:tcW w:w="740" w:type="dxa"/>
            <w:tcBorders>
              <w:top w:val="nil"/>
              <w:left w:val="single" w:color="auto" w:sz="4" w:space="0"/>
              <w:bottom w:val="nil"/>
              <w:right w:val="single" w:color="auto" w:sz="4" w:space="0"/>
            </w:tcBorders>
            <w:vAlign w:val="center"/>
          </w:tcPr>
          <w:p w14:paraId="78E96794">
            <w:pPr>
              <w:widowControl/>
              <w:jc w:val="left"/>
              <w:rPr>
                <w:rFonts w:ascii="宋体" w:hAnsi="宋体" w:cs="宋体"/>
                <w:kern w:val="0"/>
                <w:sz w:val="24"/>
              </w:rPr>
            </w:pPr>
          </w:p>
        </w:tc>
        <w:tc>
          <w:tcPr>
            <w:tcW w:w="734" w:type="dxa"/>
            <w:vMerge w:val="continue"/>
            <w:tcBorders>
              <w:left w:val="nil"/>
              <w:bottom w:val="single" w:color="auto" w:sz="4" w:space="0"/>
              <w:right w:val="single" w:color="auto" w:sz="4" w:space="0"/>
            </w:tcBorders>
            <w:shd w:val="clear" w:color="auto" w:fill="auto"/>
            <w:vAlign w:val="center"/>
          </w:tcPr>
          <w:p w14:paraId="2A8C6C1F">
            <w:pPr>
              <w:widowControl/>
              <w:jc w:val="center"/>
              <w:rPr>
                <w:rFonts w:ascii="宋体" w:hAnsi="宋体" w:cs="宋体"/>
                <w:kern w:val="0"/>
                <w:sz w:val="24"/>
              </w:rPr>
            </w:pPr>
          </w:p>
        </w:tc>
        <w:tc>
          <w:tcPr>
            <w:tcW w:w="988" w:type="dxa"/>
            <w:vMerge w:val="continue"/>
            <w:tcBorders>
              <w:left w:val="nil"/>
              <w:bottom w:val="single" w:color="auto" w:sz="4" w:space="0"/>
              <w:right w:val="single" w:color="auto" w:sz="4" w:space="0"/>
            </w:tcBorders>
            <w:shd w:val="clear" w:color="auto" w:fill="auto"/>
            <w:vAlign w:val="center"/>
          </w:tcPr>
          <w:p w14:paraId="4A462033">
            <w:pPr>
              <w:widowControl/>
              <w:jc w:val="center"/>
              <w:rPr>
                <w:rFonts w:ascii="宋体" w:hAnsi="宋体" w:cs="宋体"/>
                <w:kern w:val="0"/>
                <w:sz w:val="24"/>
              </w:rPr>
            </w:pP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48B34394">
            <w:pPr>
              <w:widowControl/>
              <w:jc w:val="left"/>
              <w:textAlignment w:val="center"/>
              <w:rPr>
                <w:rFonts w:ascii="宋体" w:hAnsi="宋体" w:cs="宋体"/>
                <w:kern w:val="0"/>
                <w:sz w:val="20"/>
                <w:szCs w:val="20"/>
              </w:rPr>
            </w:pPr>
            <w:r>
              <w:rPr>
                <w:rFonts w:hint="eastAsia" w:ascii="宋体" w:hAnsi="宋体" w:cs="宋体"/>
                <w:color w:val="000000"/>
                <w:kern w:val="0"/>
                <w:sz w:val="22"/>
                <w:szCs w:val="22"/>
                <w:lang w:bidi="ar"/>
              </w:rPr>
              <w:t xml:space="preserve"> 指标2：职工满意率</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1ED5338B">
            <w:pPr>
              <w:widowControl/>
              <w:jc w:val="center"/>
              <w:textAlignment w:val="center"/>
              <w:rPr>
                <w:rFonts w:ascii="宋体" w:hAnsi="宋体" w:cs="宋体"/>
                <w:kern w:val="0"/>
                <w:sz w:val="20"/>
                <w:szCs w:val="20"/>
              </w:rPr>
            </w:pPr>
            <w:r>
              <w:rPr>
                <w:rFonts w:hint="eastAsia" w:ascii="宋体" w:hAnsi="宋体" w:cs="宋体"/>
                <w:color w:val="000000"/>
                <w:kern w:val="0"/>
                <w:sz w:val="22"/>
                <w:szCs w:val="22"/>
                <w:lang w:bidi="ar"/>
              </w:rPr>
              <w:t>大于8</w:t>
            </w:r>
            <w:r>
              <w:rPr>
                <w:rStyle w:val="32"/>
                <w:rFonts w:hint="default"/>
                <w:lang w:bidi="ar"/>
              </w:rPr>
              <w:t>5%</w:t>
            </w:r>
          </w:p>
        </w:tc>
        <w:tc>
          <w:tcPr>
            <w:tcW w:w="1468" w:type="dxa"/>
            <w:tcBorders>
              <w:top w:val="single" w:color="auto" w:sz="4" w:space="0"/>
              <w:left w:val="single" w:color="auto" w:sz="4" w:space="0"/>
              <w:bottom w:val="single" w:color="auto" w:sz="4" w:space="0"/>
              <w:right w:val="single" w:color="auto" w:sz="4" w:space="0"/>
            </w:tcBorders>
            <w:shd w:val="clear" w:color="auto" w:fill="auto"/>
            <w:vAlign w:val="center"/>
          </w:tcPr>
          <w:p w14:paraId="60D71BCC">
            <w:pPr>
              <w:widowControl/>
              <w:jc w:val="center"/>
              <w:textAlignment w:val="center"/>
              <w:rPr>
                <w:rFonts w:ascii="宋体" w:hAnsi="宋体" w:cs="宋体"/>
                <w:kern w:val="0"/>
                <w:sz w:val="20"/>
                <w:szCs w:val="20"/>
              </w:rPr>
            </w:pPr>
            <w:r>
              <w:rPr>
                <w:rFonts w:hint="eastAsia" w:ascii="宋体" w:hAnsi="宋体" w:cs="宋体"/>
                <w:color w:val="000000"/>
                <w:kern w:val="0"/>
                <w:sz w:val="22"/>
                <w:szCs w:val="22"/>
                <w:lang w:bidi="ar"/>
              </w:rPr>
              <w:t>89%</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14:paraId="6E4E6B7C">
            <w:pPr>
              <w:widowControl/>
              <w:jc w:val="center"/>
              <w:textAlignment w:val="center"/>
              <w:rPr>
                <w:rFonts w:ascii="宋体" w:hAnsi="宋体" w:cs="宋体"/>
                <w:kern w:val="0"/>
                <w:sz w:val="20"/>
                <w:szCs w:val="20"/>
              </w:rPr>
            </w:pPr>
            <w:r>
              <w:rPr>
                <w:rFonts w:hint="eastAsia" w:ascii="宋体" w:hAnsi="宋体" w:cs="宋体"/>
                <w:color w:val="000000"/>
                <w:kern w:val="0"/>
                <w:sz w:val="22"/>
                <w:szCs w:val="22"/>
                <w:lang w:bidi="ar"/>
              </w:rPr>
              <w:t>100%</w:t>
            </w: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14:paraId="3DEF6067">
            <w:pPr>
              <w:widowControl/>
              <w:jc w:val="left"/>
              <w:textAlignment w:val="center"/>
              <w:rPr>
                <w:rFonts w:ascii="宋体" w:hAnsi="宋体" w:cs="宋体"/>
                <w:kern w:val="0"/>
                <w:sz w:val="20"/>
                <w:szCs w:val="20"/>
              </w:rPr>
            </w:pPr>
          </w:p>
        </w:tc>
      </w:tr>
      <w:bookmarkEnd w:id="51"/>
    </w:tbl>
    <w:p w14:paraId="355A7CFF">
      <w:pPr>
        <w:spacing w:line="600" w:lineRule="exact"/>
        <w:outlineLvl w:val="0"/>
        <w:rPr>
          <w:rFonts w:ascii="黑体" w:hAnsi="黑体" w:eastAsia="黑体"/>
          <w:sz w:val="44"/>
          <w:szCs w:val="44"/>
        </w:rPr>
      </w:pPr>
      <w:bookmarkStart w:id="53" w:name="_Toc15396618"/>
    </w:p>
    <w:p w14:paraId="3C029D3F">
      <w:pPr>
        <w:spacing w:line="600" w:lineRule="exact"/>
        <w:jc w:val="center"/>
        <w:outlineLvl w:val="0"/>
        <w:rPr>
          <w:rFonts w:ascii="黑体" w:hAnsi="黑体" w:eastAsia="黑体"/>
          <w:sz w:val="44"/>
          <w:szCs w:val="44"/>
        </w:rPr>
      </w:pPr>
    </w:p>
    <w:p w14:paraId="33566BDB">
      <w:pPr>
        <w:spacing w:line="600" w:lineRule="exact"/>
        <w:jc w:val="center"/>
        <w:outlineLvl w:val="0"/>
        <w:rPr>
          <w:rFonts w:ascii="黑体" w:hAnsi="黑体" w:eastAsia="黑体"/>
          <w:sz w:val="44"/>
          <w:szCs w:val="44"/>
        </w:rPr>
      </w:pPr>
    </w:p>
    <w:p w14:paraId="679AD591">
      <w:pPr>
        <w:pStyle w:val="2"/>
        <w:spacing w:before="93"/>
      </w:pPr>
    </w:p>
    <w:p w14:paraId="5244BC92">
      <w:pPr>
        <w:pStyle w:val="2"/>
        <w:spacing w:before="93"/>
      </w:pPr>
    </w:p>
    <w:p w14:paraId="393D39DF">
      <w:pPr>
        <w:pStyle w:val="2"/>
        <w:spacing w:before="93"/>
      </w:pPr>
    </w:p>
    <w:p w14:paraId="3ABB6431">
      <w:pPr>
        <w:pStyle w:val="2"/>
        <w:spacing w:before="93"/>
      </w:pPr>
    </w:p>
    <w:p w14:paraId="5494FB48">
      <w:pPr>
        <w:pStyle w:val="2"/>
        <w:spacing w:before="93"/>
      </w:pPr>
    </w:p>
    <w:p w14:paraId="432E9BE4">
      <w:pPr>
        <w:pStyle w:val="2"/>
        <w:spacing w:before="93"/>
      </w:pPr>
    </w:p>
    <w:p w14:paraId="6FBCBA0F">
      <w:pPr>
        <w:pStyle w:val="2"/>
        <w:spacing w:before="93"/>
      </w:pPr>
    </w:p>
    <w:p w14:paraId="1BA3D674">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2"/>
      <w:bookmarkEnd w:id="53"/>
      <w:bookmarkStart w:id="54" w:name="_Toc15396619"/>
    </w:p>
    <w:p w14:paraId="304472B7">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4"/>
    </w:p>
    <w:p w14:paraId="6A37CD3B">
      <w:pPr>
        <w:pStyle w:val="4"/>
        <w:rPr>
          <w:rFonts w:ascii="仿宋" w:hAnsi="仿宋" w:eastAsia="仿宋"/>
        </w:rPr>
      </w:pPr>
      <w:bookmarkStart w:id="55" w:name="_Toc15396620"/>
      <w:r>
        <w:rPr>
          <w:rFonts w:hint="eastAsia" w:ascii="仿宋" w:hAnsi="仿宋" w:eastAsia="仿宋"/>
          <w:b w:val="0"/>
        </w:rPr>
        <w:t>二、收</w:t>
      </w:r>
      <w:r>
        <w:rPr>
          <w:rStyle w:val="25"/>
          <w:rFonts w:hint="eastAsia" w:ascii="仿宋" w:hAnsi="仿宋" w:eastAsia="仿宋"/>
          <w:b w:val="0"/>
          <w:bCs w:val="0"/>
        </w:rPr>
        <w:t>入决算表</w:t>
      </w:r>
      <w:bookmarkEnd w:id="55"/>
    </w:p>
    <w:p w14:paraId="7A71EA11">
      <w:pPr>
        <w:pStyle w:val="4"/>
        <w:rPr>
          <w:rFonts w:ascii="仿宋" w:hAnsi="仿宋" w:eastAsia="仿宋"/>
        </w:rPr>
      </w:pPr>
      <w:bookmarkStart w:id="56"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6"/>
    </w:p>
    <w:p w14:paraId="2D5C5738">
      <w:pPr>
        <w:pStyle w:val="4"/>
        <w:rPr>
          <w:rFonts w:ascii="仿宋" w:hAnsi="仿宋" w:eastAsia="仿宋"/>
          <w:b w:val="0"/>
        </w:rPr>
      </w:pPr>
      <w:bookmarkStart w:id="57"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7"/>
    </w:p>
    <w:p w14:paraId="3837A187">
      <w:pPr>
        <w:pStyle w:val="4"/>
        <w:rPr>
          <w:rStyle w:val="25"/>
          <w:rFonts w:ascii="仿宋" w:hAnsi="仿宋" w:eastAsia="仿宋"/>
          <w:b w:val="0"/>
          <w:bCs w:val="0"/>
        </w:rPr>
      </w:pPr>
      <w:bookmarkStart w:id="58"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8"/>
      <w:bookmarkStart w:id="59" w:name="_Toc15396624"/>
    </w:p>
    <w:p w14:paraId="373CB555">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59"/>
    </w:p>
    <w:p w14:paraId="4719415E">
      <w:pPr>
        <w:pStyle w:val="4"/>
        <w:rPr>
          <w:rFonts w:ascii="仿宋" w:hAnsi="仿宋" w:eastAsia="仿宋"/>
        </w:rPr>
      </w:pPr>
      <w:bookmarkStart w:id="60"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0"/>
    </w:p>
    <w:p w14:paraId="50F7A075">
      <w:pPr>
        <w:pStyle w:val="4"/>
        <w:rPr>
          <w:rFonts w:ascii="仿宋" w:hAnsi="仿宋" w:eastAsia="仿宋"/>
        </w:rPr>
      </w:pPr>
      <w:bookmarkStart w:id="61"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1"/>
    </w:p>
    <w:p w14:paraId="6B4089FC">
      <w:pPr>
        <w:pStyle w:val="4"/>
        <w:rPr>
          <w:rFonts w:ascii="仿宋" w:hAnsi="仿宋" w:eastAsia="仿宋"/>
        </w:rPr>
      </w:pPr>
      <w:bookmarkStart w:id="62"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2"/>
    </w:p>
    <w:p w14:paraId="345B58BC">
      <w:pPr>
        <w:pStyle w:val="4"/>
        <w:rPr>
          <w:rFonts w:ascii="仿宋" w:hAnsi="仿宋" w:eastAsia="仿宋"/>
        </w:rPr>
      </w:pPr>
      <w:bookmarkStart w:id="63" w:name="_Toc15396628"/>
      <w:r>
        <w:rPr>
          <w:rStyle w:val="25"/>
          <w:rFonts w:hint="eastAsia" w:ascii="仿宋" w:hAnsi="仿宋" w:eastAsia="仿宋"/>
          <w:b w:val="0"/>
          <w:bCs w:val="0"/>
        </w:rPr>
        <w:t>十、</w:t>
      </w:r>
      <w:r>
        <w:rPr>
          <w:rFonts w:hint="eastAsia" w:ascii="仿宋" w:hAnsi="仿宋" w:eastAsia="仿宋"/>
          <w:b w:val="0"/>
        </w:rPr>
        <w:t>一</w:t>
      </w:r>
      <w:r>
        <w:rPr>
          <w:rStyle w:val="25"/>
          <w:rFonts w:hint="eastAsia" w:ascii="仿宋" w:hAnsi="仿宋" w:eastAsia="仿宋"/>
          <w:b w:val="0"/>
          <w:bCs w:val="0"/>
        </w:rPr>
        <w:t>般公共预算财政拨款“三公”经费支出决算表</w:t>
      </w:r>
      <w:bookmarkEnd w:id="63"/>
    </w:p>
    <w:p w14:paraId="5E906B5F">
      <w:pPr>
        <w:pStyle w:val="4"/>
        <w:rPr>
          <w:rFonts w:ascii="仿宋" w:hAnsi="仿宋" w:eastAsia="仿宋"/>
        </w:rPr>
      </w:pPr>
      <w:bookmarkStart w:id="64" w:name="_Toc15396629"/>
      <w:r>
        <w:rPr>
          <w:rStyle w:val="25"/>
          <w:rFonts w:hint="eastAsia" w:ascii="仿宋" w:hAnsi="仿宋" w:eastAsia="仿宋"/>
          <w:b w:val="0"/>
          <w:bCs w:val="0"/>
        </w:rPr>
        <w:t>十一、</w:t>
      </w:r>
      <w:r>
        <w:rPr>
          <w:rFonts w:hint="eastAsia" w:ascii="仿宋" w:hAnsi="仿宋" w:eastAsia="仿宋"/>
          <w:b w:val="0"/>
        </w:rPr>
        <w:t>政</w:t>
      </w:r>
      <w:r>
        <w:rPr>
          <w:rStyle w:val="25"/>
          <w:rFonts w:hint="eastAsia" w:ascii="仿宋" w:hAnsi="仿宋" w:eastAsia="仿宋"/>
          <w:b w:val="0"/>
          <w:bCs w:val="0"/>
        </w:rPr>
        <w:t>府性基金预算财政拨款收入支出决算表</w:t>
      </w:r>
      <w:bookmarkEnd w:id="64"/>
    </w:p>
    <w:p w14:paraId="33779347">
      <w:pPr>
        <w:pStyle w:val="4"/>
        <w:rPr>
          <w:rFonts w:ascii="仿宋" w:hAnsi="仿宋" w:eastAsia="仿宋"/>
        </w:rPr>
      </w:pPr>
      <w:bookmarkStart w:id="65" w:name="_Toc15396630"/>
      <w:r>
        <w:rPr>
          <w:rStyle w:val="25"/>
          <w:rFonts w:hint="eastAsia" w:ascii="仿宋" w:hAnsi="仿宋" w:eastAsia="仿宋"/>
          <w:b w:val="0"/>
          <w:bCs w:val="0"/>
        </w:rPr>
        <w:t>十二、</w:t>
      </w:r>
      <w:r>
        <w:rPr>
          <w:rFonts w:hint="eastAsia" w:ascii="仿宋" w:hAnsi="仿宋" w:eastAsia="仿宋"/>
          <w:b w:val="0"/>
        </w:rPr>
        <w:t>政</w:t>
      </w:r>
      <w:r>
        <w:rPr>
          <w:rStyle w:val="25"/>
          <w:rFonts w:hint="eastAsia" w:ascii="仿宋" w:hAnsi="仿宋" w:eastAsia="仿宋"/>
          <w:b w:val="0"/>
          <w:bCs w:val="0"/>
        </w:rPr>
        <w:t>府性基金预算财政拨款“三公”经费支出决算表</w:t>
      </w:r>
      <w:bookmarkEnd w:id="65"/>
    </w:p>
    <w:p w14:paraId="218E2E2B">
      <w:pPr>
        <w:pStyle w:val="4"/>
        <w:rPr>
          <w:rStyle w:val="25"/>
          <w:rFonts w:ascii="仿宋" w:hAnsi="仿宋" w:eastAsia="仿宋"/>
          <w:b w:val="0"/>
          <w:bCs w:val="0"/>
        </w:rPr>
      </w:pPr>
      <w:bookmarkStart w:id="66" w:name="_Toc15396631"/>
      <w:r>
        <w:rPr>
          <w:rStyle w:val="25"/>
          <w:rFonts w:hint="eastAsia" w:ascii="仿宋" w:hAnsi="仿宋" w:eastAsia="仿宋"/>
          <w:b w:val="0"/>
          <w:bCs w:val="0"/>
        </w:rPr>
        <w:t>十三、</w:t>
      </w:r>
      <w:r>
        <w:rPr>
          <w:rFonts w:hint="eastAsia" w:ascii="仿宋" w:hAnsi="仿宋" w:eastAsia="仿宋"/>
          <w:b w:val="0"/>
        </w:rPr>
        <w:t>国</w:t>
      </w:r>
      <w:r>
        <w:rPr>
          <w:rStyle w:val="25"/>
          <w:rFonts w:hint="eastAsia" w:ascii="仿宋" w:hAnsi="仿宋" w:eastAsia="仿宋"/>
          <w:b w:val="0"/>
          <w:bCs w:val="0"/>
        </w:rPr>
        <w:t>有资本经营预算财政拨款收入支出决算表</w:t>
      </w:r>
      <w:bookmarkEnd w:id="66"/>
    </w:p>
    <w:p w14:paraId="5B1D95D2">
      <w:pPr>
        <w:rPr>
          <w:rFonts w:eastAsia="仿宋"/>
        </w:rPr>
      </w:pPr>
      <w:r>
        <w:rPr>
          <w:rStyle w:val="25"/>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A6D1FC7">
        <w:pPr>
          <w:pStyle w:val="8"/>
          <w:jc w:val="center"/>
        </w:pPr>
        <w:r>
          <w:fldChar w:fldCharType="begin"/>
        </w:r>
        <w:r>
          <w:instrText xml:space="preserve">PAGE   \* MERGEFORMAT</w:instrText>
        </w:r>
        <w:r>
          <w:fldChar w:fldCharType="separate"/>
        </w:r>
        <w:r>
          <w:rPr>
            <w:lang w:val="zh-CN"/>
          </w:rPr>
          <w:t>20</w:t>
        </w:r>
        <w:r>
          <w:fldChar w:fldCharType="end"/>
        </w:r>
      </w:p>
    </w:sdtContent>
  </w:sdt>
  <w:p w14:paraId="74027D6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8D4CE">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59948"/>
    <w:multiLevelType w:val="singleLevel"/>
    <w:tmpl w:val="82059948"/>
    <w:lvl w:ilvl="0" w:tentative="0">
      <w:start w:val="2"/>
      <w:numFmt w:val="chineseCounting"/>
      <w:suff w:val="nothing"/>
      <w:lvlText w:val="（%1）"/>
      <w:lvlJc w:val="left"/>
      <w:rPr>
        <w:rFonts w:hint="eastAsia"/>
      </w:rPr>
    </w:lvl>
  </w:abstractNum>
  <w:abstractNum w:abstractNumId="1">
    <w:nsid w:val="A6F9F9DA"/>
    <w:multiLevelType w:val="singleLevel"/>
    <w:tmpl w:val="A6F9F9DA"/>
    <w:lvl w:ilvl="0" w:tentative="0">
      <w:start w:val="3"/>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9F1F2AC"/>
    <w:multiLevelType w:val="singleLevel"/>
    <w:tmpl w:val="D9F1F2AC"/>
    <w:lvl w:ilvl="0" w:tentative="0">
      <w:start w:val="1"/>
      <w:numFmt w:val="chineseCounting"/>
      <w:suff w:val="nothing"/>
      <w:lvlText w:val="（%1）"/>
      <w:lvlJc w:val="left"/>
      <w:pPr>
        <w:ind w:left="840"/>
      </w:pPr>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5">
    <w:nsid w:val="015F72AF"/>
    <w:multiLevelType w:val="singleLevel"/>
    <w:tmpl w:val="015F72AF"/>
    <w:lvl w:ilvl="0" w:tentative="0">
      <w:start w:val="1"/>
      <w:numFmt w:val="decimal"/>
      <w:lvlText w:val="%1."/>
      <w:lvlJc w:val="left"/>
      <w:pPr>
        <w:tabs>
          <w:tab w:val="left" w:pos="312"/>
        </w:tabs>
      </w:pPr>
    </w:lvl>
  </w:abstractNum>
  <w:abstractNum w:abstractNumId="6">
    <w:nsid w:val="0FBA1061"/>
    <w:multiLevelType w:val="multilevel"/>
    <w:tmpl w:val="0FBA1061"/>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243C209E"/>
    <w:multiLevelType w:val="singleLevel"/>
    <w:tmpl w:val="243C209E"/>
    <w:lvl w:ilvl="0" w:tentative="0">
      <w:start w:val="1"/>
      <w:numFmt w:val="chineseCounting"/>
      <w:suff w:val="nothing"/>
      <w:lvlText w:val="%1、"/>
      <w:lvlJc w:val="left"/>
      <w:rPr>
        <w:rFonts w:hint="eastAsia"/>
      </w:rPr>
    </w:lvl>
  </w:abstractNum>
  <w:abstractNum w:abstractNumId="9">
    <w:nsid w:val="398D61E0"/>
    <w:multiLevelType w:val="singleLevel"/>
    <w:tmpl w:val="398D61E0"/>
    <w:lvl w:ilvl="0" w:tentative="0">
      <w:start w:val="2"/>
      <w:numFmt w:val="chineseCounting"/>
      <w:suff w:val="nothing"/>
      <w:lvlText w:val="(%1）"/>
      <w:lvlJc w:val="left"/>
      <w:rPr>
        <w:rFonts w:hint="eastAsia"/>
      </w:rPr>
    </w:lvl>
  </w:abstractNum>
  <w:num w:numId="1">
    <w:abstractNumId w:val="8"/>
  </w:num>
  <w:num w:numId="2">
    <w:abstractNumId w:val="3"/>
  </w:num>
  <w:num w:numId="3">
    <w:abstractNumId w:val="9"/>
  </w:num>
  <w:num w:numId="4">
    <w:abstractNumId w:val="6"/>
  </w:num>
  <w:num w:numId="5">
    <w:abstractNumId w:val="7"/>
  </w:num>
  <w:num w:numId="6">
    <w:abstractNumId w:val="5"/>
  </w:num>
  <w:num w:numId="7">
    <w:abstractNumId w:val="2"/>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5NjE5NDI4MmEwNGNmN2Q3MTQ5YmVhNjNiMGRhOWQifQ=="/>
  </w:docVars>
  <w:rsids>
    <w:rsidRoot w:val="00F1361C"/>
    <w:rsid w:val="00021D75"/>
    <w:rsid w:val="000222C6"/>
    <w:rsid w:val="0002549F"/>
    <w:rsid w:val="000468DB"/>
    <w:rsid w:val="0006487A"/>
    <w:rsid w:val="00065F8F"/>
    <w:rsid w:val="00070A43"/>
    <w:rsid w:val="000768F2"/>
    <w:rsid w:val="0009184B"/>
    <w:rsid w:val="00094236"/>
    <w:rsid w:val="0009593C"/>
    <w:rsid w:val="00097322"/>
    <w:rsid w:val="000A6A92"/>
    <w:rsid w:val="000B047F"/>
    <w:rsid w:val="000B0F08"/>
    <w:rsid w:val="000B5923"/>
    <w:rsid w:val="000B5A48"/>
    <w:rsid w:val="000B6FF3"/>
    <w:rsid w:val="000C3467"/>
    <w:rsid w:val="000C3CA6"/>
    <w:rsid w:val="000D1267"/>
    <w:rsid w:val="000D1D50"/>
    <w:rsid w:val="000D5782"/>
    <w:rsid w:val="000E6613"/>
    <w:rsid w:val="000E7119"/>
    <w:rsid w:val="00102187"/>
    <w:rsid w:val="001070CF"/>
    <w:rsid w:val="00114E9B"/>
    <w:rsid w:val="00142216"/>
    <w:rsid w:val="00143DCC"/>
    <w:rsid w:val="00144D6A"/>
    <w:rsid w:val="0014729F"/>
    <w:rsid w:val="00157BAB"/>
    <w:rsid w:val="001654D1"/>
    <w:rsid w:val="00174518"/>
    <w:rsid w:val="0018106D"/>
    <w:rsid w:val="001877A7"/>
    <w:rsid w:val="00191536"/>
    <w:rsid w:val="00196687"/>
    <w:rsid w:val="001A3ECB"/>
    <w:rsid w:val="001C0962"/>
    <w:rsid w:val="001D3E01"/>
    <w:rsid w:val="001D7531"/>
    <w:rsid w:val="001E737D"/>
    <w:rsid w:val="001F0592"/>
    <w:rsid w:val="001F1778"/>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5FB4"/>
    <w:rsid w:val="002D6D05"/>
    <w:rsid w:val="002F1818"/>
    <w:rsid w:val="002F567B"/>
    <w:rsid w:val="003216A9"/>
    <w:rsid w:val="00335A74"/>
    <w:rsid w:val="00346B9D"/>
    <w:rsid w:val="00356173"/>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7957"/>
    <w:rsid w:val="004A711F"/>
    <w:rsid w:val="004B199D"/>
    <w:rsid w:val="004B4690"/>
    <w:rsid w:val="004B745E"/>
    <w:rsid w:val="004E0A2D"/>
    <w:rsid w:val="004E206B"/>
    <w:rsid w:val="004E6DF7"/>
    <w:rsid w:val="004F0FBD"/>
    <w:rsid w:val="00505A47"/>
    <w:rsid w:val="00512FDA"/>
    <w:rsid w:val="00520DA0"/>
    <w:rsid w:val="00536301"/>
    <w:rsid w:val="00537DDB"/>
    <w:rsid w:val="005664BB"/>
    <w:rsid w:val="00566FFA"/>
    <w:rsid w:val="0057481D"/>
    <w:rsid w:val="0058486E"/>
    <w:rsid w:val="00585B33"/>
    <w:rsid w:val="0059014D"/>
    <w:rsid w:val="005B5C64"/>
    <w:rsid w:val="005C5337"/>
    <w:rsid w:val="005C6BD0"/>
    <w:rsid w:val="005D1C8B"/>
    <w:rsid w:val="005D468D"/>
    <w:rsid w:val="005D5CED"/>
    <w:rsid w:val="005E1A34"/>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4539"/>
    <w:rsid w:val="00885AF4"/>
    <w:rsid w:val="008939CD"/>
    <w:rsid w:val="008B615A"/>
    <w:rsid w:val="008B768C"/>
    <w:rsid w:val="008C4DB1"/>
    <w:rsid w:val="008C4EAF"/>
    <w:rsid w:val="008C5176"/>
    <w:rsid w:val="008C7FD0"/>
    <w:rsid w:val="008E1DE7"/>
    <w:rsid w:val="008E707C"/>
    <w:rsid w:val="008F5D34"/>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0355"/>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37750"/>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2A3"/>
    <w:rsid w:val="00BD0E25"/>
    <w:rsid w:val="00BF5BD6"/>
    <w:rsid w:val="00C03E31"/>
    <w:rsid w:val="00C06718"/>
    <w:rsid w:val="00C33E72"/>
    <w:rsid w:val="00C354B2"/>
    <w:rsid w:val="00C35554"/>
    <w:rsid w:val="00C3591D"/>
    <w:rsid w:val="00C42709"/>
    <w:rsid w:val="00C533CC"/>
    <w:rsid w:val="00C5751C"/>
    <w:rsid w:val="00C61BFC"/>
    <w:rsid w:val="00C62B85"/>
    <w:rsid w:val="00C641B2"/>
    <w:rsid w:val="00C65438"/>
    <w:rsid w:val="00C87FD8"/>
    <w:rsid w:val="00C91381"/>
    <w:rsid w:val="00C91CBB"/>
    <w:rsid w:val="00CA5A07"/>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1E1E"/>
    <w:rsid w:val="00D51276"/>
    <w:rsid w:val="00D7035F"/>
    <w:rsid w:val="00DA634F"/>
    <w:rsid w:val="00DA65AC"/>
    <w:rsid w:val="00DB1913"/>
    <w:rsid w:val="00DB640B"/>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06B7C"/>
    <w:rsid w:val="00F1361C"/>
    <w:rsid w:val="00F156F0"/>
    <w:rsid w:val="00F160C7"/>
    <w:rsid w:val="00F2408F"/>
    <w:rsid w:val="00F240E9"/>
    <w:rsid w:val="00F350BB"/>
    <w:rsid w:val="00F36D8F"/>
    <w:rsid w:val="00F417B1"/>
    <w:rsid w:val="00F45853"/>
    <w:rsid w:val="00F602DF"/>
    <w:rsid w:val="00F754A1"/>
    <w:rsid w:val="00F81FD9"/>
    <w:rsid w:val="00F841AA"/>
    <w:rsid w:val="00F84A94"/>
    <w:rsid w:val="00F87E96"/>
    <w:rsid w:val="00FA23E8"/>
    <w:rsid w:val="00FC22E2"/>
    <w:rsid w:val="00FD3CC1"/>
    <w:rsid w:val="00FE6B43"/>
    <w:rsid w:val="00FF1E02"/>
    <w:rsid w:val="00FF30B4"/>
    <w:rsid w:val="049A448F"/>
    <w:rsid w:val="0A2032A3"/>
    <w:rsid w:val="0B8A37D8"/>
    <w:rsid w:val="10A162CC"/>
    <w:rsid w:val="10C055FF"/>
    <w:rsid w:val="118107EC"/>
    <w:rsid w:val="11DD6519"/>
    <w:rsid w:val="16BB723D"/>
    <w:rsid w:val="18015F3F"/>
    <w:rsid w:val="1BE8440E"/>
    <w:rsid w:val="1D155CEE"/>
    <w:rsid w:val="202D1DEC"/>
    <w:rsid w:val="20F57F95"/>
    <w:rsid w:val="210E39CB"/>
    <w:rsid w:val="240371BF"/>
    <w:rsid w:val="25C741E6"/>
    <w:rsid w:val="27634CE1"/>
    <w:rsid w:val="27842671"/>
    <w:rsid w:val="29FD04D3"/>
    <w:rsid w:val="2ABE7A3E"/>
    <w:rsid w:val="2D7F06FE"/>
    <w:rsid w:val="2EFA178C"/>
    <w:rsid w:val="301850A8"/>
    <w:rsid w:val="30B46D73"/>
    <w:rsid w:val="318A1738"/>
    <w:rsid w:val="319F7F4E"/>
    <w:rsid w:val="357C6CFE"/>
    <w:rsid w:val="370E2711"/>
    <w:rsid w:val="39AE70AB"/>
    <w:rsid w:val="3BB63B29"/>
    <w:rsid w:val="3C0C0783"/>
    <w:rsid w:val="3EC1681E"/>
    <w:rsid w:val="3F9F3A96"/>
    <w:rsid w:val="493C27E9"/>
    <w:rsid w:val="496F39ED"/>
    <w:rsid w:val="49FF41D3"/>
    <w:rsid w:val="4BE068DB"/>
    <w:rsid w:val="4BF6002B"/>
    <w:rsid w:val="4ECE2238"/>
    <w:rsid w:val="51DB4B86"/>
    <w:rsid w:val="55333C3E"/>
    <w:rsid w:val="5866141B"/>
    <w:rsid w:val="5A4938CD"/>
    <w:rsid w:val="5EA04F5B"/>
    <w:rsid w:val="60A056E7"/>
    <w:rsid w:val="64CA39A1"/>
    <w:rsid w:val="6C4A05C8"/>
    <w:rsid w:val="72734D90"/>
    <w:rsid w:val="72D2660D"/>
    <w:rsid w:val="75FB2BD0"/>
    <w:rsid w:val="79E7B28D"/>
    <w:rsid w:val="7A7B16D5"/>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font71"/>
    <w:basedOn w:val="13"/>
    <w:qFormat/>
    <w:uiPriority w:val="0"/>
    <w:rPr>
      <w:rFonts w:hint="default" w:ascii="Times New Roman" w:hAnsi="Times New Roman" w:eastAsia="楷体_GB2312" w:cs="Times New Roman"/>
      <w:kern w:val="0"/>
      <w:sz w:val="28"/>
      <w:szCs w:val="24"/>
      <w:lang w:eastAsia="en-US"/>
    </w:rPr>
  </w:style>
  <w:style w:type="character" w:customStyle="1" w:styleId="31">
    <w:name w:val="font11"/>
    <w:basedOn w:val="13"/>
    <w:qFormat/>
    <w:uiPriority w:val="0"/>
    <w:rPr>
      <w:rFonts w:hint="eastAsia" w:ascii="宋体" w:hAnsi="宋体" w:eastAsia="宋体" w:cs="宋体"/>
      <w:color w:val="000000"/>
      <w:sz w:val="24"/>
      <w:szCs w:val="24"/>
      <w:u w:val="none"/>
    </w:rPr>
  </w:style>
  <w:style w:type="character" w:customStyle="1" w:styleId="32">
    <w:name w:val="font2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收入、支出决算数</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收入数</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226.54</c:v>
                </c:pt>
                <c:pt idx="1">
                  <c:v>237.91</c:v>
                </c:pt>
              </c:numCache>
            </c:numRef>
          </c:val>
        </c:ser>
        <c:ser>
          <c:idx val="2"/>
          <c:order val="1"/>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343525856"/>
        <c:axId val="343524288"/>
      </c:barChart>
      <c:catAx>
        <c:axId val="3435258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524288"/>
        <c:crosses val="autoZero"/>
        <c:auto val="1"/>
        <c:lblAlgn val="ctr"/>
        <c:lblOffset val="100"/>
        <c:noMultiLvlLbl val="0"/>
      </c:catAx>
      <c:valAx>
        <c:axId val="3435242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525856"/>
        <c:crosses val="autoZero"/>
        <c:crossBetween val="between"/>
      </c:valAx>
      <c:spPr>
        <a:noFill/>
        <a:ln>
          <a:noFill/>
        </a:ln>
        <a:effectLst/>
      </c:spPr>
    </c:plotArea>
    <c:legend>
      <c:legendPos val="b"/>
      <c:legendEntry>
        <c:idx val="1"/>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d14beec-8aa8-4285-a56d-bde1ce200fa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一般公共预算财政拨款收入226.54万元</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2021年</c:v>
                </c:pt>
              </c:strCache>
            </c:strRef>
          </c:cat>
          <c:val>
            <c:numRef>
              <c:f>Sheet1!$B$2</c:f>
              <c:numCache>
                <c:formatCode>General</c:formatCode>
                <c:ptCount val="1"/>
                <c:pt idx="0">
                  <c:v>100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6e1109a-17da-41bc-b59c-08bd16bf19d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基本支出223.05万元（占比95.88%）</c:v>
                </c:pt>
                <c:pt idx="1">
                  <c:v>项目支出9.59万元（占比4.12%）</c:v>
                </c:pt>
              </c:strCache>
            </c:strRef>
          </c:cat>
          <c:val>
            <c:numRef>
              <c:f>Sheet1!$B$2:$B$5</c:f>
              <c:numCache>
                <c:formatCode>General</c:formatCode>
                <c:ptCount val="4"/>
                <c:pt idx="0">
                  <c:v>223.05</c:v>
                </c:pt>
                <c:pt idx="1">
                  <c:v>9.59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5490ce7-f727-4d0b-ae7d-1db15a604ff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财政拨款收入数</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226.54</c:v>
                </c:pt>
                <c:pt idx="1">
                  <c:v>237.91</c:v>
                </c:pt>
              </c:numCache>
            </c:numRef>
          </c:val>
        </c:ser>
        <c:ser>
          <c:idx val="2"/>
          <c:order val="1"/>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600804896"/>
        <c:axId val="600806464"/>
      </c:barChart>
      <c:catAx>
        <c:axId val="60080489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0806464"/>
        <c:crosses val="autoZero"/>
        <c:auto val="1"/>
        <c:lblAlgn val="ctr"/>
        <c:lblOffset val="100"/>
        <c:noMultiLvlLbl val="0"/>
      </c:catAx>
      <c:valAx>
        <c:axId val="6008064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0804896"/>
        <c:crosses val="autoZero"/>
        <c:crossBetween val="between"/>
      </c:valAx>
      <c:spPr>
        <a:noFill/>
        <a:ln>
          <a:noFill/>
        </a:ln>
        <a:effectLst/>
      </c:spPr>
    </c:plotArea>
    <c:legend>
      <c:legendPos val="b"/>
      <c:legendEntry>
        <c:idx val="1"/>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48c543f-c39d-49b6-8a6d-71699c1d411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lang="zh-CN" altLang="en-US" b="1"/>
              <a:t>一般公共预算财政拨款支出决算变动情况图</a:t>
            </a:r>
            <a:endParaRPr lang="zh-CN" altLang="en-US"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一般公共预算财政拨款支出决算变动情况列</c:v>
                </c:pt>
              </c:strCache>
            </c:strRef>
          </c:tx>
          <c:spPr>
            <a:solidFill>
              <a:schemeClr val="accent1"/>
            </a:solidFill>
            <a:ln>
              <a:noFill/>
            </a:ln>
            <a:effectLst/>
          </c:spPr>
          <c:invertIfNegative val="0"/>
          <c:dLbls>
            <c:delete val="1"/>
          </c:dLbls>
          <c:cat>
            <c:strRef>
              <c:f>Sheet1!$A$2:$A$3</c:f>
              <c:strCache>
                <c:ptCount val="2"/>
                <c:pt idx="0">
                  <c:v>2020年一般公共预算财政拨款支出232.64万元</c:v>
                </c:pt>
                <c:pt idx="1">
                  <c:v>2021年一般公共预算财政拨款支出237.91万元</c:v>
                </c:pt>
              </c:strCache>
            </c:strRef>
          </c:cat>
          <c:val>
            <c:numRef>
              <c:f>Sheet1!$B$2:$B$3</c:f>
              <c:numCache>
                <c:formatCode>General</c:formatCode>
                <c:ptCount val="2"/>
                <c:pt idx="0">
                  <c:v>232.64</c:v>
                </c:pt>
                <c:pt idx="1">
                  <c:v>237.91</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2020年一般公共预算财政拨款支出232.64万元</c:v>
                </c:pt>
                <c:pt idx="1">
                  <c:v>2021年一般公共预算财政拨款支出237.91万元</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2020年一般公共预算财政拨款支出232.64万元</c:v>
                </c:pt>
                <c:pt idx="1">
                  <c:v>2021年一般公共预算财政拨款支出237.91万元</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600806856"/>
        <c:axId val="475983896"/>
      </c:barChart>
      <c:catAx>
        <c:axId val="6008068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475983896"/>
        <c:crosses val="autoZero"/>
        <c:auto val="1"/>
        <c:lblAlgn val="ctr"/>
        <c:lblOffset val="100"/>
        <c:noMultiLvlLbl val="0"/>
      </c:catAx>
      <c:valAx>
        <c:axId val="4759838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600806856"/>
        <c:crosses val="autoZero"/>
        <c:crossBetween val="between"/>
      </c:valAx>
      <c:spPr>
        <a:noFill/>
        <a:ln>
          <a:noFill/>
        </a:ln>
        <a:effectLst/>
      </c:spPr>
    </c:plotArea>
    <c:plotVisOnly val="1"/>
    <c:dispBlanksAs val="gap"/>
    <c:showDLblsOverMax val="0"/>
    <c:extLst>
      <c:ext uri="{0b15fc19-7d7d-44ad-8c2d-2c3a37ce22c3}">
        <chartProps xmlns="https://web.wps.cn/et/2018/main" chartId="{95074edf-1795-4bf7-a6ea-d02ca7432ec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b="1"/>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教育支出（占比82.50%）</c:v>
                </c:pt>
                <c:pt idx="1">
                  <c:v>社会保障和就业支出（占比9.02%）</c:v>
                </c:pt>
                <c:pt idx="2">
                  <c:v>住房保障支出占（比8.48%）</c:v>
                </c:pt>
              </c:strCache>
            </c:strRef>
          </c:cat>
          <c:val>
            <c:numRef>
              <c:f>Sheet1!$B$2:$B$4</c:f>
              <c:numCache>
                <c:formatCode>General</c:formatCode>
                <c:ptCount val="3"/>
                <c:pt idx="0">
                  <c:v>191.93</c:v>
                </c:pt>
                <c:pt idx="1">
                  <c:v>20.99</c:v>
                </c:pt>
                <c:pt idx="2">
                  <c:v>8.48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e5768af-1f17-49a6-acd1-b88c59460ba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20</Pages>
  <Words>5399</Words>
  <Characters>7009</Characters>
  <Lines>52</Lines>
  <Paragraphs>14</Paragraphs>
  <TotalTime>25</TotalTime>
  <ScaleCrop>false</ScaleCrop>
  <LinksUpToDate>false</LinksUpToDate>
  <CharactersWithSpaces>7051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2023-10-07T17:28:00Z</dcterms:created>
  <dc:creator>曹颖</dc:creator>
  <cp:lastModifiedBy>唐天贵</cp:lastModifiedBy>
  <cp:lastPrinted>2022-08-06T02:23:00Z</cp:lastPrinted>
  <dcterms:modified xsi:type="dcterms:W3CDTF">2025-01-14T02:00:23Z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8BD229933A814F69B7B7590991D36DB1_13</vt:lpwstr>
  </property>
  <property fmtid="{D5CDD505-2E9C-101B-9397-08002B2CF9AE}" pid="4" name="KSOTemplateDocerSaveRecord">
    <vt:lpwstr>eyJoZGlkIjoiNWIwYjgyMzAyYjdlMTc0NjlhNjFkZTU2NDY0NzJjZGIiLCJ1c2VySWQiOiI4ODYzMTI0ODAifQ==</vt:lpwstr>
  </property>
</Properties>
</file>