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96475"/>
      <w:bookmarkStart w:id="4" w:name="_Toc15377193"/>
      <w:bookmarkStart w:id="5" w:name="_Toc15377425"/>
      <w:bookmarkStart w:id="6" w:name="_Toc52180062"/>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8442"/>
      <w:bookmarkStart w:id="8" w:name="_Toc52180063"/>
      <w:bookmarkStart w:id="9" w:name="_Toc15377426"/>
      <w:bookmarkStart w:id="10" w:name="_Toc15377194"/>
      <w:bookmarkStart w:id="11" w:name="_Toc15396598"/>
      <w:bookmarkStart w:id="12" w:name="_Toc15396476"/>
      <w:r>
        <w:rPr>
          <w:rFonts w:hint="eastAsia" w:ascii="方正小标宋简体" w:hAnsi="宋体" w:eastAsia="方正小标宋简体"/>
          <w:color w:val="000000"/>
          <w:sz w:val="72"/>
          <w:szCs w:val="72"/>
        </w:rPr>
        <w:t>盐边县</w:t>
      </w:r>
      <w:bookmarkEnd w:id="0"/>
      <w:bookmarkStart w:id="13" w:name="_Toc15306268"/>
      <w:r>
        <w:rPr>
          <w:rFonts w:hint="eastAsia" w:ascii="方正小标宋简体" w:hAnsi="宋体" w:eastAsia="方正小标宋简体"/>
          <w:color w:val="000000"/>
          <w:sz w:val="72"/>
          <w:szCs w:val="72"/>
        </w:rPr>
        <w:t>格萨拉中心卫生院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方正小标宋简体" w:hAnsi="宋体" w:eastAsia="方正小标宋简体"/>
          <w:color w:val="000000"/>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right"/>
        <w:rPr>
          <w:rFonts w:ascii="方正小标宋简体" w:hAnsi="宋体" w:eastAsia="方正小标宋简体"/>
          <w:sz w:val="36"/>
          <w:szCs w:val="36"/>
        </w:rPr>
      </w:pPr>
    </w:p>
    <w:p>
      <w:pPr>
        <w:widowControl/>
        <w:jc w:val="center"/>
        <w:rPr>
          <w:rFonts w:ascii="黑体" w:hAnsi="黑体" w:eastAsia="黑体"/>
          <w:color w:val="000000"/>
          <w:sz w:val="48"/>
          <w:szCs w:val="48"/>
        </w:rPr>
      </w:pPr>
      <w:r>
        <w:rPr>
          <w:rFonts w:ascii="方正小标宋简体" w:hAnsi="宋体" w:eastAsia="方正小标宋简体"/>
          <w:sz w:val="36"/>
          <w:szCs w:val="36"/>
        </w:rPr>
        <w:br w:type="page"/>
      </w:r>
      <w:r>
        <w:rPr>
          <w:rFonts w:hint="eastAsia" w:ascii="黑体" w:hAnsi="黑体" w:eastAsia="黑体"/>
          <w:color w:val="000000"/>
          <w:sz w:val="48"/>
          <w:szCs w:val="48"/>
        </w:rPr>
        <w:t>目录</w:t>
      </w:r>
    </w:p>
    <w:p>
      <w:pPr>
        <w:pStyle w:val="11"/>
        <w:ind w:firstLine="1960" w:firstLineChars="700"/>
        <w:jc w:val="both"/>
      </w:pPr>
      <w:r>
        <w:rPr>
          <w:rFonts w:hint="eastAsia"/>
        </w:rPr>
        <w:t>公开时间：2021年10月20日</w:t>
      </w:r>
    </w:p>
    <w:sdt>
      <w:sdtPr>
        <w:rPr>
          <w:rFonts w:ascii="Times New Roman" w:hAnsi="Times New Roman" w:eastAsia="宋体" w:cs="Times New Roman"/>
          <w:b w:val="0"/>
          <w:bCs w:val="0"/>
          <w:color w:val="auto"/>
          <w:kern w:val="2"/>
          <w:sz w:val="21"/>
          <w:szCs w:val="24"/>
          <w:lang w:val="zh-CN"/>
        </w:rPr>
        <w:id w:val="864955229"/>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31"/>
            <w:spacing w:before="0" w:line="240" w:lineRule="auto"/>
          </w:pPr>
          <w:r>
            <w:fldChar w:fldCharType="begin"/>
          </w:r>
          <w:r>
            <w:instrText xml:space="preserve"> TOC \o "1-3" \h \z \u </w:instrText>
          </w:r>
          <w:r>
            <w:fldChar w:fldCharType="separate"/>
          </w:r>
        </w:p>
        <w:p>
          <w:pPr>
            <w:pStyle w:val="11"/>
            <w:rPr>
              <w:rFonts w:asciiTheme="minorHAnsi" w:hAnsiTheme="minorHAnsi" w:eastAsiaTheme="minorEastAsia" w:cstheme="minorBidi"/>
              <w:sz w:val="21"/>
              <w:szCs w:val="22"/>
            </w:rPr>
          </w:pPr>
          <w:r>
            <w:fldChar w:fldCharType="begin"/>
          </w:r>
          <w:r>
            <w:instrText xml:space="preserve"> HYPERLINK \l "_Toc52180065" </w:instrText>
          </w:r>
          <w:r>
            <w:fldChar w:fldCharType="separate"/>
          </w:r>
          <w:r>
            <w:rPr>
              <w:rStyle w:val="17"/>
              <w:rFonts w:hint="eastAsia" w:ascii="黑体" w:hAnsi="黑体" w:eastAsia="黑体"/>
            </w:rPr>
            <w:t>第一部分</w:t>
          </w:r>
          <w:r>
            <w:rPr>
              <w:rStyle w:val="17"/>
              <w:rFonts w:ascii="黑体" w:hAnsi="黑体" w:eastAsia="黑体"/>
            </w:rPr>
            <w:t xml:space="preserve"> </w:t>
          </w:r>
          <w:r>
            <w:rPr>
              <w:rStyle w:val="17"/>
              <w:rFonts w:hint="eastAsia" w:ascii="黑体" w:hAnsi="黑体" w:eastAsia="黑体"/>
            </w:rPr>
            <w:t>部门概况</w:t>
          </w:r>
          <w:r>
            <w:tab/>
          </w:r>
          <w:r>
            <w:fldChar w:fldCharType="begin"/>
          </w:r>
          <w:r>
            <w:instrText xml:space="preserve"> PAGEREF _Toc52180065 \h </w:instrText>
          </w:r>
          <w:r>
            <w:fldChar w:fldCharType="separate"/>
          </w:r>
          <w:r>
            <w:t>3</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"_Toc52180066" </w:instrText>
          </w:r>
          <w:r>
            <w:fldChar w:fldCharType="separate"/>
          </w:r>
          <w:r>
            <w:rPr>
              <w:rStyle w:val="17"/>
              <w:rFonts w:hint="eastAsia" w:ascii="黑体" w:hAnsi="黑体" w:eastAsia="黑体"/>
            </w:rPr>
            <w:t>一、基本职能及主要工作</w:t>
          </w:r>
          <w:r>
            <w:tab/>
          </w:r>
          <w:r>
            <w:fldChar w:fldCharType="begin"/>
          </w:r>
          <w:r>
            <w:instrText xml:space="preserve"> PAGEREF _Toc52180066 \h </w:instrText>
          </w:r>
          <w:r>
            <w:fldChar w:fldCharType="separate"/>
          </w:r>
          <w:r>
            <w:t>3</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"_Toc52180069" </w:instrText>
          </w:r>
          <w:r>
            <w:fldChar w:fldCharType="separate"/>
          </w:r>
          <w:r>
            <w:rPr>
              <w:rStyle w:val="17"/>
              <w:rFonts w:hint="eastAsia" w:ascii="黑体" w:eastAsia="黑体"/>
            </w:rPr>
            <w:t>二、</w:t>
          </w:r>
          <w:r>
            <w:rPr>
              <w:rStyle w:val="17"/>
              <w:rFonts w:hint="eastAsia" w:ascii="黑体" w:hAnsi="黑体" w:eastAsia="黑体"/>
            </w:rPr>
            <w:t>机构设置</w:t>
          </w:r>
          <w:r>
            <w:tab/>
          </w:r>
          <w:r>
            <w:fldChar w:fldCharType="begin"/>
          </w:r>
          <w:r>
            <w:instrText xml:space="preserve"> PAGEREF _Toc52180069 \h </w:instrText>
          </w:r>
          <w:r>
            <w:fldChar w:fldCharType="separate"/>
          </w:r>
          <w:r>
            <w:t>3</w:t>
          </w:r>
          <w:r>
            <w:fldChar w:fldCharType="end"/>
          </w:r>
          <w:r>
            <w:fldChar w:fldCharType="end"/>
          </w:r>
        </w:p>
        <w:p>
          <w:pPr>
            <w:pStyle w:val="11"/>
            <w:rPr>
              <w:rFonts w:asciiTheme="minorHAnsi" w:hAnsiTheme="minorHAnsi" w:eastAsiaTheme="minorEastAsia" w:cstheme="minorBidi"/>
              <w:sz w:val="21"/>
              <w:szCs w:val="22"/>
            </w:rPr>
          </w:pPr>
          <w:r>
            <w:fldChar w:fldCharType="begin"/>
          </w:r>
          <w:r>
            <w:instrText xml:space="preserve"> HYPERLINK \l "_Toc52180073" </w:instrText>
          </w:r>
          <w:r>
            <w:fldChar w:fldCharType="separate"/>
          </w:r>
          <w:r>
            <w:rPr>
              <w:rStyle w:val="17"/>
              <w:rFonts w:hint="eastAsia" w:ascii="黑体" w:hAnsi="黑体" w:eastAsia="黑体"/>
            </w:rPr>
            <w:t>第二部分</w:t>
          </w:r>
          <w:r>
            <w:rPr>
              <w:rStyle w:val="17"/>
              <w:rFonts w:ascii="黑体" w:hAnsi="黑体" w:eastAsia="黑体"/>
            </w:rPr>
            <w:t xml:space="preserve"> 20</w:t>
          </w:r>
          <w:r>
            <w:rPr>
              <w:rStyle w:val="17"/>
              <w:rFonts w:hint="eastAsia" w:ascii="黑体" w:hAnsi="黑体" w:eastAsia="黑体"/>
            </w:rPr>
            <w:t>20年度部门决算情况说明</w:t>
          </w:r>
          <w:r>
            <w:tab/>
          </w:r>
          <w:r>
            <w:fldChar w:fldCharType="begin"/>
          </w:r>
          <w:r>
            <w:instrText xml:space="preserve"> PAGEREF _Toc52180073 \h </w:instrText>
          </w:r>
          <w:r>
            <w:fldChar w:fldCharType="separate"/>
          </w:r>
          <w:r>
            <w:t>4</w:t>
          </w:r>
          <w:r>
            <w:fldChar w:fldCharType="end"/>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"_Toc52180074" </w:instrText>
          </w:r>
          <w:r>
            <w:fldChar w:fldCharType="separate"/>
          </w:r>
          <w:r>
            <w:rPr>
              <w:rStyle w:val="17"/>
              <w:rFonts w:hint="eastAsia" w:ascii="黑体" w:hAnsi="黑体" w:eastAsia="黑体" w:cstheme="majorBidi"/>
              <w:bCs/>
            </w:rPr>
            <w:t>一、</w:t>
          </w:r>
          <w:r>
            <w:rPr>
              <w:rFonts w:asciiTheme="minorHAnsi" w:hAnsiTheme="minorHAnsi" w:eastAsiaTheme="minorEastAsia" w:cstheme="minorBidi"/>
              <w:szCs w:val="22"/>
            </w:rPr>
            <w:tab/>
          </w:r>
          <w:r>
            <w:rPr>
              <w:rStyle w:val="17"/>
              <w:rFonts w:hint="eastAsia" w:ascii="黑体" w:hAnsi="黑体" w:eastAsia="黑体"/>
            </w:rPr>
            <w:t>收</w:t>
          </w:r>
          <w:r>
            <w:rPr>
              <w:rStyle w:val="17"/>
              <w:rFonts w:hint="eastAsia" w:ascii="黑体" w:hAnsi="黑体" w:eastAsia="黑体" w:cstheme="majorBidi"/>
              <w:bCs/>
            </w:rPr>
            <w:t>入支出决算总体情况说明</w:t>
          </w:r>
          <w:r>
            <w:tab/>
          </w:r>
          <w:r>
            <w:fldChar w:fldCharType="begin"/>
          </w:r>
          <w:r>
            <w:instrText xml:space="preserve"> PAGEREF _Toc52180074 \h </w:instrText>
          </w:r>
          <w:r>
            <w:fldChar w:fldCharType="separate"/>
          </w:r>
          <w:r>
            <w:t>4</w:t>
          </w:r>
          <w:r>
            <w:fldChar w:fldCharType="end"/>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"_Toc52180075" </w:instrText>
          </w:r>
          <w:r>
            <w:fldChar w:fldCharType="separate"/>
          </w:r>
          <w:r>
            <w:rPr>
              <w:rStyle w:val="17"/>
              <w:rFonts w:hint="eastAsia" w:ascii="黑体" w:hAnsi="黑体" w:eastAsia="黑体" w:cstheme="majorBidi"/>
              <w:bCs/>
            </w:rPr>
            <w:t>二、</w:t>
          </w:r>
          <w:r>
            <w:rPr>
              <w:rFonts w:asciiTheme="minorHAnsi" w:hAnsiTheme="minorHAnsi" w:eastAsiaTheme="minorEastAsia" w:cstheme="minorBidi"/>
              <w:szCs w:val="22"/>
            </w:rPr>
            <w:tab/>
          </w:r>
          <w:r>
            <w:rPr>
              <w:rStyle w:val="17"/>
              <w:rFonts w:hint="eastAsia" w:ascii="黑体" w:hAnsi="黑体" w:eastAsia="黑体"/>
            </w:rPr>
            <w:t>收</w:t>
          </w:r>
          <w:r>
            <w:rPr>
              <w:rStyle w:val="17"/>
              <w:rFonts w:hint="eastAsia" w:ascii="黑体" w:hAnsi="黑体" w:eastAsia="黑体" w:cstheme="majorBidi"/>
              <w:bCs/>
            </w:rPr>
            <w:t>入决算情况说明</w:t>
          </w:r>
          <w:r>
            <w:tab/>
          </w:r>
          <w:r>
            <w:fldChar w:fldCharType="begin"/>
          </w:r>
          <w:r>
            <w:instrText xml:space="preserve"> PAGEREF _Toc52180075 \h </w:instrText>
          </w:r>
          <w:r>
            <w:fldChar w:fldCharType="separate"/>
          </w:r>
          <w:r>
            <w:t>4</w:t>
          </w:r>
          <w:r>
            <w:fldChar w:fldCharType="end"/>
          </w:r>
          <w: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"_Toc52180077" </w:instrText>
          </w:r>
          <w:r>
            <w:fldChar w:fldCharType="separate"/>
          </w:r>
          <w:r>
            <w:rPr>
              <w:rStyle w:val="17"/>
              <w:rFonts w:hint="eastAsia" w:ascii="黑体" w:hAnsi="黑体" w:eastAsia="黑体" w:cstheme="majorBidi"/>
              <w:bCs/>
            </w:rPr>
            <w:t>三、</w:t>
          </w:r>
          <w:r>
            <w:rPr>
              <w:rFonts w:asciiTheme="minorHAnsi" w:hAnsiTheme="minorHAnsi" w:eastAsiaTheme="minorEastAsia" w:cstheme="minorBidi"/>
              <w:szCs w:val="22"/>
            </w:rPr>
            <w:tab/>
          </w:r>
          <w:r>
            <w:rPr>
              <w:rStyle w:val="17"/>
              <w:rFonts w:hint="eastAsia" w:ascii="黑体" w:hAnsi="黑体" w:eastAsia="黑体"/>
            </w:rPr>
            <w:t>支</w:t>
          </w:r>
          <w:r>
            <w:rPr>
              <w:rStyle w:val="17"/>
              <w:rFonts w:hint="eastAsia" w:ascii="黑体" w:hAnsi="黑体" w:eastAsia="黑体" w:cstheme="majorBidi"/>
              <w:bCs/>
            </w:rPr>
            <w:t>出决算情况说明</w:t>
          </w:r>
          <w:r>
            <w:tab/>
          </w:r>
          <w:r>
            <w:rPr>
              <w:rFonts w:hint="eastAsia"/>
            </w:rPr>
            <w:t>4</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"_Toc52180079" </w:instrText>
          </w:r>
          <w:r>
            <w:fldChar w:fldCharType="separate"/>
          </w:r>
          <w:r>
            <w:rPr>
              <w:rStyle w:val="17"/>
              <w:rFonts w:hint="eastAsia" w:ascii="黑体" w:hAnsi="黑体" w:eastAsia="黑体"/>
            </w:rPr>
            <w:t>四、财</w:t>
          </w:r>
          <w:r>
            <w:rPr>
              <w:rStyle w:val="17"/>
              <w:rFonts w:hint="eastAsia" w:ascii="黑体" w:hAnsi="黑体" w:eastAsia="黑体" w:cstheme="majorBidi"/>
              <w:bCs/>
            </w:rPr>
            <w:t>政拨款收入支出决算总体情况说明</w:t>
          </w:r>
          <w:r>
            <w:tab/>
          </w:r>
          <w:r>
            <w:fldChar w:fldCharType="begin"/>
          </w:r>
          <w:r>
            <w:instrText xml:space="preserve"> PAGEREF _Toc52180079 \h </w:instrText>
          </w:r>
          <w:r>
            <w:fldChar w:fldCharType="separate"/>
          </w:r>
          <w:r>
            <w:t>5</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"_Toc52180080" </w:instrText>
          </w:r>
          <w:r>
            <w:fldChar w:fldCharType="separate"/>
          </w:r>
          <w:r>
            <w:rPr>
              <w:rStyle w:val="17"/>
              <w:rFonts w:hint="eastAsia" w:ascii="黑体" w:hAnsi="黑体" w:eastAsia="黑体"/>
            </w:rPr>
            <w:t>五、</w:t>
          </w:r>
          <w:r>
            <w:rPr>
              <w:rStyle w:val="17"/>
              <w:rFonts w:hint="eastAsia" w:ascii="黑体" w:hAnsi="黑体" w:eastAsia="黑体"/>
              <w:b/>
            </w:rPr>
            <w:t>一</w:t>
          </w:r>
          <w:r>
            <w:rPr>
              <w:rStyle w:val="17"/>
              <w:rFonts w:hint="eastAsia" w:ascii="黑体" w:hAnsi="黑体" w:eastAsia="黑体" w:cstheme="majorBidi"/>
              <w:bCs/>
            </w:rPr>
            <w:t>般公共预算财政拨款支出决算情况说明</w:t>
          </w:r>
          <w:r>
            <w:tab/>
          </w:r>
          <w:r>
            <w:fldChar w:fldCharType="begin"/>
          </w:r>
          <w:r>
            <w:instrText xml:space="preserve"> PAGEREF _Toc52180080 \h </w:instrText>
          </w:r>
          <w:r>
            <w:fldChar w:fldCharType="separate"/>
          </w:r>
          <w:r>
            <w:t>5</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"_Toc52180085" </w:instrText>
          </w:r>
          <w:r>
            <w:fldChar w:fldCharType="separate"/>
          </w:r>
          <w:r>
            <w:rPr>
              <w:rStyle w:val="17"/>
              <w:rFonts w:hint="eastAsia" w:ascii="黑体" w:eastAsia="黑体"/>
            </w:rPr>
            <w:t>六</w:t>
          </w:r>
          <w:r>
            <w:rPr>
              <w:rStyle w:val="17"/>
              <w:rFonts w:hint="eastAsia" w:ascii="黑体" w:eastAsia="黑体"/>
              <w:b/>
            </w:rPr>
            <w:t>、</w:t>
          </w:r>
          <w:r>
            <w:rPr>
              <w:rStyle w:val="17"/>
              <w:rFonts w:hint="eastAsia" w:ascii="黑体" w:hAnsi="黑体" w:eastAsia="黑体"/>
              <w:b/>
            </w:rPr>
            <w:t>一</w:t>
          </w:r>
          <w:r>
            <w:rPr>
              <w:rStyle w:val="17"/>
              <w:rFonts w:hint="eastAsia" w:ascii="黑体" w:hAnsi="黑体" w:eastAsia="黑体" w:cstheme="majorBidi"/>
              <w:bCs/>
            </w:rPr>
            <w:t>般公共预算财政拨款基本支出决算情况说明</w:t>
          </w:r>
          <w:r>
            <w:tab/>
          </w:r>
          <w:r>
            <w:fldChar w:fldCharType="begin"/>
          </w:r>
          <w:r>
            <w:instrText xml:space="preserve"> PAGEREF _Toc52180085 \h </w:instrText>
          </w:r>
          <w:r>
            <w:fldChar w:fldCharType="separate"/>
          </w:r>
          <w:r>
            <w:t>6</w:t>
          </w:r>
          <w:r>
            <w:fldChar w:fldCharType="end"/>
          </w:r>
          <w:r>
            <w:fldChar w:fldCharType="end"/>
          </w:r>
        </w:p>
        <w:p>
          <w:pPr>
            <w:pStyle w:val="12"/>
            <w:rPr>
              <w:rFonts w:asciiTheme="minorHAnsi" w:hAnsiTheme="minorHAnsi" w:cstheme="minorBidi"/>
              <w:szCs w:val="22"/>
            </w:rPr>
          </w:pPr>
          <w:r>
            <w:fldChar w:fldCharType="begin"/>
          </w:r>
          <w:r>
            <w:instrText xml:space="preserve"> HYPERLINK \l "_Toc52180086" </w:instrText>
          </w:r>
          <w:r>
            <w:fldChar w:fldCharType="separate"/>
          </w:r>
          <w:r>
            <w:rPr>
              <w:rStyle w:val="17"/>
              <w:rFonts w:hint="eastAsia" w:ascii="黑体" w:eastAsia="黑体"/>
            </w:rPr>
            <w:t>七、</w:t>
          </w:r>
          <w:r>
            <w:rPr>
              <w:rStyle w:val="17"/>
              <w:rFonts w:ascii="黑体" w:hAnsi="黑体" w:eastAsia="黑体" w:cstheme="majorBidi"/>
              <w:b/>
              <w:bCs/>
            </w:rPr>
            <w:t>“</w:t>
          </w:r>
          <w:r>
            <w:rPr>
              <w:rStyle w:val="17"/>
              <w:rFonts w:hint="eastAsia" w:ascii="黑体" w:hAnsi="黑体" w:eastAsia="黑体" w:cstheme="majorBidi"/>
              <w:bCs/>
            </w:rPr>
            <w:t>三公”经费财政拨款支出决算情况说明</w:t>
          </w:r>
          <w:r>
            <w:tab/>
          </w:r>
          <w:r>
            <w:rPr>
              <w:rFonts w:hint="eastAsia"/>
            </w:rPr>
            <w:t>6</w:t>
          </w:r>
          <w:r>
            <w:rPr>
              <w:rFonts w:hint="eastAsia"/>
            </w:rPr>
            <w:fldChar w:fldCharType="end"/>
          </w:r>
        </w:p>
        <w:p>
          <w:pPr>
            <w:pStyle w:val="12"/>
            <w:rPr>
              <w:rFonts w:asciiTheme="minorHAnsi" w:hAnsiTheme="minorHAnsi" w:cstheme="minorBidi"/>
              <w:szCs w:val="22"/>
            </w:rPr>
          </w:pPr>
          <w:r>
            <w:fldChar w:fldCharType="begin"/>
          </w:r>
          <w:r>
            <w:instrText xml:space="preserve"> HYPERLINK \l "_Toc52180089" </w:instrText>
          </w:r>
          <w:r>
            <w:fldChar w:fldCharType="separate"/>
          </w:r>
          <w:r>
            <w:rPr>
              <w:rStyle w:val="17"/>
              <w:rFonts w:hint="eastAsia" w:ascii="黑体" w:eastAsia="黑体"/>
            </w:rPr>
            <w:t>八、</w:t>
          </w:r>
          <w:r>
            <w:rPr>
              <w:rStyle w:val="17"/>
              <w:rFonts w:hint="eastAsia" w:ascii="黑体" w:hAnsi="黑体" w:eastAsia="黑体" w:cstheme="majorBidi"/>
              <w:bCs/>
            </w:rPr>
            <w:t>政府性基金预算支出决算情况说明</w:t>
          </w:r>
          <w:r>
            <w:tab/>
          </w:r>
          <w:r>
            <w:rPr>
              <w:rFonts w:hint="eastAsia"/>
            </w:rPr>
            <w:t>8</w:t>
          </w:r>
          <w:r>
            <w:rPr>
              <w:rFonts w:hint="eastAsia"/>
            </w:rPr>
            <w:fldChar w:fldCharType="end"/>
          </w:r>
        </w:p>
        <w:p>
          <w:pPr>
            <w:pStyle w:val="12"/>
            <w:rPr>
              <w:rFonts w:asciiTheme="minorHAnsi" w:hAnsiTheme="minorHAnsi" w:cstheme="minorBidi"/>
              <w:szCs w:val="22"/>
            </w:rPr>
          </w:pPr>
          <w:r>
            <w:fldChar w:fldCharType="begin"/>
          </w:r>
          <w:r>
            <w:instrText xml:space="preserve"> HYPERLINK \l "_Toc52180090" </w:instrText>
          </w:r>
          <w:r>
            <w:fldChar w:fldCharType="separate"/>
          </w:r>
          <w:r>
            <w:rPr>
              <w:rStyle w:val="17"/>
              <w:rFonts w:hint="eastAsia" w:ascii="黑体" w:hAnsi="黑体" w:eastAsia="黑体" w:cstheme="majorBidi"/>
              <w:bCs/>
            </w:rPr>
            <w:t>九、 国有资本经营预算支出决算情况说明</w:t>
          </w:r>
          <w:r>
            <w:tab/>
          </w:r>
          <w:r>
            <w:rPr>
              <w:rFonts w:hint="eastAsia"/>
            </w:rPr>
            <w:t>8</w:t>
          </w:r>
          <w:r>
            <w:rPr>
              <w:rFonts w:hint="eastAsia"/>
            </w:rPr>
            <w:fldChar w:fldCharType="end"/>
          </w:r>
        </w:p>
        <w:p>
          <w:pPr>
            <w:pStyle w:val="12"/>
            <w:rPr>
              <w:rFonts w:asciiTheme="minorHAnsi" w:hAnsiTheme="minorHAnsi" w:cstheme="minorBidi"/>
              <w:szCs w:val="22"/>
            </w:rPr>
          </w:pPr>
          <w:r>
            <w:fldChar w:fldCharType="begin"/>
          </w:r>
          <w:r>
            <w:instrText xml:space="preserve"> HYPERLINK \l "_Toc52180091" </w:instrText>
          </w:r>
          <w:r>
            <w:fldChar w:fldCharType="separate"/>
          </w:r>
          <w:r>
            <w:rPr>
              <w:rStyle w:val="17"/>
              <w:rFonts w:hint="eastAsia" w:ascii="黑体" w:hAnsi="黑体" w:eastAsia="黑体"/>
            </w:rPr>
            <w:t>十</w:t>
          </w:r>
          <w:r>
            <w:rPr>
              <w:rStyle w:val="17"/>
              <w:rFonts w:hint="eastAsia" w:ascii="黑体" w:hAnsi="黑体" w:eastAsia="黑体" w:cstheme="majorBidi"/>
              <w:b/>
              <w:bCs/>
            </w:rPr>
            <w:t>、</w:t>
          </w:r>
          <w:r>
            <w:rPr>
              <w:rStyle w:val="17"/>
              <w:rFonts w:hint="eastAsia" w:ascii="黑体" w:hAnsi="黑体" w:eastAsia="黑体" w:cstheme="majorBidi"/>
              <w:bCs/>
            </w:rPr>
            <w:t>其他重要事项的情况说明</w:t>
          </w:r>
          <w:r>
            <w:tab/>
          </w:r>
          <w:r>
            <w:rPr>
              <w:rFonts w:hint="eastAsia"/>
            </w:rPr>
            <w:t>8</w:t>
          </w:r>
          <w:r>
            <w:rPr>
              <w:rFonts w:hint="eastAsia"/>
            </w:rPr>
            <w:fldChar w:fldCharType="end"/>
          </w:r>
        </w:p>
        <w:p>
          <w:pPr>
            <w:pStyle w:val="11"/>
            <w:rPr>
              <w:rFonts w:asciiTheme="minorHAnsi" w:hAnsiTheme="minorHAnsi" w:cstheme="minorBidi"/>
              <w:sz w:val="21"/>
              <w:szCs w:val="22"/>
            </w:rPr>
          </w:pPr>
          <w:r>
            <w:fldChar w:fldCharType="begin"/>
          </w:r>
          <w:r>
            <w:instrText xml:space="preserve"> HYPERLINK \l "_Toc52180096" </w:instrText>
          </w:r>
          <w:r>
            <w:fldChar w:fldCharType="separate"/>
          </w:r>
          <w:r>
            <w:rPr>
              <w:rStyle w:val="17"/>
              <w:rFonts w:hint="eastAsia" w:ascii="黑体" w:hAnsi="黑体" w:eastAsia="黑体"/>
              <w:bCs/>
              <w:kern w:val="44"/>
            </w:rPr>
            <w:t>第三部分</w:t>
          </w:r>
          <w:r>
            <w:rPr>
              <w:rStyle w:val="17"/>
              <w:rFonts w:hint="eastAsia" w:ascii="黑体" w:hAnsi="黑体" w:eastAsia="黑体"/>
            </w:rPr>
            <w:t xml:space="preserve"> 名</w:t>
          </w:r>
          <w:r>
            <w:rPr>
              <w:rStyle w:val="17"/>
              <w:rFonts w:hint="eastAsia" w:ascii="黑体" w:hAnsi="黑体" w:eastAsia="黑体"/>
              <w:bCs/>
              <w:kern w:val="44"/>
            </w:rPr>
            <w:t>词解释</w:t>
          </w:r>
          <w:r>
            <w:tab/>
          </w:r>
          <w:r>
            <w:rPr>
              <w:rFonts w:hint="eastAsia"/>
            </w:rPr>
            <w:t>1</w:t>
          </w:r>
          <w:r>
            <w:rPr>
              <w:rFonts w:hint="eastAsia"/>
            </w:rPr>
            <w:fldChar w:fldCharType="end"/>
          </w:r>
          <w:r>
            <w:rPr>
              <w:rFonts w:hint="eastAsia"/>
            </w:rPr>
            <w:t>8</w:t>
          </w:r>
        </w:p>
        <w:p>
          <w:pPr>
            <w:pStyle w:val="11"/>
          </w:pPr>
          <w:r>
            <w:fldChar w:fldCharType="begin"/>
          </w:r>
          <w:r>
            <w:instrText xml:space="preserve"> HYPERLINK \l "_Toc52180097" </w:instrText>
          </w:r>
          <w:r>
            <w:fldChar w:fldCharType="separate"/>
          </w:r>
          <w:r>
            <w:rPr>
              <w:rStyle w:val="17"/>
              <w:rFonts w:hint="eastAsia" w:ascii="黑体" w:hAnsi="黑体" w:eastAsia="黑体"/>
            </w:rPr>
            <w:t>第</w:t>
          </w:r>
          <w:r>
            <w:rPr>
              <w:rStyle w:val="17"/>
              <w:rFonts w:hint="eastAsia" w:ascii="黑体" w:hAnsi="黑体" w:eastAsia="黑体"/>
              <w:bCs/>
              <w:kern w:val="44"/>
            </w:rPr>
            <w:t>四部分</w:t>
          </w:r>
          <w:r>
            <w:rPr>
              <w:rStyle w:val="17"/>
              <w:rFonts w:ascii="黑体" w:hAnsi="黑体" w:eastAsia="黑体"/>
              <w:bCs/>
              <w:kern w:val="44"/>
            </w:rPr>
            <w:t xml:space="preserve"> </w:t>
          </w:r>
          <w:r>
            <w:rPr>
              <w:rStyle w:val="17"/>
              <w:rFonts w:hint="eastAsia" w:ascii="黑体" w:hAnsi="黑体" w:eastAsia="黑体"/>
              <w:bCs/>
              <w:kern w:val="44"/>
            </w:rPr>
            <w:t>附件</w:t>
          </w:r>
          <w:r>
            <w:tab/>
          </w:r>
          <w:r>
            <w:rPr>
              <w:rFonts w:hint="eastAsia"/>
            </w:rPr>
            <w:t>2</w:t>
          </w:r>
          <w:r>
            <w:rPr>
              <w:rFonts w:hint="eastAsia"/>
            </w:rPr>
            <w:fldChar w:fldCharType="end"/>
          </w:r>
          <w:r>
            <w:rPr>
              <w:rFonts w:hint="eastAsia"/>
            </w:rPr>
            <w:t>0</w:t>
          </w:r>
        </w:p>
        <w:p>
          <w:r>
            <w:rPr>
              <w:rFonts w:hint="eastAsia"/>
            </w:rPr>
            <w:t>附件1..............................................................................................................................................20</w:t>
          </w:r>
        </w:p>
        <w:p>
          <w:r>
            <w:rPr>
              <w:rFonts w:hint="eastAsia"/>
            </w:rPr>
            <w:t>附件2..............................................................................................................................................23</w:t>
          </w:r>
        </w:p>
        <w:p>
          <w:pPr>
            <w:pStyle w:val="11"/>
            <w:rPr>
              <w:rFonts w:asciiTheme="minorHAnsi" w:hAnsiTheme="minorHAnsi" w:cstheme="minorBidi"/>
              <w:sz w:val="21"/>
              <w:szCs w:val="22"/>
            </w:rPr>
          </w:pPr>
          <w:r>
            <w:fldChar w:fldCharType="begin"/>
          </w:r>
          <w:r>
            <w:instrText xml:space="preserve"> HYPERLINK \l "_Toc52180099" </w:instrText>
          </w:r>
          <w:r>
            <w:fldChar w:fldCharType="separate"/>
          </w:r>
          <w:r>
            <w:rPr>
              <w:rStyle w:val="17"/>
              <w:rFonts w:hint="eastAsia" w:ascii="黑体" w:hAnsi="黑体" w:eastAsia="黑体"/>
            </w:rPr>
            <w:t>第</w:t>
          </w:r>
          <w:r>
            <w:rPr>
              <w:rStyle w:val="17"/>
              <w:rFonts w:hint="eastAsia" w:ascii="黑体" w:hAnsi="黑体" w:eastAsia="黑体"/>
              <w:bCs/>
              <w:kern w:val="44"/>
            </w:rPr>
            <w:t>五部分</w:t>
          </w:r>
          <w:r>
            <w:rPr>
              <w:rStyle w:val="17"/>
              <w:rFonts w:ascii="黑体" w:hAnsi="黑体" w:eastAsia="黑体"/>
              <w:bCs/>
              <w:kern w:val="44"/>
            </w:rPr>
            <w:t xml:space="preserve"> </w:t>
          </w:r>
          <w:r>
            <w:rPr>
              <w:rStyle w:val="17"/>
              <w:rFonts w:hint="eastAsia" w:ascii="黑体" w:hAnsi="黑体" w:eastAsia="黑体"/>
              <w:bCs/>
              <w:kern w:val="44"/>
            </w:rPr>
            <w:t>附表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"_Toc52180100" </w:instrText>
          </w:r>
          <w:r>
            <w:fldChar w:fldCharType="separate"/>
          </w:r>
          <w:r>
            <w:rPr>
              <w:rStyle w:val="17"/>
              <w:rFonts w:hint="eastAsia" w:ascii="仿宋" w:hAnsi="仿宋" w:eastAsia="仿宋"/>
            </w:rPr>
            <w:t>一、收入支出决算总表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"_Toc52180101" </w:instrText>
          </w:r>
          <w:r>
            <w:fldChar w:fldCharType="separate"/>
          </w:r>
          <w:r>
            <w:rPr>
              <w:rStyle w:val="17"/>
              <w:rFonts w:hint="eastAsia" w:ascii="仿宋" w:hAnsi="仿宋" w:eastAsia="仿宋"/>
            </w:rPr>
            <w:t>二、收入决算表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"_Toc52180102" </w:instrText>
          </w:r>
          <w:r>
            <w:fldChar w:fldCharType="separate"/>
          </w:r>
          <w:r>
            <w:rPr>
              <w:rStyle w:val="17"/>
              <w:rFonts w:hint="eastAsia" w:ascii="仿宋" w:hAnsi="仿宋" w:eastAsia="仿宋"/>
            </w:rPr>
            <w:t>三、支出决算表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"_Toc52180103" </w:instrText>
          </w:r>
          <w:r>
            <w:fldChar w:fldCharType="separate"/>
          </w:r>
          <w:r>
            <w:rPr>
              <w:rStyle w:val="17"/>
              <w:rFonts w:hint="eastAsia" w:ascii="仿宋" w:hAnsi="仿宋" w:eastAsia="仿宋"/>
            </w:rPr>
            <w:t>四、财政拨款收入支出决算总表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"_Toc52180104" </w:instrText>
          </w:r>
          <w:r>
            <w:fldChar w:fldCharType="separate"/>
          </w:r>
          <w:r>
            <w:rPr>
              <w:rStyle w:val="17"/>
              <w:rFonts w:hint="eastAsia" w:ascii="仿宋" w:hAnsi="仿宋" w:eastAsia="仿宋"/>
            </w:rPr>
            <w:t>五、财政拨款支出决算明细表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"_Toc52180105" </w:instrText>
          </w:r>
          <w:r>
            <w:fldChar w:fldCharType="separate"/>
          </w:r>
          <w:r>
            <w:rPr>
              <w:rStyle w:val="17"/>
              <w:rFonts w:hint="eastAsia" w:ascii="仿宋" w:hAnsi="仿宋" w:eastAsia="仿宋"/>
            </w:rPr>
            <w:t>六、一般公共预算财政拨款支出决算表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"_Toc52180106" </w:instrText>
          </w:r>
          <w:r>
            <w:fldChar w:fldCharType="separate"/>
          </w:r>
          <w:r>
            <w:rPr>
              <w:rStyle w:val="17"/>
              <w:rFonts w:hint="eastAsia" w:ascii="仿宋" w:hAnsi="仿宋" w:eastAsia="仿宋"/>
            </w:rPr>
            <w:t>七、一般公共预算财政拨款支出决算明细表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"_Toc52180107" </w:instrText>
          </w:r>
          <w:r>
            <w:fldChar w:fldCharType="separate"/>
          </w:r>
          <w:r>
            <w:rPr>
              <w:rStyle w:val="17"/>
              <w:rFonts w:hint="eastAsia" w:ascii="仿宋" w:hAnsi="仿宋" w:eastAsia="仿宋"/>
            </w:rPr>
            <w:t>八、一般公共预算财政拨款基本支出决算表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"_Toc52180108" </w:instrText>
          </w:r>
          <w:r>
            <w:fldChar w:fldCharType="separate"/>
          </w:r>
          <w:r>
            <w:rPr>
              <w:rStyle w:val="17"/>
              <w:rFonts w:hint="eastAsia" w:ascii="仿宋" w:hAnsi="仿宋" w:eastAsia="仿宋"/>
            </w:rPr>
            <w:t>九、一般公共预算财政拨款项目支出决算表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"_Toc52180109" </w:instrText>
          </w:r>
          <w:r>
            <w:fldChar w:fldCharType="separate"/>
          </w:r>
          <w:r>
            <w:rPr>
              <w:rStyle w:val="17"/>
              <w:rFonts w:hint="eastAsia" w:ascii="仿宋" w:hAnsi="仿宋" w:eastAsia="仿宋"/>
            </w:rPr>
            <w:t>十、一般公共预算财政拨款“三公”经费支出决算表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"_Toc52180110" </w:instrText>
          </w:r>
          <w:r>
            <w:fldChar w:fldCharType="separate"/>
          </w:r>
          <w:r>
            <w:rPr>
              <w:rStyle w:val="17"/>
              <w:rFonts w:hint="eastAsia" w:ascii="仿宋" w:hAnsi="仿宋" w:eastAsia="仿宋"/>
            </w:rPr>
            <w:t>十一、政府性基金预算财政拨款收入支出决算表</w:t>
          </w:r>
          <w:r>
            <w:tab/>
          </w:r>
          <w:r>
            <w:fldChar w:fldCharType="end"/>
          </w:r>
          <w:r>
            <w:rPr>
              <w:rFonts w:hint="eastAsia"/>
            </w:rPr>
            <w:t>48</w:t>
          </w:r>
        </w:p>
        <w:p>
          <w:pPr>
            <w:pStyle w:val="12"/>
            <w:rPr>
              <w:rFonts w:asciiTheme="minorHAnsi" w:hAnsiTheme="minorHAnsi" w:cstheme="minorBidi"/>
              <w:szCs w:val="22"/>
            </w:rPr>
          </w:pPr>
          <w:r>
            <w:fldChar w:fldCharType="begin"/>
          </w:r>
          <w:r>
            <w:instrText xml:space="preserve"> HYPERLINK \l "_Toc52180111" </w:instrText>
          </w:r>
          <w:r>
            <w:fldChar w:fldCharType="separate"/>
          </w:r>
          <w:r>
            <w:rPr>
              <w:rStyle w:val="17"/>
              <w:rFonts w:hint="eastAsia" w:ascii="仿宋" w:hAnsi="仿宋" w:eastAsia="仿宋"/>
            </w:rPr>
            <w:t>十二、政府性基金预算财政拨款“三公”经费支出决算表</w:t>
          </w:r>
          <w:r>
            <w:tab/>
          </w:r>
          <w:r>
            <w:fldChar w:fldCharType="end"/>
          </w:r>
          <w:r>
            <w:rPr>
              <w:rFonts w:hint="eastAsia"/>
            </w:rPr>
            <w:t>48</w:t>
          </w:r>
        </w:p>
        <w:p>
          <w:pPr>
            <w:pStyle w:val="12"/>
          </w:pPr>
          <w:r>
            <w:fldChar w:fldCharType="begin"/>
          </w:r>
          <w:r>
            <w:instrText xml:space="preserve"> HYPERLINK \l "_Toc52180112" </w:instrText>
          </w:r>
          <w:r>
            <w:fldChar w:fldCharType="separate"/>
          </w:r>
          <w:r>
            <w:rPr>
              <w:rStyle w:val="17"/>
              <w:rFonts w:hint="eastAsia" w:ascii="仿宋" w:hAnsi="仿宋" w:eastAsia="仿宋"/>
            </w:rPr>
            <w:t>十三、国有资本经营预算财政拨款收入支出决算表</w:t>
          </w:r>
          <w:r>
            <w:tab/>
          </w:r>
          <w:r>
            <w:fldChar w:fldCharType="end"/>
          </w:r>
          <w:r>
            <w:rPr>
              <w:rFonts w:hint="eastAsia"/>
            </w:rPr>
            <w:t>48</w:t>
          </w:r>
        </w:p>
        <w:p>
          <w:pPr>
            <w:rPr>
              <w:rFonts w:ascii="仿宋" w:hAnsi="仿宋" w:eastAsia="仿宋"/>
              <w:bCs/>
              <w:kern w:val="44"/>
              <w:sz w:val="24"/>
            </w:rPr>
          </w:pPr>
          <w:r>
            <w:rPr>
              <w:rFonts w:hint="eastAsia"/>
            </w:rPr>
            <w:t xml:space="preserve">    </w:t>
          </w:r>
          <w:r>
            <w:rPr>
              <w:rStyle w:val="17"/>
              <w:rFonts w:hint="eastAsia" w:ascii="仿宋" w:hAnsi="仿宋" w:eastAsia="仿宋"/>
            </w:rPr>
            <w:t>十四、国有资本经营预算财政拨款支出决算表</w:t>
          </w:r>
          <w:r>
            <w:tab/>
          </w:r>
          <w:r>
            <w:tab/>
          </w:r>
          <w:r>
            <w:tab/>
          </w:r>
          <w:r>
            <w:tab/>
          </w:r>
          <w:r>
            <w:tab/>
          </w:r>
          <w:r>
            <w:tab/>
          </w:r>
          <w:r>
            <w:tab/>
          </w:r>
          <w:r>
            <w:rPr>
              <w:rFonts w:hint="eastAsia"/>
            </w:rPr>
            <w:t xml:space="preserve">     </w:t>
          </w:r>
          <w:r>
            <w:fldChar w:fldCharType="end"/>
          </w:r>
          <w:r>
            <w:rPr>
              <w:rFonts w:hint="eastAsia"/>
            </w:rPr>
            <w:t>48</w:t>
          </w:r>
        </w:p>
      </w:sdtContent>
    </w:sdt>
    <w:p>
      <w:pPr>
        <w:pStyle w:val="2"/>
        <w:jc w:val="center"/>
        <w:rPr>
          <w:rStyle w:val="26"/>
          <w:rFonts w:ascii="黑体" w:hAnsi="黑体" w:eastAsia="黑体"/>
          <w:b/>
          <w:bCs w:val="0"/>
        </w:rPr>
      </w:pPr>
      <w:bookmarkStart w:id="14" w:name="_Toc52180065"/>
      <w:bookmarkStart w:id="15" w:name="_Toc15396599"/>
      <w:bookmarkStart w:id="16" w:name="_Toc15377196"/>
      <w:r>
        <w:rPr>
          <w:rFonts w:hint="eastAsia" w:ascii="黑体" w:hAnsi="黑体" w:eastAsia="黑体"/>
          <w:b w:val="0"/>
        </w:rPr>
        <w:t xml:space="preserve">第一部分 </w:t>
      </w:r>
      <w:r>
        <w:rPr>
          <w:rStyle w:val="26"/>
          <w:rFonts w:hint="eastAsia" w:ascii="黑体" w:hAnsi="黑体" w:eastAsia="黑体"/>
          <w:b w:val="0"/>
          <w:bCs w:val="0"/>
        </w:rPr>
        <w:t>部门概况</w:t>
      </w:r>
      <w:bookmarkEnd w:id="14"/>
      <w:bookmarkEnd w:id="15"/>
      <w:bookmarkEnd w:id="16"/>
    </w:p>
    <w:p>
      <w:pPr>
        <w:pStyle w:val="3"/>
        <w:ind w:firstLine="640" w:firstLineChars="200"/>
        <w:rPr>
          <w:rStyle w:val="27"/>
          <w:rFonts w:ascii="黑体" w:hAnsi="黑体" w:eastAsia="黑体"/>
          <w:b w:val="0"/>
          <w:bCs w:val="0"/>
        </w:rPr>
      </w:pPr>
      <w:bookmarkStart w:id="17" w:name="_Toc52180066"/>
      <w:bookmarkStart w:id="18" w:name="_Toc15377197"/>
      <w:bookmarkStart w:id="19"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7"/>
      <w:bookmarkEnd w:id="18"/>
      <w:bookmarkEnd w:id="19"/>
      <w:bookmarkStart w:id="20" w:name="_Toc15377198"/>
      <w:bookmarkStart w:id="21" w:name="_Toc15378445"/>
      <w:bookmarkStart w:id="22" w:name="_Toc52180067"/>
    </w:p>
    <w:p>
      <w:pPr>
        <w:pStyle w:val="3"/>
        <w:ind w:firstLine="643" w:firstLineChars="200"/>
        <w:rPr>
          <w:rFonts w:ascii="仿宋" w:hAnsi="仿宋" w:eastAsia="仿宋"/>
          <w:color w:val="000000"/>
        </w:rPr>
      </w:pPr>
      <w:r>
        <w:rPr>
          <w:rFonts w:hint="eastAsia" w:ascii="仿宋" w:hAnsi="仿宋" w:eastAsia="仿宋"/>
          <w:color w:val="000000"/>
        </w:rPr>
        <w:t>（一）主要职能</w:t>
      </w:r>
      <w:bookmarkEnd w:id="20"/>
      <w:bookmarkEnd w:id="21"/>
      <w:bookmarkEnd w:id="22"/>
      <w:r>
        <w:rPr>
          <w:rFonts w:hint="eastAsia" w:ascii="仿宋" w:hAnsi="仿宋" w:eastAsia="仿宋"/>
          <w:color w:val="000000"/>
        </w:rPr>
        <w:t>。</w:t>
      </w:r>
    </w:p>
    <w:p>
      <w:pPr>
        <w:widowControl/>
        <w:adjustRightInd w:val="0"/>
        <w:snapToGrid w:val="0"/>
        <w:spacing w:line="570" w:lineRule="exact"/>
        <w:ind w:firstLine="640" w:firstLineChars="200"/>
        <w:jc w:val="left"/>
        <w:rPr>
          <w:rFonts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盐边县格萨拉中心卫生院</w:t>
      </w:r>
      <w:r>
        <w:rPr>
          <w:rFonts w:hint="eastAsia" w:ascii="仿宋_GB2312" w:eastAsia="仿宋_GB2312" w:cs="仿宋_GB2312"/>
          <w:sz w:val="32"/>
        </w:rPr>
        <w:t>是盐边县城镇职工、城乡居民医疗保险定点医疗机构，</w:t>
      </w:r>
      <w:r>
        <w:rPr>
          <w:rFonts w:hint="eastAsia" w:ascii="仿宋_GB2312" w:hAnsi="宋体" w:eastAsia="仿宋_GB2312" w:cs="仿宋_GB2312"/>
          <w:sz w:val="32"/>
        </w:rPr>
        <w:t>承担着全乡的基本医疗、预防、基本公共卫生服务等任务。</w:t>
      </w:r>
    </w:p>
    <w:p>
      <w:pPr>
        <w:pStyle w:val="5"/>
        <w:adjustRightInd w:val="0"/>
        <w:snapToGrid w:val="0"/>
        <w:spacing w:before="93" w:line="600" w:lineRule="exact"/>
        <w:ind w:firstLine="640" w:firstLineChars="200"/>
        <w:outlineLvl w:val="2"/>
        <w:rPr>
          <w:rFonts w:ascii="仿宋" w:hAnsi="仿宋" w:eastAsia="仿宋"/>
          <w:bCs/>
          <w:color w:val="000000"/>
          <w:sz w:val="32"/>
          <w:szCs w:val="32"/>
        </w:rPr>
      </w:pPr>
      <w:bookmarkStart w:id="23" w:name="_Toc52180068"/>
      <w:bookmarkStart w:id="24" w:name="_Toc15377199"/>
      <w:bookmarkStart w:id="25" w:name="_Toc15378446"/>
      <w:r>
        <w:rPr>
          <w:rFonts w:hint="eastAsia" w:ascii="仿宋" w:hAnsi="仿宋" w:eastAsia="仿宋"/>
          <w:bCs/>
          <w:color w:val="000000"/>
          <w:sz w:val="32"/>
          <w:szCs w:val="32"/>
        </w:rPr>
        <w:t>（二）2020年重点工作完成情况。</w:t>
      </w:r>
      <w:bookmarkEnd w:id="23"/>
      <w:bookmarkEnd w:id="24"/>
      <w:bookmarkEnd w:id="25"/>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hAnsi="仿宋_GB2312"/>
          <w:sz w:val="32"/>
          <w:szCs w:val="32"/>
        </w:rPr>
        <w:t>2020年本院全院职工和11个村村卫生室的主要任务：基本医疗、基本公共卫生服务、预防、保健、计划生育服务，完成全民健康体检任务。</w:t>
      </w:r>
      <w:r>
        <w:rPr>
          <w:rFonts w:hint="eastAsia" w:hAnsi="仿宋_GB2312" w:cs="宋体"/>
          <w:sz w:val="32"/>
          <w:szCs w:val="32"/>
          <w:lang w:val="zh-CN"/>
        </w:rPr>
        <w:t>截止20</w:t>
      </w:r>
      <w:r>
        <w:rPr>
          <w:rFonts w:hint="eastAsia" w:hAnsi="仿宋_GB2312" w:cs="宋体"/>
          <w:sz w:val="32"/>
          <w:szCs w:val="32"/>
        </w:rPr>
        <w:t>20</w:t>
      </w:r>
      <w:r>
        <w:rPr>
          <w:rFonts w:hint="eastAsia" w:hAnsi="仿宋_GB2312" w:cs="宋体"/>
          <w:sz w:val="32"/>
          <w:szCs w:val="32"/>
          <w:lang w:val="zh-CN"/>
        </w:rPr>
        <w:t>年12月31日全年门急诊量</w:t>
      </w:r>
      <w:r>
        <w:rPr>
          <w:rFonts w:hint="eastAsia" w:hAnsi="仿宋_GB2312" w:cs="宋体"/>
          <w:sz w:val="32"/>
          <w:szCs w:val="32"/>
        </w:rPr>
        <w:t>7152</w:t>
      </w:r>
      <w:r>
        <w:rPr>
          <w:rFonts w:hint="eastAsia" w:hAnsi="仿宋_GB2312" w:cs="宋体"/>
          <w:sz w:val="32"/>
          <w:szCs w:val="32"/>
          <w:lang w:val="zh-CN"/>
        </w:rPr>
        <w:t>人次，出院病人</w:t>
      </w:r>
      <w:r>
        <w:rPr>
          <w:rFonts w:hint="eastAsia" w:hAnsi="仿宋_GB2312" w:cs="宋体"/>
          <w:sz w:val="32"/>
          <w:szCs w:val="32"/>
        </w:rPr>
        <w:t>66</w:t>
      </w:r>
      <w:r>
        <w:rPr>
          <w:rFonts w:hint="eastAsia" w:hAnsi="仿宋_GB2312" w:cs="宋体"/>
          <w:sz w:val="32"/>
          <w:szCs w:val="32"/>
          <w:lang w:val="zh-CN"/>
        </w:rPr>
        <w:t>人。</w:t>
      </w:r>
    </w:p>
    <w:p>
      <w:pPr>
        <w:pStyle w:val="3"/>
        <w:ind w:firstLine="640" w:firstLineChars="200"/>
        <w:rPr>
          <w:rStyle w:val="27"/>
          <w:b w:val="0"/>
          <w:bCs w:val="0"/>
        </w:rPr>
      </w:pPr>
      <w:bookmarkStart w:id="26" w:name="_Toc15396601"/>
      <w:bookmarkStart w:id="27" w:name="_Toc15377200"/>
      <w:bookmarkStart w:id="28" w:name="_Toc52180069"/>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6"/>
      <w:bookmarkEnd w:id="27"/>
      <w:bookmarkEnd w:id="28"/>
    </w:p>
    <w:p>
      <w:pPr>
        <w:ind w:firstLine="640" w:firstLineChars="200"/>
        <w:rPr>
          <w:rFonts w:ascii="仿宋_GB2312" w:hAnsi="仿宋" w:eastAsia="仿宋_GB2312" w:cs="仿宋"/>
          <w:sz w:val="32"/>
          <w:lang w:val="zh-CN"/>
        </w:rPr>
      </w:pPr>
      <w:r>
        <w:rPr>
          <w:rFonts w:hint="eastAsia" w:ascii="仿宋_GB2312" w:hAnsi="仿宋" w:eastAsia="仿宋_GB2312" w:cs="仿宋"/>
          <w:sz w:val="32"/>
          <w:lang w:val="zh-CN"/>
        </w:rPr>
        <w:t>盐边县格萨拉中心卫生院</w:t>
      </w:r>
      <w:r>
        <w:rPr>
          <w:rFonts w:hint="eastAsia" w:ascii="仿宋_GB2312" w:eastAsia="仿宋_GB2312" w:cs="仿宋_GB2312"/>
          <w:sz w:val="32"/>
        </w:rPr>
        <w:t>是政府举办的公益性事业单位,</w:t>
      </w:r>
      <w:r>
        <w:rPr>
          <w:rFonts w:hint="eastAsia" w:ascii="仿宋_GB2312" w:hAnsi="仿宋" w:eastAsia="仿宋_GB2312"/>
          <w:sz w:val="32"/>
          <w:szCs w:val="32"/>
        </w:rPr>
        <w:t>下属二级单位0个，其中行政单位0个，参照公务员法管理的事业单位</w:t>
      </w:r>
      <w:r>
        <w:rPr>
          <w:rFonts w:hint="eastAsia" w:ascii="仿宋_GB2312" w:hAnsi="仿宋" w:eastAsia="仿宋_GB2312"/>
          <w:bCs/>
          <w:sz w:val="32"/>
          <w:szCs w:val="32"/>
        </w:rPr>
        <w:t>0</w:t>
      </w:r>
      <w:r>
        <w:rPr>
          <w:rFonts w:hint="eastAsia" w:ascii="仿宋_GB2312" w:hAnsi="仿宋" w:eastAsia="仿宋_GB2312"/>
          <w:sz w:val="32"/>
          <w:szCs w:val="32"/>
        </w:rPr>
        <w:t>个，其他事业单位0个。</w:t>
      </w:r>
      <w:r>
        <w:rPr>
          <w:rFonts w:hint="eastAsia" w:ascii="仿宋_GB2312" w:hAnsi="仿宋" w:eastAsia="仿宋_GB2312" w:cs="仿宋"/>
          <w:sz w:val="32"/>
          <w:lang w:val="zh-CN"/>
        </w:rPr>
        <w:t>所辖村卫生室</w:t>
      </w:r>
      <w:r>
        <w:rPr>
          <w:rFonts w:hint="eastAsia" w:ascii="仿宋_GB2312" w:hAnsi="仿宋" w:eastAsia="仿宋_GB2312" w:cs="仿宋"/>
          <w:sz w:val="32"/>
        </w:rPr>
        <w:t>11</w:t>
      </w:r>
      <w:r>
        <w:rPr>
          <w:rFonts w:hint="eastAsia" w:ascii="仿宋_GB2312" w:hAnsi="仿宋" w:eastAsia="仿宋_GB2312" w:cs="仿宋"/>
          <w:sz w:val="32"/>
          <w:lang w:val="zh-CN"/>
        </w:rPr>
        <w:t>个，其中非营利性的</w:t>
      </w:r>
      <w:r>
        <w:rPr>
          <w:rFonts w:hint="eastAsia" w:ascii="仿宋_GB2312" w:hAnsi="仿宋" w:eastAsia="仿宋_GB2312" w:cs="仿宋"/>
          <w:sz w:val="32"/>
        </w:rPr>
        <w:t>11</w:t>
      </w:r>
      <w:r>
        <w:rPr>
          <w:rFonts w:hint="eastAsia" w:ascii="仿宋_GB2312" w:hAnsi="仿宋" w:eastAsia="仿宋_GB2312" w:cs="仿宋"/>
          <w:sz w:val="32"/>
          <w:lang w:val="zh-CN"/>
        </w:rPr>
        <w:t>个。</w:t>
      </w:r>
    </w:p>
    <w:p>
      <w:pPr>
        <w:ind w:firstLine="640" w:firstLineChars="200"/>
        <w:rPr>
          <w:rFonts w:ascii="仿宋_GB2312" w:hAnsi="仿宋" w:eastAsia="仿宋_GB2312" w:cs="仿宋"/>
          <w:sz w:val="32"/>
          <w:lang w:val="zh-CN"/>
        </w:rPr>
      </w:pPr>
    </w:p>
    <w:p>
      <w:pPr>
        <w:ind w:firstLine="800" w:firstLineChars="250"/>
        <w:rPr>
          <w:rFonts w:ascii="仿宋_GB2312" w:hAnsi="仿宋" w:eastAsia="仿宋_GB2312"/>
          <w:color w:val="000000"/>
          <w:kern w:val="0"/>
          <w:sz w:val="32"/>
          <w:szCs w:val="32"/>
        </w:rPr>
      </w:pPr>
      <w:r>
        <w:rPr>
          <w:rFonts w:hint="eastAsia" w:hAnsi="仿宋"/>
          <w:color w:val="000000"/>
          <w:sz w:val="32"/>
          <w:szCs w:val="32"/>
        </w:rPr>
        <w:br w:type="page"/>
      </w:r>
    </w:p>
    <w:p>
      <w:pPr>
        <w:pStyle w:val="2"/>
        <w:ind w:right="440"/>
        <w:jc w:val="right"/>
      </w:pPr>
      <w:bookmarkStart w:id="29" w:name="_Toc52180073"/>
      <w:bookmarkStart w:id="30" w:name="_Toc15396602"/>
      <w:bookmarkStart w:id="3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2020年度部门决算情况说明</w:t>
      </w:r>
      <w:bookmarkEnd w:id="29"/>
      <w:bookmarkEnd w:id="30"/>
      <w:bookmarkEnd w:id="31"/>
    </w:p>
    <w:p>
      <w:pPr>
        <w:pStyle w:val="25"/>
        <w:numPr>
          <w:ilvl w:val="0"/>
          <w:numId w:val="1"/>
        </w:numPr>
        <w:spacing w:line="600" w:lineRule="exact"/>
        <w:ind w:firstLineChars="0"/>
        <w:outlineLvl w:val="1"/>
        <w:rPr>
          <w:rStyle w:val="27"/>
          <w:rFonts w:ascii="黑体" w:hAnsi="黑体" w:eastAsia="黑体"/>
          <w:b w:val="0"/>
        </w:rPr>
      </w:pPr>
      <w:bookmarkStart w:id="32" w:name="_Toc15396603"/>
      <w:bookmarkStart w:id="33" w:name="_Toc52180074"/>
      <w:bookmarkStart w:id="34"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32"/>
      <w:bookmarkEnd w:id="33"/>
      <w:bookmarkEnd w:id="34"/>
    </w:p>
    <w:p>
      <w:pPr>
        <w:spacing w:line="600" w:lineRule="exact"/>
        <w:ind w:firstLine="640" w:firstLineChars="200"/>
        <w:rPr>
          <w:rFonts w:ascii="仿宋_GB2312" w:hAnsi="仿宋_GB2312" w:eastAsia="仿宋_GB2312"/>
          <w:sz w:val="32"/>
          <w:szCs w:val="32"/>
        </w:rPr>
      </w:pPr>
      <w:r>
        <w:rPr>
          <w:rFonts w:hint="eastAsia" w:ascii="仿宋" w:hAnsi="仿宋" w:eastAsia="仿宋"/>
          <w:color w:val="000000"/>
          <w:sz w:val="32"/>
          <w:szCs w:val="32"/>
        </w:rPr>
        <w:t>2020年度收、支总计622.5万元。与2019年相比，收、支总计各减少49.16万元和59.51万元，减少13.63</w:t>
      </w:r>
      <w:r>
        <w:rPr>
          <w:rFonts w:ascii="仿宋" w:hAnsi="仿宋" w:eastAsia="仿宋"/>
          <w:color w:val="000000"/>
          <w:sz w:val="32"/>
          <w:szCs w:val="32"/>
        </w:rPr>
        <w:t>%</w:t>
      </w:r>
      <w:r>
        <w:rPr>
          <w:rFonts w:hint="eastAsia" w:ascii="仿宋" w:hAnsi="仿宋" w:eastAsia="仿宋"/>
          <w:color w:val="000000"/>
          <w:sz w:val="32"/>
          <w:szCs w:val="32"/>
        </w:rPr>
        <w:t>和16.07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_GB2312" w:eastAsia="仿宋_GB2312"/>
          <w:sz w:val="32"/>
          <w:szCs w:val="32"/>
        </w:rPr>
        <w:t>:</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1、医疗收入减少。</w:t>
      </w:r>
    </w:p>
    <w:p>
      <w:pPr>
        <w:spacing w:line="600" w:lineRule="exact"/>
        <w:ind w:firstLine="640" w:firstLineChars="200"/>
        <w:rPr>
          <w:rFonts w:ascii="仿宋_GB2312" w:hAnsi="仿宋_GB2312" w:eastAsia="仿宋_GB2312"/>
          <w:sz w:val="32"/>
          <w:szCs w:val="32"/>
        </w:rPr>
      </w:pPr>
      <w:r>
        <w:rPr>
          <w:rFonts w:hint="eastAsia" w:ascii="仿宋" w:hAnsi="仿宋" w:eastAsia="仿宋"/>
          <w:color w:val="000000"/>
          <w:sz w:val="32"/>
          <w:szCs w:val="32"/>
        </w:rPr>
        <w:t>2、</w:t>
      </w:r>
      <w:r>
        <w:rPr>
          <w:rFonts w:hint="eastAsia" w:ascii="仿宋_GB2312" w:hAnsi="仿宋_GB2312" w:eastAsia="仿宋_GB2312"/>
          <w:sz w:val="32"/>
          <w:szCs w:val="32"/>
        </w:rPr>
        <w:t>在职人员减少4人。</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3、医院各类开支减少。</w:t>
      </w:r>
    </w:p>
    <w:p>
      <w:pPr>
        <w:spacing w:line="600" w:lineRule="exact"/>
        <w:ind w:firstLine="640" w:firstLineChars="200"/>
        <w:rPr>
          <w:rFonts w:ascii="仿宋_GB2312" w:eastAsia="仿宋_GB2312"/>
          <w:color w:val="000000"/>
          <w:sz w:val="32"/>
          <w:szCs w:val="32"/>
        </w:rPr>
      </w:pPr>
      <w:r>
        <w:rPr>
          <w:rFonts w:hint="eastAsia" w:ascii="仿宋_GB2312" w:hAnsi="仿宋_GB2312" w:eastAsia="仿宋_GB2312"/>
          <w:sz w:val="32"/>
          <w:szCs w:val="32"/>
        </w:rPr>
        <w:t>4、基本公共卫生经费村卫生室年终下半部分未发放。</w:t>
      </w:r>
    </w:p>
    <w:p>
      <w:pPr>
        <w:pStyle w:val="25"/>
        <w:numPr>
          <w:ilvl w:val="0"/>
          <w:numId w:val="1"/>
        </w:numPr>
        <w:spacing w:line="600" w:lineRule="exact"/>
        <w:ind w:firstLineChars="0"/>
        <w:outlineLvl w:val="1"/>
        <w:rPr>
          <w:rStyle w:val="27"/>
          <w:rFonts w:ascii="黑体" w:hAnsi="黑体" w:eastAsia="黑体"/>
          <w:b w:val="0"/>
        </w:rPr>
      </w:pPr>
      <w:bookmarkStart w:id="35" w:name="_Toc15377206"/>
      <w:bookmarkStart w:id="36" w:name="_Toc15396604"/>
      <w:bookmarkStart w:id="37" w:name="_Toc52180075"/>
      <w:r>
        <w:rPr>
          <w:rFonts w:hint="eastAsia" w:ascii="黑体" w:hAnsi="黑体" w:eastAsia="黑体"/>
          <w:color w:val="000000"/>
          <w:sz w:val="32"/>
          <w:szCs w:val="32"/>
        </w:rPr>
        <w:t>收</w:t>
      </w:r>
      <w:r>
        <w:rPr>
          <w:rStyle w:val="27"/>
          <w:rFonts w:hint="eastAsia" w:ascii="黑体" w:hAnsi="黑体" w:eastAsia="黑体"/>
          <w:b w:val="0"/>
        </w:rPr>
        <w:t>入决算情况说明</w:t>
      </w:r>
      <w:bookmarkEnd w:id="35"/>
      <w:bookmarkEnd w:id="36"/>
      <w:bookmarkEnd w:id="37"/>
    </w:p>
    <w:p>
      <w:pPr>
        <w:spacing w:line="600" w:lineRule="exact"/>
        <w:ind w:firstLine="640" w:firstLineChars="200"/>
        <w:outlineLvl w:val="1"/>
        <w:rPr>
          <w:rFonts w:ascii="仿宋_GB2312" w:eastAsia="仿宋_GB2312"/>
          <w:color w:val="FF0000"/>
          <w:sz w:val="32"/>
          <w:szCs w:val="32"/>
        </w:rPr>
      </w:pPr>
      <w:bookmarkStart w:id="38" w:name="_Toc52180076"/>
      <w:r>
        <w:rPr>
          <w:rFonts w:ascii="仿宋" w:hAnsi="仿宋" w:eastAsia="仿宋"/>
          <w:color w:val="000000"/>
          <w:sz w:val="32"/>
          <w:szCs w:val="32"/>
        </w:rPr>
        <w:t>20</w:t>
      </w:r>
      <w:r>
        <w:rPr>
          <w:rFonts w:hint="eastAsia" w:ascii="仿宋" w:hAnsi="仿宋" w:eastAsia="仿宋"/>
          <w:color w:val="000000"/>
          <w:sz w:val="32"/>
          <w:szCs w:val="32"/>
        </w:rPr>
        <w:t>20年本年收入合计311.62万元，其中：一般公共预算财政拨款收入</w:t>
      </w:r>
      <w:r>
        <w:rPr>
          <w:rFonts w:hint="eastAsia" w:ascii="仿宋_GB2312" w:hAnsi="宋体" w:eastAsia="仿宋_GB2312"/>
          <w:sz w:val="32"/>
          <w:szCs w:val="32"/>
        </w:rPr>
        <w:t>295.18</w:t>
      </w:r>
      <w:r>
        <w:rPr>
          <w:rFonts w:hint="eastAsia" w:ascii="仿宋" w:hAnsi="仿宋" w:eastAsia="仿宋"/>
          <w:color w:val="000000"/>
          <w:sz w:val="32"/>
          <w:szCs w:val="32"/>
        </w:rPr>
        <w:t>万元，占94.72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；政府性基金预算财政拨款收入2.08万元，占0.67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；其他收入14.36万元，占4.61</w:t>
      </w:r>
      <w:r>
        <w:rPr>
          <w:rFonts w:ascii="仿宋" w:hAnsi="仿宋" w:eastAsia="仿宋"/>
          <w:color w:val="000000"/>
          <w:sz w:val="32"/>
          <w:szCs w:val="32"/>
        </w:rPr>
        <w:t>%</w:t>
      </w:r>
      <w:r>
        <w:rPr>
          <w:rFonts w:hint="eastAsia" w:ascii="仿宋" w:hAnsi="仿宋" w:eastAsia="仿宋"/>
          <w:color w:val="000000"/>
          <w:sz w:val="32"/>
          <w:szCs w:val="32"/>
        </w:rPr>
        <w:t>。</w:t>
      </w:r>
      <w:bookmarkEnd w:id="38"/>
    </w:p>
    <w:p>
      <w:pPr>
        <w:pStyle w:val="25"/>
        <w:numPr>
          <w:ilvl w:val="0"/>
          <w:numId w:val="1"/>
        </w:numPr>
        <w:spacing w:line="600" w:lineRule="exact"/>
        <w:ind w:firstLineChars="0"/>
        <w:outlineLvl w:val="1"/>
        <w:rPr>
          <w:rStyle w:val="27"/>
          <w:rFonts w:ascii="黑体" w:hAnsi="黑体" w:eastAsia="黑体"/>
          <w:b w:val="0"/>
        </w:rPr>
      </w:pPr>
      <w:bookmarkStart w:id="39" w:name="_Toc52180077"/>
      <w:bookmarkStart w:id="40" w:name="_Toc15377207"/>
      <w:bookmarkStart w:id="41"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39"/>
      <w:bookmarkEnd w:id="40"/>
      <w:bookmarkEnd w:id="41"/>
    </w:p>
    <w:p>
      <w:pPr>
        <w:spacing w:line="600" w:lineRule="exact"/>
        <w:ind w:firstLine="640" w:firstLineChars="200"/>
        <w:outlineLvl w:val="1"/>
        <w:rPr>
          <w:rFonts w:ascii="仿宋_GB2312" w:eastAsia="仿宋_GB2312"/>
          <w:color w:val="FF0000"/>
          <w:sz w:val="32"/>
          <w:szCs w:val="32"/>
        </w:rPr>
      </w:pPr>
      <w:bookmarkStart w:id="42" w:name="_Toc52180078"/>
      <w:r>
        <w:rPr>
          <w:rFonts w:ascii="仿宋" w:hAnsi="仿宋" w:eastAsia="仿宋"/>
          <w:color w:val="000000"/>
          <w:sz w:val="32"/>
          <w:szCs w:val="32"/>
        </w:rPr>
        <w:t>20</w:t>
      </w:r>
      <w:r>
        <w:rPr>
          <w:rFonts w:hint="eastAsia" w:ascii="仿宋" w:hAnsi="仿宋" w:eastAsia="仿宋"/>
          <w:color w:val="000000"/>
          <w:sz w:val="32"/>
          <w:szCs w:val="32"/>
        </w:rPr>
        <w:t>20年本年支出合计310.88万元，其中：基本支出210.24万元，占67.63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_GB2312" w:hAnsi="仿宋" w:eastAsia="仿宋_GB2312"/>
          <w:color w:val="000000"/>
          <w:sz w:val="32"/>
          <w:szCs w:val="32"/>
        </w:rPr>
        <w:t>100.64</w:t>
      </w:r>
      <w:r>
        <w:rPr>
          <w:rFonts w:hint="eastAsia" w:ascii="仿宋" w:hAnsi="仿宋" w:eastAsia="仿宋"/>
          <w:color w:val="000000"/>
          <w:sz w:val="32"/>
          <w:szCs w:val="32"/>
        </w:rPr>
        <w:t>万元，占32.37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42"/>
    </w:p>
    <w:p>
      <w:pPr>
        <w:spacing w:line="600" w:lineRule="exact"/>
        <w:ind w:firstLine="640" w:firstLineChars="200"/>
        <w:outlineLvl w:val="1"/>
        <w:rPr>
          <w:rFonts w:ascii="黑体" w:hAnsi="黑体" w:eastAsia="黑体"/>
          <w:color w:val="000000"/>
          <w:sz w:val="32"/>
          <w:szCs w:val="32"/>
        </w:rPr>
      </w:pPr>
      <w:bookmarkStart w:id="43" w:name="_Toc15396606"/>
      <w:bookmarkStart w:id="44" w:name="_Toc15377208"/>
      <w:bookmarkStart w:id="45" w:name="_Toc52180079"/>
    </w:p>
    <w:p>
      <w:pPr>
        <w:spacing w:line="600" w:lineRule="exact"/>
        <w:ind w:firstLine="640" w:firstLineChars="200"/>
        <w:outlineLvl w:val="1"/>
        <w:rPr>
          <w:rStyle w:val="27"/>
          <w:rFonts w:ascii="黑体" w:hAnsi="黑体" w:eastAsia="黑体"/>
          <w:b w:val="0"/>
        </w:rPr>
      </w:pPr>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43"/>
      <w:bookmarkEnd w:id="44"/>
      <w:bookmarkEnd w:id="45"/>
    </w:p>
    <w:p>
      <w:pPr>
        <w:spacing w:line="600" w:lineRule="exact"/>
        <w:ind w:firstLine="640"/>
        <w:rPr>
          <w:rFonts w:ascii="仿宋" w:hAnsi="仿宋" w:eastAsia="仿宋"/>
          <w:b/>
          <w:color w:val="00B050"/>
          <w:sz w:val="32"/>
          <w:szCs w:val="32"/>
        </w:rPr>
      </w:pPr>
      <w:r>
        <w:rPr>
          <w:rFonts w:ascii="仿宋" w:hAnsi="仿宋" w:eastAsia="仿宋"/>
          <w:color w:val="000000"/>
          <w:sz w:val="32"/>
          <w:szCs w:val="32"/>
        </w:rPr>
        <w:t>20</w:t>
      </w:r>
      <w:r>
        <w:rPr>
          <w:rFonts w:hint="eastAsia" w:ascii="仿宋" w:hAnsi="仿宋" w:eastAsia="仿宋"/>
          <w:color w:val="000000"/>
          <w:sz w:val="32"/>
          <w:szCs w:val="32"/>
        </w:rPr>
        <w:t>20年财政拨款收、支总计589.97万元。与</w:t>
      </w:r>
      <w:r>
        <w:rPr>
          <w:rFonts w:ascii="仿宋" w:hAnsi="仿宋" w:eastAsia="仿宋"/>
          <w:color w:val="000000"/>
          <w:sz w:val="32"/>
          <w:szCs w:val="32"/>
        </w:rPr>
        <w:t>201</w:t>
      </w:r>
      <w:r>
        <w:rPr>
          <w:rFonts w:hint="eastAsia" w:ascii="仿宋" w:hAnsi="仿宋" w:eastAsia="仿宋"/>
          <w:color w:val="000000"/>
          <w:sz w:val="32"/>
          <w:szCs w:val="32"/>
        </w:rPr>
        <w:t>9年相比，财政拨款收入减少22.64万，减少了7.1%、支出总计增加7.33万元，减少原因是有4人正式人员减少；增长2.57</w:t>
      </w:r>
      <w:r>
        <w:rPr>
          <w:rFonts w:ascii="仿宋" w:hAnsi="仿宋" w:eastAsia="仿宋"/>
          <w:color w:val="000000"/>
          <w:sz w:val="32"/>
          <w:szCs w:val="32"/>
        </w:rPr>
        <w:t>%</w:t>
      </w:r>
      <w:r>
        <w:rPr>
          <w:rFonts w:hint="eastAsia" w:ascii="仿宋" w:hAnsi="仿宋" w:eastAsia="仿宋"/>
          <w:color w:val="000000"/>
          <w:sz w:val="32"/>
          <w:szCs w:val="32"/>
        </w:rPr>
        <w:t>。增加的主要变动原因是</w:t>
      </w:r>
      <w:r>
        <w:rPr>
          <w:rFonts w:hint="eastAsia" w:ascii="仿宋_GB2312" w:hAnsi="仿宋_GB2312" w:eastAsia="仿宋_GB2312"/>
          <w:sz w:val="32"/>
          <w:szCs w:val="32"/>
        </w:rPr>
        <w:t>2020年公共卫生经费人均费用提高，增加疫情防控经费等。</w:t>
      </w:r>
    </w:p>
    <w:p>
      <w:pPr>
        <w:spacing w:line="600" w:lineRule="exact"/>
        <w:ind w:firstLine="640" w:firstLineChars="200"/>
        <w:outlineLvl w:val="1"/>
        <w:rPr>
          <w:rStyle w:val="27"/>
          <w:rFonts w:ascii="黑体" w:hAnsi="黑体" w:eastAsia="黑体"/>
          <w:b w:val="0"/>
        </w:rPr>
      </w:pPr>
      <w:bookmarkStart w:id="46" w:name="_Toc15377209"/>
      <w:bookmarkStart w:id="47" w:name="_Toc15396607"/>
      <w:bookmarkStart w:id="48" w:name="_Toc52180080"/>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46"/>
      <w:bookmarkEnd w:id="47"/>
      <w:bookmarkEnd w:id="48"/>
    </w:p>
    <w:p>
      <w:pPr>
        <w:spacing w:line="600" w:lineRule="exact"/>
        <w:ind w:firstLine="643" w:firstLineChars="200"/>
        <w:outlineLvl w:val="2"/>
        <w:rPr>
          <w:rFonts w:ascii="仿宋" w:hAnsi="仿宋" w:eastAsia="仿宋"/>
          <w:b/>
          <w:color w:val="000000"/>
          <w:sz w:val="32"/>
          <w:szCs w:val="32"/>
        </w:rPr>
      </w:pPr>
      <w:bookmarkStart w:id="49" w:name="_Toc15377210"/>
      <w:bookmarkStart w:id="50" w:name="_Toc52180081"/>
      <w:r>
        <w:rPr>
          <w:rFonts w:hint="eastAsia" w:ascii="仿宋" w:hAnsi="仿宋" w:eastAsia="仿宋"/>
          <w:b/>
          <w:color w:val="000000"/>
          <w:sz w:val="32"/>
          <w:szCs w:val="32"/>
        </w:rPr>
        <w:t>（一）一般公共预算财政拨款支出决算总体情况</w:t>
      </w:r>
      <w:bookmarkEnd w:id="49"/>
      <w:bookmarkEnd w:id="50"/>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20年一般公共预算财政拨款支出292.31万元，占本年支出合计的94.03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9年相比，一般公共预算财政拨款减少32.57万元，减少11.14%，减少的主要原因是2020年医疗收入减少，在职人员减少等。</w:t>
      </w:r>
    </w:p>
    <w:p>
      <w:pPr>
        <w:spacing w:line="600" w:lineRule="exact"/>
        <w:ind w:firstLine="643" w:firstLineChars="200"/>
        <w:outlineLvl w:val="2"/>
        <w:rPr>
          <w:rFonts w:ascii="仿宋" w:hAnsi="仿宋" w:eastAsia="仿宋"/>
          <w:b/>
          <w:color w:val="000000"/>
          <w:sz w:val="32"/>
          <w:szCs w:val="32"/>
        </w:rPr>
      </w:pPr>
      <w:bookmarkStart w:id="51" w:name="_Toc52180082"/>
      <w:bookmarkStart w:id="52" w:name="_Toc15377211"/>
      <w:r>
        <w:rPr>
          <w:rFonts w:hint="eastAsia" w:ascii="仿宋" w:hAnsi="仿宋" w:eastAsia="仿宋"/>
          <w:b/>
          <w:color w:val="000000"/>
          <w:sz w:val="32"/>
          <w:szCs w:val="32"/>
        </w:rPr>
        <w:t>（二）一般公共预算财政拨款支出决算结构情况</w:t>
      </w:r>
      <w:bookmarkEnd w:id="51"/>
      <w:bookmarkEnd w:id="5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292.31</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支出22.02万元，占7.53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251.19万元，占85.94</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；住房保障支出19.1万元，占6.53%。</w:t>
      </w:r>
    </w:p>
    <w:p>
      <w:pPr>
        <w:spacing w:line="600" w:lineRule="exact"/>
        <w:ind w:firstLine="643" w:firstLineChars="200"/>
        <w:outlineLvl w:val="2"/>
        <w:rPr>
          <w:rFonts w:ascii="仿宋" w:hAnsi="仿宋" w:eastAsia="仿宋"/>
          <w:b/>
          <w:color w:val="000000"/>
          <w:sz w:val="32"/>
          <w:szCs w:val="32"/>
        </w:rPr>
      </w:pPr>
      <w:bookmarkStart w:id="53" w:name="_Toc52180083"/>
      <w:bookmarkStart w:id="54" w:name="_Toc15377212"/>
      <w:r>
        <w:rPr>
          <w:rFonts w:hint="eastAsia" w:ascii="仿宋" w:hAnsi="仿宋" w:eastAsia="仿宋"/>
          <w:b/>
          <w:color w:val="000000"/>
          <w:sz w:val="32"/>
          <w:szCs w:val="32"/>
        </w:rPr>
        <w:t>（三）一般公共预算财政拨款支出决算具体情况</w:t>
      </w:r>
      <w:bookmarkEnd w:id="53"/>
      <w:bookmarkEnd w:id="54"/>
    </w:p>
    <w:p>
      <w:pPr>
        <w:spacing w:line="600" w:lineRule="exact"/>
        <w:ind w:firstLine="643" w:firstLineChars="200"/>
        <w:outlineLvl w:val="2"/>
        <w:rPr>
          <w:rFonts w:ascii="仿宋" w:hAnsi="仿宋" w:eastAsia="仿宋"/>
          <w:color w:val="FF0000"/>
          <w:sz w:val="32"/>
          <w:szCs w:val="32"/>
        </w:rPr>
      </w:pPr>
      <w:bookmarkStart w:id="55" w:name="_Toc15377444"/>
      <w:bookmarkStart w:id="56" w:name="_Toc15378460"/>
      <w:bookmarkStart w:id="57" w:name="_Toc15377213"/>
      <w:bookmarkStart w:id="58" w:name="_Toc52180084"/>
      <w:r>
        <w:rPr>
          <w:rFonts w:hint="eastAsia" w:ascii="仿宋" w:hAnsi="仿宋" w:eastAsia="仿宋"/>
          <w:b/>
          <w:color w:val="000000" w:themeColor="text1"/>
          <w:sz w:val="32"/>
          <w:szCs w:val="32"/>
        </w:rPr>
        <w:t>2020年</w:t>
      </w:r>
      <w:r>
        <w:rPr>
          <w:rFonts w:hint="eastAsia" w:ascii="仿宋" w:hAnsi="仿宋" w:eastAsia="仿宋"/>
          <w:b/>
          <w:color w:val="000000"/>
          <w:sz w:val="32"/>
          <w:szCs w:val="32"/>
        </w:rPr>
        <w:t>一</w:t>
      </w:r>
      <w:r>
        <w:rPr>
          <w:rFonts w:hint="eastAsia" w:ascii="仿宋" w:hAnsi="仿宋" w:eastAsia="仿宋"/>
          <w:b/>
          <w:color w:val="000000" w:themeColor="text1"/>
          <w:sz w:val="32"/>
          <w:szCs w:val="32"/>
        </w:rPr>
        <w:t>般公共预算支出决算数为,292.31万元</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预算89.77</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55"/>
      <w:bookmarkEnd w:id="56"/>
      <w:bookmarkEnd w:id="57"/>
      <w:bookmarkEnd w:id="58"/>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1</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w:t>
      </w:r>
      <w:r>
        <w:rPr>
          <w:rStyle w:val="16"/>
          <w:rFonts w:ascii="仿宋" w:hAnsi="仿宋" w:eastAsia="仿宋"/>
          <w:bCs/>
          <w:color w:val="000000"/>
          <w:sz w:val="32"/>
          <w:szCs w:val="32"/>
        </w:rPr>
        <w:t>20805</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2080505</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支出决算为22.02万元，完成预算100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2</w:t>
      </w:r>
      <w:r>
        <w:rPr>
          <w:rStyle w:val="16"/>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6"/>
          <w:rFonts w:hint="eastAsia" w:ascii="仿宋" w:hAnsi="仿宋" w:eastAsia="仿宋"/>
          <w:bCs/>
          <w:color w:val="000000"/>
          <w:sz w:val="32"/>
          <w:szCs w:val="32"/>
        </w:rPr>
        <w:t>（类）</w:t>
      </w:r>
      <w:r>
        <w:rPr>
          <w:rStyle w:val="16"/>
          <w:rFonts w:ascii="仿宋" w:hAnsi="仿宋" w:eastAsia="仿宋"/>
          <w:bCs/>
          <w:color w:val="000000"/>
          <w:sz w:val="32"/>
          <w:szCs w:val="32"/>
        </w:rPr>
        <w:t>21003</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2100302</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支出决算为251.19元，完成预算100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rPr>
        <w:t>3.住房保障支出（类）</w:t>
      </w:r>
      <w:r>
        <w:rPr>
          <w:rStyle w:val="16"/>
          <w:rFonts w:ascii="仿宋" w:hAnsi="仿宋" w:eastAsia="仿宋"/>
          <w:bCs/>
          <w:color w:val="000000"/>
          <w:sz w:val="32"/>
          <w:szCs w:val="32"/>
        </w:rPr>
        <w:t>22102</w:t>
      </w:r>
      <w:r>
        <w:rPr>
          <w:rStyle w:val="16"/>
          <w:rFonts w:hint="eastAsia" w:ascii="仿宋" w:hAnsi="仿宋" w:eastAsia="仿宋"/>
          <w:bCs/>
          <w:color w:val="000000"/>
          <w:sz w:val="32"/>
          <w:szCs w:val="32"/>
        </w:rPr>
        <w:t>（款）2210201（项）：</w:t>
      </w:r>
      <w:r>
        <w:rPr>
          <w:rStyle w:val="16"/>
          <w:rFonts w:hint="eastAsia" w:ascii="仿宋" w:hAnsi="仿宋" w:eastAsia="仿宋"/>
          <w:b w:val="0"/>
          <w:bCs/>
          <w:color w:val="000000"/>
          <w:sz w:val="32"/>
          <w:szCs w:val="32"/>
        </w:rPr>
        <w:t>支出决算为19.1万元，完成预算100%。</w:t>
      </w:r>
    </w:p>
    <w:p>
      <w:pPr>
        <w:tabs>
          <w:tab w:val="right" w:pos="8306"/>
        </w:tabs>
        <w:spacing w:line="600" w:lineRule="exact"/>
        <w:ind w:firstLine="640" w:firstLineChars="200"/>
        <w:outlineLvl w:val="1"/>
        <w:rPr>
          <w:rStyle w:val="27"/>
        </w:rPr>
      </w:pPr>
      <w:bookmarkStart w:id="59" w:name="_Toc52180085"/>
      <w:bookmarkStart w:id="60" w:name="_Toc15396608"/>
      <w:bookmarkStart w:id="6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59"/>
      <w:bookmarkEnd w:id="60"/>
      <w:bookmarkEnd w:id="6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20年一般公共预算财政拨款基本支出203.99万元，其中：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工资福利支出201.35万元，主要包括：基本工资、津贴补贴、绩效工资、机关事业单位基本养老保险缴费、职工基本医疗保险缴费、公务员医疗补助缴费、其他社会保障缴费、住房公积金的补助支出等。</w:t>
      </w:r>
    </w:p>
    <w:p>
      <w:pPr>
        <w:spacing w:line="600" w:lineRule="exact"/>
        <w:ind w:firstLine="640"/>
        <w:outlineLvl w:val="1"/>
        <w:rPr>
          <w:rFonts w:ascii="仿宋" w:hAnsi="仿宋" w:eastAsia="仿宋"/>
          <w:color w:val="000000"/>
          <w:sz w:val="32"/>
          <w:szCs w:val="32"/>
        </w:rPr>
      </w:pPr>
      <w:r>
        <w:rPr>
          <w:rFonts w:hint="eastAsia" w:ascii="仿宋" w:hAnsi="仿宋" w:eastAsia="仿宋"/>
          <w:color w:val="000000"/>
          <w:sz w:val="32"/>
          <w:szCs w:val="32"/>
        </w:rPr>
        <w:t>对个人和家庭的补助经费2.64万元，主要包括生活补助的支出。</w:t>
      </w:r>
    </w:p>
    <w:p>
      <w:pPr>
        <w:spacing w:line="600" w:lineRule="exact"/>
        <w:ind w:firstLine="640"/>
        <w:outlineLvl w:val="1"/>
        <w:rPr>
          <w:rFonts w:ascii="仿宋" w:hAnsi="仿宋" w:eastAsia="仿宋"/>
          <w:color w:val="000000"/>
          <w:sz w:val="32"/>
          <w:szCs w:val="32"/>
        </w:rPr>
      </w:pPr>
      <w:r>
        <w:rPr>
          <w:rFonts w:hint="eastAsia" w:ascii="仿宋" w:hAnsi="仿宋" w:eastAsia="仿宋"/>
          <w:color w:val="000000"/>
          <w:sz w:val="32"/>
          <w:szCs w:val="32"/>
        </w:rPr>
        <w:t>公用经费支出0万元。</w:t>
      </w:r>
    </w:p>
    <w:p>
      <w:pPr>
        <w:spacing w:line="600" w:lineRule="exact"/>
        <w:ind w:firstLine="640"/>
        <w:outlineLvl w:val="1"/>
        <w:rPr>
          <w:rStyle w:val="27"/>
          <w:rFonts w:ascii="黑体" w:hAnsi="黑体" w:eastAsia="黑体"/>
          <w:b w:val="0"/>
        </w:rPr>
      </w:pPr>
      <w:bookmarkStart w:id="62" w:name="_Toc15377215"/>
      <w:bookmarkStart w:id="63" w:name="_Toc52180086"/>
      <w:bookmarkStart w:id="64"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62"/>
      <w:bookmarkEnd w:id="63"/>
      <w:bookmarkEnd w:id="64"/>
    </w:p>
    <w:p>
      <w:pPr>
        <w:spacing w:line="600" w:lineRule="exact"/>
        <w:ind w:firstLine="640"/>
        <w:outlineLvl w:val="2"/>
        <w:rPr>
          <w:rFonts w:ascii="仿宋" w:hAnsi="仿宋" w:eastAsia="仿宋"/>
          <w:b/>
          <w:color w:val="000000"/>
          <w:sz w:val="32"/>
          <w:szCs w:val="32"/>
        </w:rPr>
      </w:pPr>
      <w:bookmarkStart w:id="65" w:name="_Toc15377216"/>
      <w:bookmarkStart w:id="66" w:name="_Toc52180087"/>
      <w:r>
        <w:rPr>
          <w:rFonts w:hint="eastAsia" w:ascii="仿宋" w:hAnsi="仿宋" w:eastAsia="仿宋"/>
          <w:b/>
          <w:color w:val="000000"/>
          <w:sz w:val="32"/>
          <w:szCs w:val="32"/>
        </w:rPr>
        <w:t>（一）“三公”经费财政拨款支出决算总体情况说明</w:t>
      </w:r>
      <w:bookmarkEnd w:id="65"/>
      <w:bookmarkEnd w:id="6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20年“三公”经费财政拨款支出决算为0.39万元，完成预算100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67" w:name="_Toc52180088"/>
      <w:bookmarkStart w:id="68" w:name="_Toc15377217"/>
      <w:r>
        <w:rPr>
          <w:rFonts w:hint="eastAsia" w:ascii="仿宋" w:hAnsi="仿宋" w:eastAsia="仿宋"/>
          <w:b/>
          <w:color w:val="000000"/>
          <w:sz w:val="32"/>
          <w:szCs w:val="32"/>
        </w:rPr>
        <w:t>（二）“三公”经费财政拨款支出决算具体情况说明</w:t>
      </w:r>
      <w:bookmarkEnd w:id="67"/>
      <w:bookmarkEnd w:id="6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w:t>
      </w:r>
      <w:r>
        <w:rPr>
          <w:rFonts w:hint="eastAsia" w:ascii="仿宋" w:hAnsi="仿宋" w:eastAsia="仿宋"/>
          <w:color w:val="000000"/>
          <w:sz w:val="32"/>
          <w:szCs w:val="32"/>
          <w:lang w:val="en-US" w:eastAsia="zh-CN"/>
        </w:rPr>
        <w:t>.39</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rPr>
        <w:t>9年持平。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0.39万元,</w:t>
      </w:r>
      <w:r>
        <w:rPr>
          <w:rStyle w:val="16"/>
          <w:rFonts w:hint="eastAsia" w:ascii="仿宋" w:hAnsi="仿宋" w:eastAsia="仿宋"/>
          <w:b w:val="0"/>
          <w:bCs/>
          <w:color w:val="000000"/>
          <w:sz w:val="32"/>
          <w:szCs w:val="32"/>
        </w:rPr>
        <w:t>完成预算</w:t>
      </w:r>
      <w:r>
        <w:rPr>
          <w:rFonts w:hint="eastAsia" w:ascii="仿宋" w:hAnsi="仿宋" w:eastAsia="仿宋"/>
          <w:color w:val="000000"/>
          <w:sz w:val="32"/>
          <w:szCs w:val="32"/>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9年增加0.39万元。主要原因2020年由于疫情原因永兴中心卫生院把老式救护车调配至我院使用</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执法执勤用车0辆、其他用车0辆。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0.39万元。主要用于紧急救护、下村体检、运送医疗废物等所需的公务用车燃料费、维修费、过路过桥费、保险费等支出。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6"/>
          <w:rFonts w:hint="eastAsia" w:ascii="仿宋" w:hAnsi="仿宋" w:eastAsia="仿宋"/>
          <w:b w:val="0"/>
          <w:bCs/>
          <w:color w:val="000000"/>
          <w:sz w:val="32"/>
          <w:szCs w:val="32"/>
        </w:rPr>
        <w:t>完成预算0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rPr>
        <w:t>19年增加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。主要原因是无，其中：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万元，主要用于无接待(执行公务、开展业务活动开支的交通费、住宿费、用餐费等)。国内公务接待0批次，0人次（不包括陪同人员），共计支出0万元。</w:t>
      </w:r>
    </w:p>
    <w:p>
      <w:pPr>
        <w:spacing w:line="600" w:lineRule="exact"/>
        <w:ind w:firstLine="643" w:firstLineChars="200"/>
        <w:rPr>
          <w:rFonts w:ascii="黑体"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bookmarkStart w:id="69" w:name="_Toc15377218"/>
      <w:bookmarkStart w:id="70" w:name="_Toc15396610"/>
      <w:r>
        <w:rPr>
          <w:rFonts w:hint="eastAsia" w:ascii="仿宋_GB2312" w:eastAsia="仿宋_GB2312"/>
          <w:color w:val="000000" w:themeColor="text1"/>
          <w:sz w:val="32"/>
          <w:szCs w:val="32"/>
        </w:rPr>
        <w:t>。</w:t>
      </w:r>
    </w:p>
    <w:p>
      <w:pPr>
        <w:spacing w:line="600" w:lineRule="exact"/>
        <w:ind w:firstLine="640"/>
        <w:outlineLvl w:val="1"/>
        <w:rPr>
          <w:rStyle w:val="27"/>
          <w:rFonts w:ascii="黑体" w:hAnsi="黑体" w:eastAsia="黑体"/>
        </w:rPr>
      </w:pPr>
      <w:bookmarkStart w:id="71" w:name="_Toc52180089"/>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69"/>
      <w:bookmarkEnd w:id="70"/>
      <w:bookmarkEnd w:id="71"/>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2020年政府性基金预算拨款支出0.4万元。</w:t>
      </w:r>
    </w:p>
    <w:p>
      <w:pPr>
        <w:numPr>
          <w:ilvl w:val="0"/>
          <w:numId w:val="2"/>
        </w:numPr>
        <w:spacing w:line="600" w:lineRule="exact"/>
        <w:ind w:firstLine="640"/>
        <w:outlineLvl w:val="1"/>
        <w:rPr>
          <w:rStyle w:val="27"/>
          <w:rFonts w:ascii="黑体" w:hAnsi="黑体" w:eastAsia="黑体"/>
          <w:b w:val="0"/>
        </w:rPr>
      </w:pPr>
      <w:bookmarkStart w:id="72" w:name="_Toc15377219"/>
      <w:bookmarkStart w:id="73" w:name="_Toc15396611"/>
      <w:bookmarkStart w:id="74" w:name="_Toc52180090"/>
      <w:r>
        <w:rPr>
          <w:rStyle w:val="27"/>
          <w:rFonts w:hint="eastAsia" w:ascii="黑体" w:hAnsi="黑体" w:eastAsia="黑体"/>
          <w:b w:val="0"/>
        </w:rPr>
        <w:t>国有资本经营预算支出决算情况说明</w:t>
      </w:r>
      <w:bookmarkEnd w:id="72"/>
      <w:bookmarkEnd w:id="73"/>
      <w:bookmarkEnd w:id="74"/>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color w:val="000000"/>
          <w:sz w:val="32"/>
          <w:szCs w:val="32"/>
        </w:rPr>
        <w:t>2020年国有资本经营预算拨款支出0万元。</w:t>
      </w:r>
    </w:p>
    <w:p>
      <w:pPr>
        <w:spacing w:line="600" w:lineRule="exact"/>
        <w:ind w:firstLine="800" w:firstLineChars="250"/>
        <w:outlineLvl w:val="1"/>
        <w:rPr>
          <w:rStyle w:val="27"/>
          <w:rFonts w:ascii="黑体" w:hAnsi="黑体" w:eastAsia="黑体"/>
        </w:rPr>
      </w:pPr>
      <w:bookmarkStart w:id="75" w:name="_Toc15396612"/>
      <w:bookmarkStart w:id="76" w:name="_Toc52180091"/>
      <w:bookmarkStart w:id="77"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75"/>
      <w:bookmarkEnd w:id="76"/>
      <w:bookmarkEnd w:id="77"/>
    </w:p>
    <w:p>
      <w:pPr>
        <w:spacing w:line="600" w:lineRule="exact"/>
        <w:ind w:firstLine="643" w:firstLineChars="200"/>
        <w:outlineLvl w:val="2"/>
        <w:rPr>
          <w:rFonts w:ascii="仿宋" w:hAnsi="仿宋" w:eastAsia="仿宋"/>
          <w:color w:val="000000"/>
          <w:sz w:val="32"/>
          <w:szCs w:val="32"/>
        </w:rPr>
      </w:pPr>
      <w:bookmarkStart w:id="78" w:name="_Toc52180092"/>
      <w:bookmarkStart w:id="79" w:name="_Toc15377222"/>
      <w:r>
        <w:rPr>
          <w:rFonts w:hint="eastAsia" w:ascii="仿宋" w:hAnsi="仿宋" w:eastAsia="仿宋"/>
          <w:b/>
          <w:color w:val="000000"/>
          <w:sz w:val="32"/>
          <w:szCs w:val="32"/>
        </w:rPr>
        <w:t>（一）机关运行经费支出情况</w:t>
      </w:r>
      <w:bookmarkEnd w:id="78"/>
      <w:bookmarkEnd w:id="79"/>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w:t>
      </w:r>
      <w:r>
        <w:rPr>
          <w:rFonts w:hint="eastAsia" w:ascii="仿宋_GB2312" w:eastAsia="仿宋_GB2312"/>
          <w:color w:val="000000"/>
          <w:sz w:val="32"/>
          <w:szCs w:val="32"/>
        </w:rPr>
        <w:t>20年，盐边县格萨拉中心卫生院运行经费支出0万元，与</w:t>
      </w:r>
      <w:r>
        <w:rPr>
          <w:rFonts w:ascii="仿宋_GB2312" w:eastAsia="仿宋_GB2312"/>
          <w:color w:val="000000"/>
          <w:sz w:val="32"/>
          <w:szCs w:val="32"/>
        </w:rPr>
        <w:t>201</w:t>
      </w:r>
      <w:r>
        <w:rPr>
          <w:rFonts w:hint="eastAsia" w:ascii="仿宋_GB2312" w:eastAsia="仿宋_GB2312"/>
          <w:color w:val="000000"/>
          <w:sz w:val="32"/>
          <w:szCs w:val="32"/>
        </w:rPr>
        <w:t>9年决算数持平。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0" w:name="_Toc52180093"/>
      <w:bookmarkStart w:id="81" w:name="_Toc15377223"/>
      <w:r>
        <w:rPr>
          <w:rFonts w:hint="eastAsia" w:ascii="仿宋" w:hAnsi="仿宋" w:eastAsia="仿宋"/>
          <w:b/>
          <w:color w:val="000000"/>
          <w:sz w:val="32"/>
          <w:szCs w:val="32"/>
        </w:rPr>
        <w:t>（二）政府采购支出情况</w:t>
      </w:r>
      <w:bookmarkEnd w:id="80"/>
      <w:bookmarkEnd w:id="8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20年，盐边县格萨拉中心卫生院政府采购支出总额0万元，其中：政府采购货物支出0万元、政府采购工程支出0万元、政府采购服务支出0万元。授予中小企业合同金额0万元，占政府采购支出总额的0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2" w:name="_Toc52180094"/>
      <w:bookmarkStart w:id="83" w:name="_Toc15377224"/>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82"/>
      <w:bookmarkEnd w:id="83"/>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日，盐边县格萨拉中心卫生院共有车辆0辆，其中：主要领导干部用车0辆、机要通信用车0辆、应急保障用车0辆、其他用车0辆，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4" w:name="_Toc52180095"/>
      <w:r>
        <w:rPr>
          <w:rFonts w:hint="eastAsia" w:ascii="仿宋" w:hAnsi="仿宋" w:eastAsia="仿宋"/>
          <w:b/>
          <w:color w:val="000000"/>
          <w:sz w:val="32"/>
          <w:szCs w:val="32"/>
        </w:rPr>
        <w:t>（四）预算绩效管理情况。</w:t>
      </w:r>
      <w:bookmarkEnd w:id="84"/>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基本公共卫生服务项目（项目名称）开展了预算事前绩效评估，对3个项目编制了绩效目标，预算执行过程中，选取3个项目开展绩效监控，年终执行完毕后，对3个项目开展了绩效目标完成情况自评。</w:t>
      </w:r>
    </w:p>
    <w:p>
      <w:pPr>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本部门按要求对2020年部门整体支出开展绩效自评，从评价情况来看</w:t>
      </w:r>
      <w:r>
        <w:rPr>
          <w:rFonts w:hint="eastAsia" w:ascii="仿宋_GB2312" w:hAnsi="仿宋" w:eastAsia="仿宋_GB2312" w:cs="仿宋_GB2312"/>
          <w:sz w:val="32"/>
          <w:szCs w:val="32"/>
        </w:rPr>
        <w:t>基本公共卫生服务项目绩效管理取得新成效，</w:t>
      </w:r>
      <w:r>
        <w:rPr>
          <w:rFonts w:hint="eastAsia" w:ascii="仿宋_GB2312" w:hAnsi="仿宋" w:eastAsia="仿宋_GB2312"/>
          <w:sz w:val="32"/>
          <w:szCs w:val="32"/>
        </w:rPr>
        <w:t>在肯定成绩的同时，我们也要保持清醒的头脑，深刻认识到工作中存在的问题与不足，基本公共卫生服务项目绩效管理工作存在问题还有许多不足，尤其是资金的使用还需要更好与上级部门沟通，杜绝一些不合理的开支。二是有些在改革创新方面观念还没完全转变。三是各部门的工作执行力还有待提高。四是部分专科发展动力不够，部分医务人员苦干精神、钻研精神还不强。</w:t>
      </w:r>
      <w:r>
        <w:rPr>
          <w:rFonts w:hint="eastAsia" w:ascii="仿宋_GB2312" w:hAnsi="仿宋_GB2312" w:eastAsia="仿宋_GB2312" w:cs="仿宋_GB2312"/>
          <w:sz w:val="32"/>
          <w:szCs w:val="32"/>
        </w:rPr>
        <w:t>本部门还自行组织了3个项目支出绩效评价，从评价情况来看评价情况来看完成率达到100%。</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本部门在2020年度部门决算中反映“卫生健康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“住房保障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“社会保障与就业”等3个项目绩效目标实际完成情况。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（1）卫生健康项目绩效目标完成情况综述。项目全年预算数269.36万元，执行数为269.36万元，完成预算的100%。通过项目实施，保障了医疗卫生与计划生育项目的有效实施。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（2）住房保障项目绩效目标完成情况综述。项目全年预算数19.1万元，执行数为19.1万元，完成预算的100%。通过项目实施，提高了住房保障。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（3）社会保障与就业项目绩效目标完成情况综述。项目全年预算数22.02万元，执行数为22.02万元，完成预算的100%。通过项目实施，促进了社会保障与就业项目的发展。</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4"/>
        <w:tblpPr w:leftFromText="180" w:rightFromText="180" w:vertAnchor="text" w:horzAnchor="page" w:tblpXSpec="center" w:tblpY="1007"/>
        <w:tblOverlap w:val="never"/>
        <w:tblW w:w="9960" w:type="dxa"/>
        <w:jc w:val="center"/>
        <w:tblLayout w:type="fixed"/>
        <w:tblCellMar>
          <w:top w:w="0" w:type="dxa"/>
          <w:left w:w="0" w:type="dxa"/>
          <w:bottom w:w="0" w:type="dxa"/>
          <w:right w:w="0" w:type="dxa"/>
        </w:tblCellMar>
      </w:tblPr>
      <w:tblGrid>
        <w:gridCol w:w="390"/>
        <w:gridCol w:w="1512"/>
        <w:gridCol w:w="1056"/>
        <w:gridCol w:w="2370"/>
        <w:gridCol w:w="1974"/>
        <w:gridCol w:w="2658"/>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ind w:left="3598" w:leftChars="1197" w:hanging="1084" w:hangingChars="300"/>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项目绩效目标完成情况表1</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9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公共卫生专用经费</w:t>
            </w:r>
          </w:p>
        </w:tc>
      </w:tr>
      <w:tr>
        <w:tblPrEx>
          <w:tblCellMar>
            <w:top w:w="0" w:type="dxa"/>
            <w:left w:w="0" w:type="dxa"/>
            <w:bottom w:w="0" w:type="dxa"/>
            <w:right w:w="0" w:type="dxa"/>
          </w:tblCellMar>
        </w:tblPrEx>
        <w:trPr>
          <w:trHeight w:val="276" w:hRule="atLeast"/>
          <w:jc w:val="center"/>
        </w:trPr>
        <w:tc>
          <w:tcPr>
            <w:tcW w:w="29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盐边县格萨拉中心卫生院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未纳入二级预算</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74.06</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74.06</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9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6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98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9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免费向城乡居民提供基本公共卫生服务。 </w:t>
            </w:r>
          </w:p>
        </w:tc>
        <w:tc>
          <w:tcPr>
            <w:tcW w:w="46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面向全乡12578人城乡居民免费提供健康档案管理、健康教育、慢性病管理等基本公共卫生服务。 </w:t>
            </w:r>
          </w:p>
        </w:tc>
      </w:tr>
      <w:tr>
        <w:tblPrEx>
          <w:tblCellMar>
            <w:top w:w="0" w:type="dxa"/>
            <w:left w:w="0" w:type="dxa"/>
            <w:bottom w:w="0" w:type="dxa"/>
            <w:right w:w="0" w:type="dxa"/>
          </w:tblCellMar>
        </w:tblPrEx>
        <w:trPr>
          <w:trHeight w:val="90"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指标1：居民健康档案管理。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inorEastAsia" w:hAnsiTheme="minorEastAsia" w:eastAsiaTheme="minorEastAsia"/>
                <w:color w:val="000000"/>
                <w:sz w:val="24"/>
              </w:rPr>
            </w:pPr>
            <w:r>
              <w:rPr>
                <w:rFonts w:hint="eastAsia" w:ascii="宋体" w:hAnsi="宋体" w:cs="宋体"/>
                <w:color w:val="000000"/>
                <w:kern w:val="0"/>
                <w:sz w:val="20"/>
                <w:szCs w:val="20"/>
              </w:rPr>
              <w:t>居民健康档案管理率≥93%</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4"/>
              <w:tblW w:w="1981" w:type="dxa"/>
              <w:tblInd w:w="0" w:type="dxa"/>
              <w:tblLayout w:type="fixed"/>
              <w:tblCellMar>
                <w:top w:w="0" w:type="dxa"/>
                <w:left w:w="108" w:type="dxa"/>
                <w:bottom w:w="0" w:type="dxa"/>
                <w:right w:w="108" w:type="dxa"/>
              </w:tblCellMar>
            </w:tblPr>
            <w:tblGrid>
              <w:gridCol w:w="1981"/>
            </w:tblGrid>
            <w:tr>
              <w:tblPrEx>
                <w:tblCellMar>
                  <w:top w:w="0" w:type="dxa"/>
                  <w:left w:w="108" w:type="dxa"/>
                  <w:bottom w:w="0" w:type="dxa"/>
                  <w:right w:w="108" w:type="dxa"/>
                </w:tblCellMar>
              </w:tblPrEx>
              <w:trPr>
                <w:trHeight w:val="4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居民健康档案管理率≥94.6%</w:t>
                  </w:r>
                </w:p>
              </w:tc>
            </w:tr>
          </w:tbl>
          <w:p>
            <w:pPr>
              <w:widowControl/>
              <w:jc w:val="right"/>
              <w:textAlignment w:val="center"/>
              <w:rPr>
                <w:rFonts w:ascii="宋体" w:hAnsi="宋体" w:cs="宋体"/>
                <w:color w:val="000000"/>
                <w:sz w:val="24"/>
              </w:rPr>
            </w:pP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指标2：预防接种。</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预防接种率≥90%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预防接种率≥97.95%</w:t>
            </w:r>
          </w:p>
        </w:tc>
      </w:tr>
      <w:tr>
        <w:tblPrEx>
          <w:tblCellMar>
            <w:top w:w="0" w:type="dxa"/>
            <w:left w:w="0" w:type="dxa"/>
            <w:bottom w:w="0" w:type="dxa"/>
            <w:right w:w="0" w:type="dxa"/>
          </w:tblCellMar>
        </w:tblPrEx>
        <w:trPr>
          <w:trHeight w:val="92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指标3：0-6岁儿童健康管理。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新生儿访视率、儿童健康管理率≥85％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4"/>
              <w:tblW w:w="3962" w:type="dxa"/>
              <w:tblInd w:w="0" w:type="dxa"/>
              <w:tblLayout w:type="fixed"/>
              <w:tblCellMar>
                <w:top w:w="0" w:type="dxa"/>
                <w:left w:w="108" w:type="dxa"/>
                <w:bottom w:w="0" w:type="dxa"/>
                <w:right w:w="108" w:type="dxa"/>
              </w:tblCellMar>
            </w:tblPr>
            <w:tblGrid>
              <w:gridCol w:w="1981"/>
              <w:gridCol w:w="1981"/>
            </w:tblGrid>
            <w:tr>
              <w:tblPrEx>
                <w:tblCellMar>
                  <w:top w:w="0" w:type="dxa"/>
                  <w:left w:w="108" w:type="dxa"/>
                  <w:bottom w:w="0" w:type="dxa"/>
                  <w:right w:w="108" w:type="dxa"/>
                </w:tblCellMar>
              </w:tblPrEx>
              <w:trPr>
                <w:trHeight w:val="720" w:hRule="atLeast"/>
              </w:trPr>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新生儿访视率96.88%、儿童健康管理率90.04％</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0"/>
                      <w:szCs w:val="20"/>
                    </w:rPr>
                  </w:pPr>
                </w:p>
              </w:tc>
            </w:tr>
          </w:tbl>
          <w:p>
            <w:pPr>
              <w:widowControl/>
              <w:jc w:val="right"/>
              <w:textAlignment w:val="center"/>
              <w:rPr>
                <w:rFonts w:ascii="宋体" w:hAnsi="宋体" w:cs="宋体"/>
                <w:color w:val="000000"/>
                <w:sz w:val="24"/>
              </w:rPr>
            </w:pP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指标4：孕产妇健康管理。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早孕建册率、产后访视率≥85％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早孕建册率≥67.19％、产后访视率≥96.88％</w:t>
            </w:r>
          </w:p>
        </w:tc>
      </w:tr>
      <w:tr>
        <w:tblPrEx>
          <w:tblCellMar>
            <w:top w:w="0" w:type="dxa"/>
            <w:left w:w="0" w:type="dxa"/>
            <w:bottom w:w="0" w:type="dxa"/>
            <w:right w:w="0" w:type="dxa"/>
          </w:tblCellMar>
        </w:tblPrEx>
        <w:trPr>
          <w:trHeight w:val="5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指标5：老年人健康管理。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老年人健康管理率≥70%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老年人健康管理率≥68.7%</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指标6：慢性病管理。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高血压患者规范管理率≥70%，糖尿病规范管理率≥60%。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0"/>
                <w:szCs w:val="20"/>
              </w:rPr>
              <w:t>高血压患者规范管理率87.5%，糖尿病规范管理率≥85.15%。</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指标7：严重精神障碍患者管理。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严重精神障碍患者规范化管理率≥85%。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0"/>
                <w:szCs w:val="20"/>
              </w:rPr>
              <w:t>严重精神障碍患者规范化管理率为≥98.18%</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指标8：肺结核患者健康管理。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各级定点医疗机构确诊并通知基层医疗卫生机构管理的肺结核患者管理率≥90%。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0"/>
                <w:szCs w:val="20"/>
              </w:rPr>
              <w:t>管理率为≥100%</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指标9：中医药健康管理率。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以县为单位，老年人中医药健康管理率≥45%，儿童中医药健康管理率≥85%。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0"/>
                <w:szCs w:val="20"/>
              </w:rPr>
              <w:t>老年人中医药健康管理率≥61.88%，儿童中医药健康管理率≥89.44%。</w:t>
            </w:r>
          </w:p>
        </w:tc>
      </w:tr>
      <w:tr>
        <w:tblPrEx>
          <w:tblCellMar>
            <w:top w:w="0" w:type="dxa"/>
            <w:left w:w="0" w:type="dxa"/>
            <w:bottom w:w="0" w:type="dxa"/>
            <w:right w:w="0" w:type="dxa"/>
          </w:tblCellMar>
        </w:tblPrEx>
        <w:trPr>
          <w:trHeight w:val="8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指标10：传染病及突发公共卫生事件报告和处理服务。</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报告率分别≥100%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0"/>
                <w:szCs w:val="20"/>
              </w:rPr>
              <w:t>100%</w:t>
            </w:r>
          </w:p>
        </w:tc>
      </w:tr>
      <w:tr>
        <w:tblPrEx>
          <w:tblCellMar>
            <w:top w:w="0" w:type="dxa"/>
            <w:left w:w="0" w:type="dxa"/>
            <w:bottom w:w="0" w:type="dxa"/>
            <w:right w:w="0" w:type="dxa"/>
          </w:tblCellMar>
        </w:tblPrEx>
        <w:trPr>
          <w:trHeight w:val="60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指标11：卫生计生监督协管服务。</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卫生监督协管信息报告率≥95%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0"/>
                <w:szCs w:val="20"/>
              </w:rPr>
              <w:t>100%</w:t>
            </w:r>
          </w:p>
        </w:tc>
      </w:tr>
      <w:tr>
        <w:tblPrEx>
          <w:tblCellMar>
            <w:top w:w="0" w:type="dxa"/>
            <w:left w:w="0" w:type="dxa"/>
            <w:bottom w:w="0" w:type="dxa"/>
            <w:right w:w="0" w:type="dxa"/>
          </w:tblCellMar>
        </w:tblPrEx>
        <w:trPr>
          <w:trHeight w:val="54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指标12：健康教育宣传。</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以县为单位，群众的知晓率达到90%以上。</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92.79%</w:t>
            </w:r>
          </w:p>
        </w:tc>
      </w:tr>
      <w:tr>
        <w:tblPrEx>
          <w:tblCellMar>
            <w:top w:w="0" w:type="dxa"/>
            <w:left w:w="0" w:type="dxa"/>
            <w:bottom w:w="0" w:type="dxa"/>
            <w:right w:w="0" w:type="dxa"/>
          </w:tblCellMar>
        </w:tblPrEx>
        <w:trPr>
          <w:trHeight w:val="88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质量指标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指标1：慢性病管理。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高血压患者规范管理率≥70%；糖尿病规范管理率≥60%。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高血压患者规范管理率≥87.5%，糖尿病规范管理率≥85.15%。</w:t>
            </w:r>
          </w:p>
        </w:tc>
      </w:tr>
      <w:tr>
        <w:tblPrEx>
          <w:tblCellMar>
            <w:top w:w="0" w:type="dxa"/>
            <w:left w:w="0" w:type="dxa"/>
            <w:bottom w:w="0" w:type="dxa"/>
            <w:right w:w="0" w:type="dxa"/>
          </w:tblCellMar>
        </w:tblPrEx>
        <w:trPr>
          <w:trHeight w:val="3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指标2：严重精神障碍患者管理。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严重精神障碍患者规范化管理率≥85%。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严重精神障碍患者规范化管理率为≥98.18%</w:t>
            </w:r>
          </w:p>
        </w:tc>
      </w:tr>
      <w:tr>
        <w:tblPrEx>
          <w:tblCellMar>
            <w:top w:w="0" w:type="dxa"/>
            <w:left w:w="0" w:type="dxa"/>
            <w:bottom w:w="0" w:type="dxa"/>
            <w:right w:w="0" w:type="dxa"/>
          </w:tblCellMar>
        </w:tblPrEx>
        <w:trPr>
          <w:trHeight w:val="3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指标3：肺结核患者健康管理。</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各级定点医疗机构确诊并通知基层医疗卫生机构管理的肺结核患者管理率≥90%。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管理率为≥100%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时效指标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指标1：项目资金按要求及时拨付。</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在收到资金30日内完成拨付，6月30日前拨付进度达到31.26%，2021年4月30日前拨付进度达到100%。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2020年6月份预拨村卫生室14.72万，2021年6月拨10.69万</w:t>
            </w:r>
          </w:p>
        </w:tc>
      </w:tr>
      <w:tr>
        <w:tblPrEx>
          <w:tblCellMar>
            <w:top w:w="0" w:type="dxa"/>
            <w:left w:w="0" w:type="dxa"/>
            <w:bottom w:w="0" w:type="dxa"/>
            <w:right w:w="0" w:type="dxa"/>
          </w:tblCellMar>
        </w:tblPrEx>
        <w:trPr>
          <w:trHeight w:val="1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指标2：按时完成半年、年终绩效考核，开展绩效评价。</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完成半年、年终绩效考核</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6月1-15日，开展村卫生室半年考核。</w:t>
            </w:r>
          </w:p>
          <w:p>
            <w:pPr>
              <w:widowControl/>
              <w:jc w:val="left"/>
              <w:textAlignment w:val="center"/>
              <w:rPr>
                <w:rFonts w:ascii="宋体" w:cs="宋体"/>
                <w:color w:val="000000"/>
                <w:sz w:val="24"/>
              </w:rPr>
            </w:pPr>
            <w:r>
              <w:rPr>
                <w:rFonts w:hint="eastAsia" w:ascii="宋体" w:hAnsi="宋体" w:cs="宋体"/>
                <w:color w:val="000000"/>
                <w:kern w:val="0"/>
                <w:sz w:val="20"/>
                <w:szCs w:val="20"/>
              </w:rPr>
              <w:t>12月12-28日，开展村卫生室年终考核。</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指标3：基本公共卫生服务项目按月推进完成。</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以基本公共卫生月报表进度为准。</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0"/>
                <w:szCs w:val="20"/>
              </w:rPr>
              <w:t>按时报送，按月推进</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成本指标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按基本公共卫生项目进行分摊投资</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74.06万元</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74.06万元</w:t>
            </w:r>
          </w:p>
        </w:tc>
      </w:tr>
      <w:tr>
        <w:tblPrEx>
          <w:tblCellMar>
            <w:top w:w="0" w:type="dxa"/>
            <w:left w:w="0" w:type="dxa"/>
            <w:bottom w:w="0" w:type="dxa"/>
            <w:right w:w="0" w:type="dxa"/>
          </w:tblCellMar>
        </w:tblPrEx>
        <w:trPr>
          <w:trHeight w:val="62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经济效益指标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免费服务</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严格按文件执行</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完成</w:t>
            </w:r>
          </w:p>
        </w:tc>
      </w:tr>
      <w:tr>
        <w:tblPrEx>
          <w:tblCellMar>
            <w:top w:w="0" w:type="dxa"/>
            <w:left w:w="0" w:type="dxa"/>
            <w:bottom w:w="0" w:type="dxa"/>
            <w:right w:w="0" w:type="dxa"/>
          </w:tblCellMar>
        </w:tblPrEx>
        <w:trPr>
          <w:trHeight w:val="7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社会效益指标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免费为16354人提供公共卫生服务</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完成</w:t>
            </w:r>
          </w:p>
        </w:tc>
      </w:tr>
      <w:tr>
        <w:tblPrEx>
          <w:tblCellMar>
            <w:top w:w="0" w:type="dxa"/>
            <w:left w:w="0" w:type="dxa"/>
            <w:bottom w:w="0" w:type="dxa"/>
            <w:right w:w="0" w:type="dxa"/>
          </w:tblCellMar>
        </w:tblPrEx>
        <w:trPr>
          <w:trHeight w:val="63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cs="宋体"/>
                <w:color w:val="000000"/>
                <w:sz w:val="24"/>
              </w:rPr>
              <w:t>生态效益指标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进一步提高我乡村民健康水平</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完成</w:t>
            </w:r>
          </w:p>
        </w:tc>
      </w:tr>
      <w:tr>
        <w:tblPrEx>
          <w:tblCellMar>
            <w:top w:w="0" w:type="dxa"/>
            <w:left w:w="0" w:type="dxa"/>
            <w:bottom w:w="0" w:type="dxa"/>
            <w:right w:w="0" w:type="dxa"/>
          </w:tblCellMar>
        </w:tblPrEx>
        <w:trPr>
          <w:trHeight w:val="63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可持续影响指标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提高村民健康质量</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完成</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服务对象满意度指标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0"/>
                <w:szCs w:val="20"/>
              </w:rPr>
              <w:t>指标1：重点人群满意度。</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0"/>
                <w:szCs w:val="20"/>
              </w:rPr>
              <w:t>≥90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0"/>
                <w:szCs w:val="20"/>
              </w:rPr>
              <w:t>99.20%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指标2：群众参与率。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0"/>
                <w:szCs w:val="20"/>
              </w:rPr>
              <w:t>≥95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0"/>
                <w:szCs w:val="20"/>
              </w:rPr>
              <w:t>92.30%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0"/>
                <w:szCs w:val="20"/>
              </w:rPr>
              <w:t>指标3：群众知晓率。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0"/>
                <w:szCs w:val="20"/>
              </w:rPr>
              <w:t>≥95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0"/>
                <w:szCs w:val="20"/>
              </w:rPr>
              <w:t>92.30%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b/>
                <w:bCs/>
                <w:color w:val="000000"/>
                <w:kern w:val="0"/>
                <w:sz w:val="36"/>
                <w:szCs w:val="36"/>
              </w:rPr>
            </w:pPr>
          </w:p>
          <w:p>
            <w:pPr>
              <w:widowControl/>
              <w:ind w:left="3598" w:leftChars="1197" w:hanging="1084" w:hangingChars="300"/>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项目绩效目标完成情况表2</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9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0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医疗卫生机构事业发展资金</w:t>
            </w:r>
          </w:p>
        </w:tc>
      </w:tr>
      <w:tr>
        <w:tblPrEx>
          <w:tblCellMar>
            <w:top w:w="0" w:type="dxa"/>
            <w:left w:w="0" w:type="dxa"/>
            <w:bottom w:w="0" w:type="dxa"/>
            <w:right w:w="0" w:type="dxa"/>
          </w:tblCellMar>
        </w:tblPrEx>
        <w:trPr>
          <w:trHeight w:val="276" w:hRule="atLeast"/>
          <w:jc w:val="center"/>
        </w:trPr>
        <w:tc>
          <w:tcPr>
            <w:tcW w:w="29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0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盐边县格萨拉中心卫生院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未纳入二级预算</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10.91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10.91</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5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9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6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211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9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1、加强和规范本卫生院收支预算管理、合理控制成本、提高管理水平、提升资源使用效益、促进医疗机构持续健康发展；2、实行全面预算管理制度、强化预算约束、保障本医疗机构正常运转。</w:t>
            </w:r>
          </w:p>
        </w:tc>
        <w:tc>
          <w:tcPr>
            <w:tcW w:w="46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本乡镇1家卫生院全部纳入，并按时上缴事业收入纳入财政预算管理，资金上缴率100%。强化预算约束，增加财政收入，提升资金管理水平；财政及时拨付，确保医疗机构正常运转。医疗机构资金规范使用率100%。</w:t>
            </w:r>
          </w:p>
        </w:tc>
      </w:tr>
      <w:tr>
        <w:tblPrEx>
          <w:tblCellMar>
            <w:top w:w="0" w:type="dxa"/>
            <w:left w:w="0" w:type="dxa"/>
            <w:bottom w:w="0" w:type="dxa"/>
            <w:right w:w="0" w:type="dxa"/>
          </w:tblCellMar>
        </w:tblPrEx>
        <w:trPr>
          <w:trHeight w:val="667"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7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乡镇卫生院</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1家</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47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质量指标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指标1：收入上缴率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44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指标2：规范使用率</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48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时效指标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指标1：项目完成时间</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年度内按时完成</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6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指标2：上缴时间</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适时上缴</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成本指标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指标1：经费总额</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控制在预算范围内</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指标2：设备购置</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按实际支付</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指标3：药品采购</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控制在收入内</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指标4：人员经费</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控制在预算标准内</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21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指标5：公用经费</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控制在预算范围内</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经济效益指标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指标1：财政收入</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有所提高</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指标2：人员就业 </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得到保障</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35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指标3：相关产业发展</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得到带动</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2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社会效益指标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指标1：群众生活和就医环境 </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持续改进</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5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51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5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指标2：城乡居民基本公共卫生服务差距 </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不断缩小</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9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5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指标1：基本公共卫生服务水平 </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有所提高</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5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textAlignment w:val="center"/>
            </w:pPr>
          </w:p>
        </w:tc>
        <w:tc>
          <w:tcPr>
            <w:tcW w:w="151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pPr>
          </w:p>
        </w:tc>
        <w:tc>
          <w:tcPr>
            <w:tcW w:w="105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pP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指标2：医务人员技术</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有所提高</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931"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服务对象满意度指标</w:t>
            </w:r>
          </w:p>
        </w:tc>
        <w:tc>
          <w:tcPr>
            <w:tcW w:w="23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指标1：服务对象满意度</w:t>
            </w:r>
          </w:p>
        </w:tc>
        <w:tc>
          <w:tcPr>
            <w:tcW w:w="1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≧95%</w:t>
            </w:r>
          </w:p>
        </w:tc>
        <w:tc>
          <w:tcPr>
            <w:tcW w:w="2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p>
      <w:pPr>
        <w:spacing w:line="580" w:lineRule="exact"/>
        <w:ind w:firstLine="640" w:firstLineChars="200"/>
        <w:rPr>
          <w:rFonts w:ascii="楷体_GB2312" w:hAnsi="楷体_GB2312" w:eastAsia="楷体_GB2312" w:cs="楷体_GB2312"/>
          <w:sz w:val="32"/>
          <w:szCs w:val="32"/>
        </w:rPr>
      </w:pPr>
    </w:p>
    <w:tbl>
      <w:tblPr>
        <w:tblStyle w:val="14"/>
        <w:tblpPr w:leftFromText="180" w:rightFromText="180" w:vertAnchor="text" w:horzAnchor="page" w:tblpXSpec="center" w:tblpY="1007"/>
        <w:tblOverlap w:val="never"/>
        <w:tblW w:w="10047" w:type="dxa"/>
        <w:jc w:val="center"/>
        <w:tblLayout w:type="fixed"/>
        <w:tblCellMar>
          <w:top w:w="0" w:type="dxa"/>
          <w:left w:w="0" w:type="dxa"/>
          <w:bottom w:w="0" w:type="dxa"/>
          <w:right w:w="0" w:type="dxa"/>
        </w:tblCellMar>
      </w:tblPr>
      <w:tblGrid>
        <w:gridCol w:w="390"/>
        <w:gridCol w:w="1367"/>
        <w:gridCol w:w="1025"/>
        <w:gridCol w:w="2393"/>
        <w:gridCol w:w="2393"/>
        <w:gridCol w:w="2479"/>
      </w:tblGrid>
      <w:tr>
        <w:tblPrEx>
          <w:tblCellMar>
            <w:top w:w="0" w:type="dxa"/>
            <w:left w:w="0" w:type="dxa"/>
            <w:bottom w:w="0" w:type="dxa"/>
            <w:right w:w="0" w:type="dxa"/>
          </w:tblCellMar>
        </w:tblPrEx>
        <w:trPr>
          <w:trHeight w:val="1158" w:hRule="atLeast"/>
          <w:jc w:val="center"/>
        </w:trPr>
        <w:tc>
          <w:tcPr>
            <w:tcW w:w="10047" w:type="dxa"/>
            <w:gridSpan w:val="6"/>
            <w:tcBorders>
              <w:top w:val="nil"/>
              <w:left w:val="nil"/>
              <w:bottom w:val="nil"/>
              <w:right w:val="nil"/>
            </w:tcBorders>
            <w:tcMar>
              <w:top w:w="15" w:type="dxa"/>
              <w:left w:w="15" w:type="dxa"/>
              <w:right w:w="15" w:type="dxa"/>
            </w:tcMar>
            <w:vAlign w:val="center"/>
          </w:tcPr>
          <w:p>
            <w:pPr>
              <w:widowControl/>
              <w:ind w:left="3598" w:leftChars="1197" w:hanging="1084" w:hangingChars="300"/>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项目绩效目标完成情况表3</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基本药物项目资金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盐边县格萨拉中心卫生院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未纳入二级预算</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17.97</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17.97</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保证所有政府办基层医疗卫生机构实施国家基本药物制度，推进综合改革顺利进行。对实施国家基本药物制度的村卫生室给予补助，支持国家基本药物制度在村卫生室顺利实施。 </w:t>
            </w:r>
          </w:p>
        </w:tc>
        <w:tc>
          <w:tcPr>
            <w:tcW w:w="48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根据《财政厅省卫生健康委 省医疗保障局 省中医药管理局关于印发基本公共卫生服务等4项补助资金管理办法的通知》（川财社[2019] 76号） 《财政厅 省卫生健康委关于提前下达2020年基本药物制度中央和省级补助资金的通知》川财社〔2019〕139号 《财政厅 省卫生健康委关于下达2020年卫生健康中央和省级补助资金（第二批）的通知》川财社〔2020〕80号等文件要求，加强国家基本药物制度补助资金管理，提高资金使用效益，确保国家基本药物制度的有效实施，推进基层医疗卫生机构综合改革，转变医疗卫生服务模式，有效控制不合理医疗费用，增强城乡居民就诊看病的“获得感”，鼓励基层医疗机构抓实基本医疗服务。2020年基层医疗卫生机构和村卫生室全面实施了国家基本药物制度，依据考核方案给予了资金补助，基本药物制度在我县落地落实。</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rPr>
              <w:t xml:space="preserve"> 指标1：政府办基层医疗卫生机构实施国家基本药物制度覆盖率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100%</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48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rPr>
              <w:t xml:space="preserve"> 指标2：村卫生室实施国家基本药物制度覆盖率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3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社会效益指标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rPr>
              <w:t xml:space="preserve"> 指标1：卫生院收入</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保持稳定</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下降</w:t>
            </w:r>
          </w:p>
        </w:tc>
      </w:tr>
      <w:tr>
        <w:tblPrEx>
          <w:tblCellMar>
            <w:top w:w="0" w:type="dxa"/>
            <w:left w:w="0" w:type="dxa"/>
            <w:bottom w:w="0" w:type="dxa"/>
            <w:right w:w="0" w:type="dxa"/>
          </w:tblCellMar>
        </w:tblPrEx>
        <w:trPr>
          <w:trHeight w:val="34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kern w:val="0"/>
                <w:sz w:val="24"/>
              </w:rPr>
            </w:pPr>
            <w:r>
              <w:rPr>
                <w:rFonts w:hint="eastAsia" w:ascii="宋体" w:hAnsi="宋体" w:cs="宋体"/>
                <w:color w:val="000000"/>
                <w:kern w:val="0"/>
                <w:sz w:val="24"/>
              </w:rPr>
              <w:t xml:space="preserve"> 指标2：村卫生室收入</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保持稳定</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下降</w:t>
            </w: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rPr>
              <w:t xml:space="preserve"> 指标1：国家基本药物制度在基层医疗机构持续实施</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中长期</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中长期</w:t>
            </w:r>
          </w:p>
        </w:tc>
      </w:tr>
      <w:tr>
        <w:tblPrEx>
          <w:tblCellMar>
            <w:top w:w="0" w:type="dxa"/>
            <w:left w:w="0" w:type="dxa"/>
            <w:bottom w:w="0" w:type="dxa"/>
            <w:right w:w="0" w:type="dxa"/>
          </w:tblCellMar>
        </w:tblPrEx>
        <w:trPr>
          <w:trHeight w:val="66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rPr>
              <w:t xml:space="preserve"> 指标2：国家基本药物制度在村卫生室持续实施</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中长期</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中长期</w:t>
            </w:r>
          </w:p>
        </w:tc>
      </w:tr>
      <w:tr>
        <w:tblPrEx>
          <w:tblCellMar>
            <w:top w:w="0" w:type="dxa"/>
            <w:left w:w="0" w:type="dxa"/>
            <w:bottom w:w="0" w:type="dxa"/>
            <w:right w:w="0" w:type="dxa"/>
          </w:tblCellMar>
        </w:tblPrEx>
        <w:trPr>
          <w:trHeight w:val="53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服务对象满意度指标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rPr>
              <w:t xml:space="preserve"> 指标1：群众满意度</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537"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3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4"/>
              </w:rPr>
            </w:pPr>
            <w:r>
              <w:rPr>
                <w:rFonts w:hint="eastAsia" w:ascii="宋体" w:hAnsi="宋体" w:cs="宋体"/>
                <w:color w:val="000000"/>
                <w:kern w:val="0"/>
                <w:sz w:val="24"/>
              </w:rPr>
              <w:t xml:space="preserve"> 指标2：群众知晓率</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c>
          <w:tcPr>
            <w:tcW w:w="2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bl>
    <w:p>
      <w:pPr>
        <w:spacing w:line="580" w:lineRule="exact"/>
        <w:rPr>
          <w:rFonts w:ascii="楷体_GB2312" w:hAnsi="楷体_GB2312" w:eastAsia="楷体_GB2312" w:cs="楷体_GB2312"/>
          <w:sz w:val="32"/>
          <w:szCs w:val="32"/>
        </w:rPr>
      </w:pPr>
    </w:p>
    <w:p>
      <w:pPr>
        <w:spacing w:line="58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本部门按要求对2020年部门整体支出绩效评价情况开展自评，《盐边县格萨拉中心卫生院部门2020年部门整体支出绩效评价报告》见附件（附件1）。</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基本公共卫生服务项目开展了绩效评价，《盐边县格萨拉中心卫生院基本公共卫生服务项目2020年绩效评价报告》、《盐边县格萨拉中心卫生院事业发展资金2020年绩效评价报告》、《盐边县格萨拉中心卫生院基本药物资金2020年绩效评价报告》见附件（附件2）。</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85" w:name="_Toc15377225"/>
      <w:bookmarkStart w:id="86" w:name="_Toc52180096"/>
      <w:bookmarkStart w:id="87" w:name="_Toc15396613"/>
      <w:r>
        <w:rPr>
          <w:rFonts w:hint="eastAsia" w:ascii="黑体" w:hAnsi="黑体" w:eastAsia="黑体"/>
          <w:color w:val="000000"/>
          <w:sz w:val="44"/>
          <w:szCs w:val="44"/>
        </w:rPr>
        <w:t>名</w:t>
      </w:r>
      <w:r>
        <w:rPr>
          <w:rStyle w:val="26"/>
          <w:rFonts w:hint="eastAsia" w:ascii="黑体" w:hAnsi="黑体" w:eastAsia="黑体"/>
          <w:b w:val="0"/>
        </w:rPr>
        <w:t>词解释</w:t>
      </w:r>
      <w:bookmarkEnd w:id="85"/>
      <w:bookmarkEnd w:id="86"/>
      <w:bookmarkEnd w:id="87"/>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社会保障和就业：指各类保险。</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医疗卫生与计划生育：指工资及医疗收入。</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住房保障：指住房公积金。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sz w:val="32"/>
          <w:szCs w:val="32"/>
        </w:rPr>
      </w:pPr>
    </w:p>
    <w:p>
      <w:pPr>
        <w:pStyle w:val="24"/>
        <w:spacing w:line="560" w:lineRule="exact"/>
        <w:ind w:firstLine="640" w:firstLineChars="200"/>
        <w:rPr>
          <w:rFonts w:ascii="仿宋_GB2312" w:eastAsia="仿宋_GB2312" w:cs="黑体"/>
          <w:sz w:val="32"/>
          <w:szCs w:val="32"/>
        </w:rPr>
      </w:pPr>
    </w:p>
    <w:p>
      <w:pPr>
        <w:spacing w:line="600" w:lineRule="exact"/>
        <w:jc w:val="center"/>
        <w:outlineLvl w:val="0"/>
        <w:rPr>
          <w:rFonts w:ascii="黑体" w:hAnsi="黑体" w:eastAsia="黑体"/>
          <w:color w:val="000000"/>
          <w:sz w:val="44"/>
          <w:szCs w:val="44"/>
        </w:rPr>
      </w:pPr>
      <w:bookmarkStart w:id="88" w:name="_Toc15396614"/>
      <w:bookmarkStart w:id="89" w:name="_Toc52180097"/>
      <w:bookmarkStart w:id="90" w:name="_Toc15377226"/>
    </w:p>
    <w:p>
      <w:pPr>
        <w:spacing w:line="600" w:lineRule="exact"/>
        <w:jc w:val="center"/>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四部分 附件</w:t>
      </w:r>
      <w:bookmarkEnd w:id="88"/>
      <w:bookmarkEnd w:id="89"/>
    </w:p>
    <w:p>
      <w:pPr>
        <w:spacing w:line="600" w:lineRule="exact"/>
        <w:jc w:val="left"/>
        <w:outlineLvl w:val="0"/>
        <w:rPr>
          <w:rFonts w:ascii="方正小标宋简体" w:hAnsi="方正小标宋简体" w:eastAsia="方正小标宋简体" w:cs="方正小标宋简体"/>
          <w:sz w:val="32"/>
          <w:szCs w:val="32"/>
        </w:rPr>
      </w:pPr>
      <w:bookmarkStart w:id="91" w:name="_Toc52180098"/>
      <w:r>
        <w:rPr>
          <w:rFonts w:hint="eastAsia" w:ascii="黑体" w:hAnsi="黑体" w:eastAsia="黑体" w:cs="黑体"/>
          <w:sz w:val="32"/>
          <w:szCs w:val="32"/>
        </w:rPr>
        <w:t>附件1</w:t>
      </w:r>
      <w:bookmarkEnd w:id="91"/>
    </w:p>
    <w:p>
      <w:pPr>
        <w:spacing w:line="580" w:lineRule="exact"/>
        <w:jc w:val="center"/>
        <w:rPr>
          <w:rFonts w:ascii="方正小标宋简体" w:hAnsi="方正小标宋简体" w:eastAsia="方正小标宋简体" w:cs="方正小标宋简体"/>
          <w:sz w:val="44"/>
          <w:szCs w:val="44"/>
        </w:rPr>
      </w:pPr>
    </w:p>
    <w:p>
      <w:pPr>
        <w:spacing w:line="0" w:lineRule="atLeast"/>
        <w:jc w:val="center"/>
        <w:rPr>
          <w:rFonts w:ascii="方正小标宋_GBK" w:hAnsi="宋体" w:eastAsia="方正小标宋_GBK"/>
          <w:b/>
          <w:color w:val="000000"/>
          <w:kern w:val="0"/>
          <w:sz w:val="38"/>
          <w:szCs w:val="38"/>
        </w:rPr>
      </w:pPr>
      <w:r>
        <w:rPr>
          <w:rFonts w:hint="eastAsia" w:ascii="方正小标宋_GBK" w:hAnsi="宋体" w:eastAsia="方正小标宋_GBK"/>
          <w:b/>
          <w:color w:val="000000"/>
          <w:kern w:val="0"/>
          <w:sz w:val="38"/>
          <w:szCs w:val="38"/>
        </w:rPr>
        <w:t>盐边县格萨拉中心卫生院</w:t>
      </w:r>
    </w:p>
    <w:p>
      <w:pPr>
        <w:spacing w:line="0" w:lineRule="atLeast"/>
        <w:jc w:val="center"/>
        <w:rPr>
          <w:rFonts w:ascii="方正小标宋_GBK" w:hAnsi="宋体" w:eastAsia="方正小标宋_GBK"/>
          <w:b/>
          <w:color w:val="000000"/>
          <w:kern w:val="0"/>
          <w:sz w:val="38"/>
          <w:szCs w:val="38"/>
          <w:lang w:val="zh-CN"/>
        </w:rPr>
      </w:pPr>
      <w:r>
        <w:rPr>
          <w:rFonts w:hint="eastAsia" w:ascii="方正小标宋_GBK" w:hAnsi="宋体" w:eastAsia="方正小标宋_GBK"/>
          <w:b/>
          <w:color w:val="000000"/>
          <w:kern w:val="0"/>
          <w:sz w:val="38"/>
          <w:szCs w:val="38"/>
        </w:rPr>
        <w:t>2020年部门</w:t>
      </w:r>
      <w:r>
        <w:rPr>
          <w:rFonts w:hint="eastAsia" w:ascii="方正小标宋_GBK" w:eastAsia="方正小标宋_GBK"/>
          <w:b/>
          <w:sz w:val="38"/>
          <w:szCs w:val="38"/>
        </w:rPr>
        <w:t>预算</w:t>
      </w:r>
      <w:r>
        <w:rPr>
          <w:rFonts w:hint="eastAsia" w:ascii="方正小标宋_GBK" w:hAnsi="宋体" w:eastAsia="方正小标宋_GBK"/>
          <w:b/>
          <w:color w:val="000000"/>
          <w:kern w:val="0"/>
          <w:sz w:val="38"/>
          <w:szCs w:val="38"/>
          <w:lang w:val="zh-CN"/>
        </w:rPr>
        <w:t>整体支出绩效自我评价</w:t>
      </w:r>
    </w:p>
    <w:p>
      <w:pPr>
        <w:spacing w:line="0" w:lineRule="atLeast"/>
        <w:jc w:val="center"/>
        <w:rPr>
          <w:rFonts w:ascii="方正小标宋简体" w:hAnsi="宋体" w:eastAsia="方正小标宋简体"/>
          <w:color w:val="000000"/>
          <w:kern w:val="0"/>
          <w:sz w:val="40"/>
          <w:szCs w:val="44"/>
          <w:lang w:val="zh-CN"/>
        </w:rPr>
      </w:pPr>
      <w:r>
        <w:rPr>
          <w:rFonts w:hint="eastAsia" w:ascii="方正小标宋_GBK" w:hAnsi="宋体" w:eastAsia="方正小标宋_GBK"/>
          <w:b/>
          <w:color w:val="000000"/>
          <w:kern w:val="0"/>
          <w:sz w:val="38"/>
          <w:szCs w:val="38"/>
          <w:lang w:val="zh-CN"/>
        </w:rPr>
        <w:t>报告</w:t>
      </w:r>
    </w:p>
    <w:p>
      <w:pPr>
        <w:widowControl/>
        <w:adjustRightInd w:val="0"/>
        <w:snapToGrid w:val="0"/>
        <w:spacing w:line="57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7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70" w:lineRule="exact"/>
        <w:ind w:firstLine="643" w:firstLineChars="200"/>
        <w:contextualSpacing/>
        <w:jc w:val="left"/>
        <w:rPr>
          <w:rFonts w:ascii="楷体_GB2312" w:hAnsi="宋体" w:eastAsia="楷体_GB2312" w:cs="宋体"/>
          <w:b/>
          <w:color w:val="000000"/>
          <w:kern w:val="0"/>
          <w:sz w:val="32"/>
          <w:szCs w:val="32"/>
          <w:shd w:val="clear" w:color="auto" w:fill="FFFFFF"/>
          <w:lang w:val="zh-CN"/>
        </w:rPr>
      </w:pPr>
      <w:r>
        <w:rPr>
          <w:rFonts w:hint="eastAsia" w:ascii="楷体_GB2312" w:hAnsi="宋体" w:eastAsia="楷体_GB2312" w:cs="宋体"/>
          <w:b/>
          <w:color w:val="000000"/>
          <w:kern w:val="0"/>
          <w:sz w:val="32"/>
          <w:szCs w:val="32"/>
          <w:shd w:val="clear" w:color="auto" w:fill="FFFFFF"/>
          <w:lang w:val="zh-CN"/>
        </w:rPr>
        <w:t>（一）机构组成</w:t>
      </w:r>
    </w:p>
    <w:p>
      <w:pPr>
        <w:pStyle w:val="5"/>
        <w:adjustRightInd w:val="0"/>
        <w:spacing w:beforeLines="0" w:line="570" w:lineRule="exact"/>
        <w:ind w:firstLine="640" w:firstLineChars="200"/>
        <w:rPr>
          <w:rFonts w:ascii="仿宋" w:hAnsi="仿宋" w:eastAsia="仿宋" w:cs="仿宋"/>
          <w:sz w:val="32"/>
          <w:lang w:val="zh-CN"/>
        </w:rPr>
      </w:pPr>
      <w:r>
        <w:rPr>
          <w:rFonts w:hint="eastAsia" w:ascii="仿宋" w:hAnsi="仿宋" w:eastAsia="仿宋" w:cs="仿宋"/>
          <w:sz w:val="32"/>
          <w:lang w:val="zh-CN"/>
        </w:rPr>
        <w:t>盐边县格萨拉中心卫生院</w:t>
      </w:r>
      <w:r>
        <w:rPr>
          <w:rFonts w:hint="eastAsia" w:cs="仿宋_GB2312"/>
          <w:sz w:val="32"/>
        </w:rPr>
        <w:t>是由政府举办的公益性事业单位,</w:t>
      </w:r>
      <w:r>
        <w:rPr>
          <w:rFonts w:hint="eastAsia" w:ascii="仿宋" w:hAnsi="仿宋" w:eastAsia="仿宋" w:cs="仿宋"/>
          <w:sz w:val="32"/>
          <w:lang w:val="zh-CN"/>
        </w:rPr>
        <w:t>所辖村卫生室</w:t>
      </w:r>
      <w:r>
        <w:rPr>
          <w:rFonts w:hint="eastAsia" w:ascii="仿宋" w:hAnsi="仿宋" w:eastAsia="仿宋" w:cs="仿宋"/>
          <w:sz w:val="32"/>
        </w:rPr>
        <w:t>11</w:t>
      </w:r>
      <w:r>
        <w:rPr>
          <w:rFonts w:hint="eastAsia" w:ascii="仿宋" w:hAnsi="仿宋" w:eastAsia="仿宋" w:cs="仿宋"/>
          <w:sz w:val="32"/>
          <w:lang w:val="zh-CN"/>
        </w:rPr>
        <w:t>个，其中非营利性的</w:t>
      </w:r>
      <w:r>
        <w:rPr>
          <w:rFonts w:hint="eastAsia" w:ascii="仿宋" w:hAnsi="仿宋" w:eastAsia="仿宋" w:cs="仿宋"/>
          <w:sz w:val="32"/>
        </w:rPr>
        <w:t>0</w:t>
      </w:r>
      <w:r>
        <w:rPr>
          <w:rFonts w:hint="eastAsia" w:ascii="仿宋" w:hAnsi="仿宋" w:eastAsia="仿宋" w:cs="仿宋"/>
          <w:sz w:val="32"/>
          <w:lang w:val="zh-CN"/>
        </w:rPr>
        <w:t>个。</w:t>
      </w:r>
    </w:p>
    <w:p>
      <w:pPr>
        <w:widowControl/>
        <w:adjustRightInd w:val="0"/>
        <w:snapToGrid w:val="0"/>
        <w:spacing w:line="570" w:lineRule="exact"/>
        <w:ind w:firstLine="643" w:firstLineChars="200"/>
        <w:contextualSpacing/>
        <w:jc w:val="left"/>
        <w:rPr>
          <w:rFonts w:ascii="楷体_GB2312" w:hAnsi="宋体" w:eastAsia="楷体_GB2312" w:cs="宋体"/>
          <w:b/>
          <w:color w:val="000000"/>
          <w:kern w:val="0"/>
          <w:sz w:val="32"/>
          <w:szCs w:val="32"/>
          <w:shd w:val="clear" w:color="auto" w:fill="FFFFFF"/>
          <w:lang w:val="zh-CN"/>
        </w:rPr>
      </w:pPr>
      <w:r>
        <w:rPr>
          <w:rFonts w:hint="eastAsia" w:ascii="楷体_GB2312" w:hAnsi="宋体" w:eastAsia="楷体_GB2312" w:cs="宋体"/>
          <w:b/>
          <w:color w:val="000000"/>
          <w:kern w:val="0"/>
          <w:sz w:val="32"/>
          <w:szCs w:val="32"/>
          <w:shd w:val="clear" w:color="auto" w:fill="FFFFFF"/>
          <w:lang w:val="zh-CN"/>
        </w:rPr>
        <w:t>（二）机构职能</w:t>
      </w:r>
    </w:p>
    <w:p>
      <w:pPr>
        <w:widowControl/>
        <w:adjustRightInd w:val="0"/>
        <w:snapToGrid w:val="0"/>
        <w:spacing w:line="570" w:lineRule="exact"/>
        <w:ind w:firstLine="640" w:firstLineChars="200"/>
        <w:jc w:val="left"/>
        <w:rPr>
          <w:rFonts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盐边县格萨拉中心卫生院</w:t>
      </w:r>
      <w:r>
        <w:rPr>
          <w:rFonts w:hint="eastAsia" w:ascii="仿宋_GB2312" w:eastAsia="仿宋_GB2312" w:cs="仿宋_GB2312"/>
          <w:sz w:val="32"/>
        </w:rPr>
        <w:t>是盐边县城镇职工、城乡居民医疗保险定点医疗机构，</w:t>
      </w:r>
      <w:r>
        <w:rPr>
          <w:rFonts w:hint="eastAsia" w:ascii="仿宋_GB2312" w:hAnsi="宋体" w:eastAsia="仿宋_GB2312" w:cs="仿宋_GB2312"/>
          <w:sz w:val="32"/>
        </w:rPr>
        <w:t>承担着全乡</w:t>
      </w:r>
      <w:r>
        <w:rPr>
          <w:rFonts w:hint="eastAsia" w:hAnsi="仿宋_GB2312" w:eastAsia="仿宋_GB2312"/>
          <w:sz w:val="32"/>
          <w:szCs w:val="32"/>
        </w:rPr>
        <w:t>12874</w:t>
      </w:r>
      <w:r>
        <w:rPr>
          <w:rFonts w:hint="eastAsia" w:hAnsi="仿宋_GB2312"/>
          <w:sz w:val="32"/>
          <w:szCs w:val="32"/>
        </w:rPr>
        <w:t>常住</w:t>
      </w:r>
      <w:r>
        <w:rPr>
          <w:rFonts w:hint="eastAsia" w:ascii="仿宋_GB2312" w:hAnsi="仿宋_GB2312" w:eastAsia="仿宋_GB2312"/>
          <w:sz w:val="32"/>
          <w:szCs w:val="32"/>
        </w:rPr>
        <w:t>人口的基本医疗、基本公共卫生、预防保健等医疗工作</w:t>
      </w:r>
      <w:r>
        <w:rPr>
          <w:rFonts w:hint="eastAsia" w:ascii="仿宋_GB2312" w:hAnsi="宋体" w:eastAsia="仿宋_GB2312" w:cs="仿宋_GB2312"/>
          <w:sz w:val="32"/>
        </w:rPr>
        <w:t>任务。</w:t>
      </w:r>
      <w:r>
        <w:rPr>
          <w:rFonts w:hint="eastAsia" w:ascii="仿宋" w:hAnsi="仿宋" w:eastAsia="仿宋" w:cs="仿宋"/>
          <w:color w:val="000000"/>
          <w:sz w:val="32"/>
          <w:szCs w:val="32"/>
        </w:rPr>
        <w:t>并对辖区村卫生室进行业务指导和会诊工作。</w:t>
      </w:r>
    </w:p>
    <w:p>
      <w:pPr>
        <w:widowControl/>
        <w:adjustRightInd w:val="0"/>
        <w:snapToGrid w:val="0"/>
        <w:spacing w:line="570" w:lineRule="exact"/>
        <w:ind w:firstLine="643" w:firstLineChars="200"/>
        <w:contextualSpacing/>
        <w:jc w:val="left"/>
        <w:rPr>
          <w:rFonts w:ascii="楷体_GB2312" w:hAnsi="宋体" w:eastAsia="楷体_GB2312" w:cs="宋体"/>
          <w:b/>
          <w:color w:val="000000"/>
          <w:kern w:val="0"/>
          <w:sz w:val="32"/>
          <w:szCs w:val="32"/>
          <w:shd w:val="clear" w:color="auto" w:fill="FFFFFF"/>
          <w:lang w:val="zh-CN"/>
        </w:rPr>
      </w:pPr>
      <w:r>
        <w:rPr>
          <w:rFonts w:hint="eastAsia" w:ascii="楷体_GB2312" w:hAnsi="宋体" w:eastAsia="楷体_GB2312" w:cs="宋体"/>
          <w:b/>
          <w:color w:val="000000"/>
          <w:kern w:val="0"/>
          <w:sz w:val="32"/>
          <w:szCs w:val="32"/>
          <w:shd w:val="clear" w:color="auto" w:fill="FFFFFF"/>
          <w:lang w:val="zh-CN"/>
        </w:rPr>
        <w:t>（三）人员概况</w:t>
      </w:r>
    </w:p>
    <w:p>
      <w:pPr>
        <w:spacing w:line="570" w:lineRule="exact"/>
        <w:ind w:firstLine="640" w:firstLineChars="200"/>
        <w:jc w:val="left"/>
        <w:rPr>
          <w:rFonts w:ascii="仿宋_GB2312" w:hAnsi="宋体" w:eastAsia="仿宋_GB2312" w:cs="仿宋_GB2312"/>
          <w:color w:val="000000"/>
          <w:kern w:val="0"/>
          <w:sz w:val="32"/>
          <w:szCs w:val="32"/>
          <w:shd w:val="clear" w:color="auto" w:fill="FFFFFF"/>
          <w:lang w:val="zh-CN"/>
        </w:rPr>
      </w:pPr>
      <w:r>
        <w:rPr>
          <w:rFonts w:hint="eastAsia" w:ascii="仿宋" w:hAnsi="仿宋" w:eastAsia="仿宋" w:cs="仿宋"/>
          <w:color w:val="000000"/>
          <w:sz w:val="32"/>
          <w:szCs w:val="32"/>
        </w:rPr>
        <w:t>本院单位编制人数17人，实有在编在职职工数17人（借调县医院3人，借调社区2人，借调共和中心卫生院1人，遂宁中心医院规培1人），退休人员4人，临聘人员9人。现有副高1人，主治医师1人，执业医师1人，执业（助理）医师4人，注册护士7人，主管技师0人，</w:t>
      </w:r>
      <w:r>
        <w:rPr>
          <w:rFonts w:hint="eastAsia" w:ascii="仿宋" w:hAnsi="仿宋" w:eastAsia="仿宋" w:cs="仿宋"/>
          <w:kern w:val="0"/>
          <w:sz w:val="32"/>
          <w:szCs w:val="32"/>
        </w:rPr>
        <w:t>药士2人，</w:t>
      </w:r>
      <w:r>
        <w:rPr>
          <w:rFonts w:hint="eastAsia" w:ascii="仿宋" w:hAnsi="仿宋" w:eastAsia="仿宋" w:cs="仿宋"/>
          <w:color w:val="000000"/>
          <w:sz w:val="32"/>
          <w:szCs w:val="32"/>
        </w:rPr>
        <w:t>其余人员无职称。</w:t>
      </w:r>
    </w:p>
    <w:p>
      <w:pPr>
        <w:widowControl/>
        <w:adjustRightInd w:val="0"/>
        <w:snapToGrid w:val="0"/>
        <w:spacing w:line="57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70" w:lineRule="exact"/>
        <w:ind w:firstLine="643" w:firstLineChars="200"/>
        <w:contextualSpacing/>
        <w:jc w:val="left"/>
        <w:rPr>
          <w:rFonts w:ascii="楷体_GB2312" w:hAnsi="宋体" w:eastAsia="楷体_GB2312" w:cs="宋体"/>
          <w:b/>
          <w:color w:val="000000"/>
          <w:kern w:val="0"/>
          <w:sz w:val="32"/>
          <w:szCs w:val="32"/>
          <w:shd w:val="clear" w:color="auto" w:fill="FFFFFF"/>
          <w:lang w:val="zh-CN"/>
        </w:rPr>
      </w:pPr>
      <w:r>
        <w:rPr>
          <w:rFonts w:hint="eastAsia" w:ascii="楷体_GB2312" w:hAnsi="宋体" w:eastAsia="楷体_GB2312" w:cs="宋体"/>
          <w:b/>
          <w:color w:val="000000"/>
          <w:kern w:val="0"/>
          <w:sz w:val="32"/>
          <w:szCs w:val="32"/>
          <w:shd w:val="clear" w:color="auto" w:fill="FFFFFF"/>
          <w:lang w:val="zh-CN"/>
        </w:rPr>
        <w:t>（一）部门财政资金收入情况</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sz w:val="32"/>
          <w:szCs w:val="32"/>
        </w:rPr>
        <w:t>2020年决算总收入311.63万元，超额完成年初预算数。</w:t>
      </w:r>
      <w:r>
        <w:rPr>
          <w:rFonts w:hint="eastAsia" w:eastAsia="仿宋_GB2312"/>
          <w:sz w:val="32"/>
          <w:szCs w:val="32"/>
        </w:rPr>
        <w:t>其中：财政拨款收入297.27万元，事业收入0万元，其他收入14.36万元。</w:t>
      </w:r>
    </w:p>
    <w:p>
      <w:pPr>
        <w:widowControl/>
        <w:adjustRightInd w:val="0"/>
        <w:snapToGrid w:val="0"/>
        <w:spacing w:line="570" w:lineRule="exact"/>
        <w:ind w:firstLine="643" w:firstLineChars="200"/>
        <w:contextualSpacing/>
        <w:jc w:val="left"/>
        <w:rPr>
          <w:rFonts w:ascii="楷体_GB2312" w:hAnsi="宋体" w:eastAsia="楷体_GB2312" w:cs="宋体"/>
          <w:b/>
          <w:color w:val="000000"/>
          <w:kern w:val="0"/>
          <w:sz w:val="32"/>
          <w:szCs w:val="32"/>
          <w:shd w:val="clear" w:color="auto" w:fill="FFFFFF"/>
          <w:lang w:val="zh-CN"/>
        </w:rPr>
      </w:pPr>
      <w:r>
        <w:rPr>
          <w:rFonts w:hint="eastAsia" w:ascii="楷体_GB2312" w:hAnsi="宋体" w:eastAsia="楷体_GB2312" w:cs="宋体"/>
          <w:b/>
          <w:color w:val="000000"/>
          <w:kern w:val="0"/>
          <w:sz w:val="32"/>
          <w:szCs w:val="32"/>
          <w:shd w:val="clear" w:color="auto" w:fill="FFFFFF"/>
          <w:lang w:val="zh-CN"/>
        </w:rPr>
        <w:t>（二）部门财政资金支出情况</w:t>
      </w:r>
    </w:p>
    <w:p>
      <w:pPr>
        <w:pStyle w:val="7"/>
        <w:spacing w:line="570" w:lineRule="exact"/>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Times New Roman" w:hAnsi="Times New Roman" w:eastAsia="仿宋_GB2312"/>
          <w:sz w:val="32"/>
          <w:szCs w:val="32"/>
        </w:rPr>
        <w:t>决算总支出</w:t>
      </w:r>
      <w:r>
        <w:rPr>
          <w:rFonts w:hint="eastAsia" w:ascii="仿宋" w:hAnsi="仿宋" w:eastAsia="仿宋"/>
          <w:color w:val="000000"/>
          <w:sz w:val="32"/>
          <w:szCs w:val="32"/>
        </w:rPr>
        <w:t>310.88</w:t>
      </w:r>
      <w:r>
        <w:rPr>
          <w:rFonts w:hint="eastAsia" w:ascii="Times New Roman" w:hAnsi="Times New Roman" w:eastAsia="仿宋_GB2312"/>
          <w:sz w:val="32"/>
          <w:szCs w:val="32"/>
        </w:rPr>
        <w:t>万元，</w:t>
      </w:r>
      <w:r>
        <w:rPr>
          <w:rFonts w:hint="eastAsia" w:ascii="仿宋" w:hAnsi="仿宋" w:eastAsia="仿宋"/>
          <w:color w:val="000000"/>
          <w:sz w:val="32"/>
          <w:szCs w:val="32"/>
        </w:rPr>
        <w:t>其中：卫生健康支出269.36万元，社会保障和就业支出</w:t>
      </w:r>
      <w:r>
        <w:rPr>
          <w:rFonts w:hint="eastAsia" w:ascii="仿宋_GB2312" w:hAnsi="仿宋" w:eastAsia="仿宋_GB2312"/>
          <w:color w:val="000000"/>
          <w:sz w:val="32"/>
          <w:szCs w:val="32"/>
        </w:rPr>
        <w:t>22.02</w:t>
      </w:r>
      <w:r>
        <w:rPr>
          <w:rFonts w:hint="eastAsia" w:ascii="仿宋" w:hAnsi="仿宋" w:eastAsia="仿宋"/>
          <w:color w:val="000000"/>
          <w:sz w:val="32"/>
          <w:szCs w:val="32"/>
        </w:rPr>
        <w:t>万元，住房保障支出19.1万元，其他支出0.4万元。</w:t>
      </w:r>
    </w:p>
    <w:p>
      <w:pPr>
        <w:widowControl/>
        <w:adjustRightInd w:val="0"/>
        <w:snapToGrid w:val="0"/>
        <w:spacing w:line="57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widowControl/>
        <w:adjustRightInd w:val="0"/>
        <w:snapToGrid w:val="0"/>
        <w:spacing w:line="57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eastAsia="仿宋_GB2312"/>
          <w:sz w:val="32"/>
          <w:szCs w:val="32"/>
        </w:rPr>
        <w:t>从整体情况来看，我院高度重视财政资金的支出绩效，资金从预算、执行、验收、支付等流程层层把关，严格按照预算执行，涉及“三重一大”的均需通过院务会，严格把控</w:t>
      </w:r>
      <w:bookmarkStart w:id="120" w:name="_GoBack"/>
      <w:bookmarkEnd w:id="120"/>
      <w:r>
        <w:rPr>
          <w:rFonts w:hint="eastAsia" w:eastAsia="仿宋_GB2312"/>
          <w:sz w:val="32"/>
          <w:szCs w:val="32"/>
          <w:lang w:eastAsia="zh-CN"/>
        </w:rPr>
        <w:t>“三公”经费</w:t>
      </w:r>
      <w:r>
        <w:rPr>
          <w:rFonts w:hint="eastAsia" w:eastAsia="仿宋_GB2312"/>
          <w:sz w:val="32"/>
          <w:szCs w:val="32"/>
        </w:rPr>
        <w:t>的支出。所有的专项资金依据相应的资金管理办法切实做到专款专用，无截留、无挪用等现象。</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70" w:lineRule="exact"/>
        <w:ind w:firstLine="640" w:firstLineChars="200"/>
        <w:jc w:val="left"/>
        <w:rPr>
          <w:rFonts w:eastAsia="仿宋_GB2312"/>
          <w:sz w:val="32"/>
          <w:szCs w:val="32"/>
        </w:rPr>
      </w:pPr>
      <w:r>
        <w:rPr>
          <w:rFonts w:hint="eastAsia" w:eastAsia="仿宋_GB2312"/>
          <w:sz w:val="32"/>
          <w:szCs w:val="32"/>
        </w:rPr>
        <w:t>偏离绩效目标的原因是：医院的公用经费支出需根据当年实际发生业务量确定，预算时无法准确预测。药品采购等因市场价格的变动也会导致实际发生与预算产生偏差。</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widowControl/>
        <w:adjustRightInd w:val="0"/>
        <w:snapToGrid w:val="0"/>
        <w:spacing w:line="57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eastAsia="仿宋_GB2312"/>
          <w:sz w:val="32"/>
          <w:szCs w:val="32"/>
        </w:rPr>
        <w:t>进一步完善历史发生数据的统计，将其进行分析，为预算提供更为准确的数据资料。</w:t>
      </w:r>
    </w:p>
    <w:p>
      <w:pPr>
        <w:spacing w:line="580" w:lineRule="exact"/>
        <w:ind w:firstLine="640" w:firstLineChars="200"/>
        <w:rPr>
          <w:rFonts w:ascii="仿宋_GB2312" w:hAnsi="仿宋_GB2312" w:eastAsia="仿宋_GB2312" w:cs="仿宋_GB2312"/>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黑体" w:hAnsi="黑体" w:eastAsia="黑体" w:cs="黑体"/>
          <w:sz w:val="32"/>
          <w:szCs w:val="32"/>
        </w:rPr>
      </w:pPr>
    </w:p>
    <w:p>
      <w:pPr>
        <w:spacing w:line="0" w:lineRule="atLeast"/>
        <w:rPr>
          <w:rFonts w:ascii="方正小标宋_GBK" w:hAnsi="仿宋_GB2312" w:eastAsia="方正小标宋_GBK" w:cs="仿宋_GB2312"/>
          <w:b/>
          <w:sz w:val="38"/>
          <w:szCs w:val="38"/>
        </w:rPr>
      </w:pPr>
      <w:r>
        <w:rPr>
          <w:rFonts w:hint="eastAsia" w:ascii="黑体" w:hAnsi="黑体" w:eastAsia="黑体" w:cs="黑体"/>
          <w:sz w:val="32"/>
          <w:szCs w:val="32"/>
        </w:rPr>
        <w:t>附件2</w:t>
      </w:r>
    </w:p>
    <w:p>
      <w:pPr>
        <w:spacing w:line="0" w:lineRule="atLeast"/>
        <w:jc w:val="center"/>
        <w:rPr>
          <w:rFonts w:ascii="方正小标宋_GBK" w:hAnsi="宋体" w:eastAsia="方正小标宋_GBK"/>
          <w:b/>
          <w:color w:val="000000"/>
          <w:kern w:val="0"/>
          <w:sz w:val="38"/>
          <w:szCs w:val="38"/>
        </w:rPr>
      </w:pPr>
      <w:r>
        <w:rPr>
          <w:rFonts w:hint="eastAsia" w:ascii="方正小标宋_GBK" w:hAnsi="宋体" w:eastAsia="方正小标宋_GBK"/>
          <w:b/>
          <w:color w:val="000000"/>
          <w:kern w:val="0"/>
          <w:sz w:val="38"/>
          <w:szCs w:val="38"/>
        </w:rPr>
        <w:t>盐边县格萨拉中心卫生院</w:t>
      </w:r>
    </w:p>
    <w:p>
      <w:pPr>
        <w:spacing w:line="0" w:lineRule="atLeast"/>
        <w:jc w:val="center"/>
        <w:rPr>
          <w:rFonts w:ascii="方正小标宋_GBK" w:hAnsi="宋体" w:eastAsia="方正小标宋_GBK"/>
          <w:b/>
          <w:color w:val="000000"/>
          <w:kern w:val="0"/>
          <w:sz w:val="38"/>
          <w:szCs w:val="38"/>
          <w:lang w:val="zh-CN"/>
        </w:rPr>
      </w:pPr>
      <w:r>
        <w:rPr>
          <w:rFonts w:hint="eastAsia" w:ascii="方正小标宋_GBK" w:hAnsi="宋体" w:eastAsia="方正小标宋_GBK" w:cs="方正小标宋简体"/>
          <w:b/>
          <w:color w:val="000000"/>
          <w:kern w:val="0"/>
          <w:sz w:val="38"/>
          <w:szCs w:val="38"/>
        </w:rPr>
        <w:t>基本公共卫生服务</w:t>
      </w:r>
      <w:r>
        <w:rPr>
          <w:rFonts w:hint="eastAsia" w:ascii="方正小标宋_GBK" w:hAnsi="宋体" w:eastAsia="方正小标宋_GBK"/>
          <w:b/>
          <w:color w:val="000000"/>
          <w:kern w:val="0"/>
          <w:sz w:val="38"/>
          <w:szCs w:val="38"/>
          <w:lang w:val="zh-CN"/>
        </w:rPr>
        <w:t>项目</w:t>
      </w:r>
      <w:r>
        <w:rPr>
          <w:rFonts w:hint="eastAsia" w:ascii="方正小标宋_GBK" w:hAnsi="宋体" w:eastAsia="方正小标宋_GBK"/>
          <w:b/>
          <w:color w:val="000000"/>
          <w:kern w:val="0"/>
          <w:sz w:val="38"/>
          <w:szCs w:val="38"/>
        </w:rPr>
        <w:t>2020年</w:t>
      </w:r>
      <w:r>
        <w:rPr>
          <w:rFonts w:hint="eastAsia" w:ascii="方正小标宋_GBK" w:hAnsi="宋体" w:eastAsia="方正小标宋_GBK"/>
          <w:b/>
          <w:color w:val="000000"/>
          <w:kern w:val="0"/>
          <w:sz w:val="38"/>
          <w:szCs w:val="38"/>
          <w:lang w:val="zh-CN"/>
        </w:rPr>
        <w:t>绩效</w:t>
      </w:r>
    </w:p>
    <w:p>
      <w:pPr>
        <w:spacing w:line="0" w:lineRule="atLeast"/>
        <w:jc w:val="center"/>
        <w:rPr>
          <w:rFonts w:ascii="宋体" w:hAnsi="宋体"/>
          <w:sz w:val="32"/>
          <w:szCs w:val="32"/>
          <w:lang w:val="zh-CN"/>
        </w:rPr>
      </w:pPr>
      <w:r>
        <w:rPr>
          <w:rFonts w:hint="eastAsia" w:ascii="方正小标宋_GBK" w:hAnsi="宋体" w:eastAsia="方正小标宋_GBK"/>
          <w:b/>
          <w:color w:val="000000"/>
          <w:kern w:val="0"/>
          <w:sz w:val="38"/>
          <w:szCs w:val="38"/>
          <w:lang w:val="zh-CN"/>
        </w:rPr>
        <w:t>评价报告</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一、项目概况</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（一）项目基本情况。</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1.说明项目主管部门（单位）在该项目管理中的职能。</w:t>
      </w:r>
    </w:p>
    <w:p>
      <w:pPr>
        <w:ind w:firstLine="640" w:firstLineChars="200"/>
        <w:outlineLvl w:val="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本院负责制定基本公共卫生服务项目实施方案、考核细则、拟定项目计划和目标、成立项目技术指导小组、组织人员培训、技术指导、检查督导、绩效考核和全乡居民健康管理。</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2.项目立项、资金申报的依据。</w:t>
      </w:r>
    </w:p>
    <w:p>
      <w:pPr>
        <w:ind w:firstLine="640" w:firstLineChars="200"/>
        <w:outlineLvl w:val="0"/>
        <w:rPr>
          <w:rFonts w:ascii="仿宋" w:hAnsi="仿宋" w:eastAsia="仿宋" w:cs="仿宋"/>
          <w:color w:val="000000"/>
          <w:kern w:val="0"/>
          <w:sz w:val="32"/>
          <w:szCs w:val="32"/>
        </w:rPr>
      </w:pPr>
      <w:r>
        <w:rPr>
          <w:rFonts w:hint="eastAsia" w:ascii="仿宋" w:hAnsi="仿宋" w:eastAsia="仿宋" w:cs="仿宋"/>
          <w:color w:val="000000"/>
          <w:sz w:val="32"/>
          <w:szCs w:val="32"/>
          <w:lang w:val="zh-CN"/>
        </w:rPr>
        <w:t>依据《国家基本公共卫生服务项目规范（第三版）》、《四川省基本公共卫生服务项目管理手册》、《盐边县20</w:t>
      </w:r>
      <w:r>
        <w:rPr>
          <w:rFonts w:hint="eastAsia" w:ascii="仿宋" w:hAnsi="仿宋" w:eastAsia="仿宋" w:cs="仿宋"/>
          <w:color w:val="000000"/>
          <w:sz w:val="32"/>
          <w:szCs w:val="32"/>
        </w:rPr>
        <w:t>20</w:t>
      </w:r>
      <w:r>
        <w:rPr>
          <w:rFonts w:hint="eastAsia" w:ascii="仿宋" w:hAnsi="仿宋" w:eastAsia="仿宋" w:cs="仿宋"/>
          <w:color w:val="000000"/>
          <w:sz w:val="32"/>
          <w:szCs w:val="32"/>
          <w:lang w:val="zh-CN"/>
        </w:rPr>
        <w:t>年基本公共卫生服务项目实施方案》（盐边卫发〔20</w:t>
      </w:r>
      <w:r>
        <w:rPr>
          <w:rFonts w:hint="eastAsia" w:ascii="仿宋" w:hAnsi="仿宋" w:eastAsia="仿宋" w:cs="仿宋"/>
          <w:color w:val="000000"/>
          <w:sz w:val="32"/>
          <w:szCs w:val="32"/>
        </w:rPr>
        <w:t>20</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151</w:t>
      </w:r>
      <w:r>
        <w:rPr>
          <w:rFonts w:hint="eastAsia" w:ascii="仿宋" w:hAnsi="仿宋" w:eastAsia="仿宋" w:cs="仿宋"/>
          <w:color w:val="000000"/>
          <w:sz w:val="32"/>
          <w:szCs w:val="32"/>
          <w:lang w:val="zh-CN"/>
        </w:rPr>
        <w:t>号）。</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3.资金管理办法制定情况，资金支持具体项目的条件、范围与支持方式概况。</w:t>
      </w:r>
    </w:p>
    <w:p>
      <w:pPr>
        <w:ind w:firstLine="640" w:firstLineChars="200"/>
        <w:outlineLvl w:val="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《四川省基本公共卫生服务项目成本核算指导意见》、《四川省基本公共卫生服务项目补助资金管理办法》、《财政厅</w:t>
      </w:r>
      <w:r>
        <w:rPr>
          <w:rFonts w:hint="eastAsia" w:ascii="仿宋" w:hAnsi="仿宋" w:eastAsia="仿宋" w:cs="仿宋"/>
          <w:color w:val="000000"/>
          <w:sz w:val="32"/>
          <w:szCs w:val="32"/>
        </w:rPr>
        <w:t xml:space="preserve"> 省卫生健康委 省医疗保障局 省中医药管理局关于印发基本公共卫生服务等4项补助资金管理办法的通知</w:t>
      </w:r>
      <w:r>
        <w:rPr>
          <w:rFonts w:hint="eastAsia" w:ascii="仿宋" w:hAnsi="仿宋" w:eastAsia="仿宋" w:cs="仿宋"/>
          <w:color w:val="000000"/>
          <w:sz w:val="32"/>
          <w:szCs w:val="32"/>
          <w:lang w:val="zh-CN"/>
        </w:rPr>
        <w:t>》（川财社〔</w:t>
      </w:r>
      <w:r>
        <w:rPr>
          <w:rFonts w:hint="eastAsia" w:ascii="仿宋" w:hAnsi="仿宋" w:eastAsia="仿宋" w:cs="仿宋"/>
          <w:color w:val="000000"/>
          <w:sz w:val="32"/>
          <w:szCs w:val="32"/>
        </w:rPr>
        <w:t>2019</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rPr>
        <w:t>76号</w:t>
      </w:r>
      <w:r>
        <w:rPr>
          <w:rFonts w:hint="eastAsia" w:ascii="仿宋" w:hAnsi="仿宋" w:eastAsia="仿宋" w:cs="仿宋"/>
          <w:color w:val="000000"/>
          <w:sz w:val="32"/>
          <w:szCs w:val="32"/>
          <w:lang w:val="zh-CN"/>
        </w:rPr>
        <w:t>）等文件精神，印发</w:t>
      </w:r>
      <w:r>
        <w:rPr>
          <w:rFonts w:hint="eastAsia" w:ascii="仿宋" w:hAnsi="仿宋" w:eastAsia="仿宋" w:cs="仿宋"/>
          <w:color w:val="000000"/>
          <w:kern w:val="0"/>
          <w:sz w:val="32"/>
          <w:szCs w:val="32"/>
        </w:rPr>
        <w:t>《盐边县卫生健康局关于印发盐边县2020年度基本公共卫生服务项目绩效考核方案的通知》（盐边卫发〔2020〕172号）文件，</w:t>
      </w:r>
      <w:r>
        <w:rPr>
          <w:rFonts w:hint="eastAsia" w:ascii="仿宋" w:hAnsi="仿宋" w:eastAsia="仿宋" w:cs="仿宋"/>
          <w:color w:val="000000"/>
          <w:sz w:val="32"/>
          <w:szCs w:val="32"/>
          <w:lang w:val="zh-CN"/>
        </w:rPr>
        <w:t>对村卫生站进行绩效考核，根据考核结果对村卫生室承担基本公共卫生服务内容按照总经费的</w:t>
      </w:r>
      <w:r>
        <w:rPr>
          <w:rFonts w:hint="eastAsia" w:ascii="仿宋" w:hAnsi="仿宋" w:eastAsia="仿宋" w:cs="仿宋"/>
          <w:color w:val="000000"/>
          <w:sz w:val="32"/>
          <w:szCs w:val="32"/>
        </w:rPr>
        <w:t>40%</w:t>
      </w:r>
      <w:r>
        <w:rPr>
          <w:rFonts w:hint="eastAsia" w:ascii="仿宋" w:hAnsi="仿宋" w:eastAsia="仿宋" w:cs="仿宋"/>
          <w:color w:val="000000"/>
          <w:sz w:val="32"/>
          <w:szCs w:val="32"/>
          <w:lang w:val="zh-CN"/>
        </w:rPr>
        <w:t>进行补助。</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4.资金分配的原则及考虑因素。</w:t>
      </w:r>
    </w:p>
    <w:p>
      <w:pPr>
        <w:ind w:firstLine="640" w:firstLineChars="200"/>
        <w:outlineLvl w:val="0"/>
        <w:rPr>
          <w:rFonts w:ascii="仿宋" w:hAnsi="仿宋" w:eastAsia="仿宋" w:cs="仿宋"/>
          <w:color w:val="000000"/>
          <w:sz w:val="32"/>
          <w:szCs w:val="32"/>
        </w:rPr>
      </w:pPr>
      <w:r>
        <w:rPr>
          <w:rFonts w:hint="eastAsia" w:ascii="仿宋" w:hAnsi="仿宋" w:eastAsia="仿宋" w:cs="仿宋"/>
          <w:color w:val="000000"/>
          <w:sz w:val="32"/>
          <w:szCs w:val="32"/>
          <w:lang w:val="zh-CN"/>
        </w:rPr>
        <w:t>按照</w:t>
      </w:r>
      <w:r>
        <w:rPr>
          <w:rFonts w:hint="eastAsia" w:ascii="仿宋" w:hAnsi="仿宋" w:eastAsia="仿宋" w:cs="仿宋"/>
          <w:color w:val="000000"/>
          <w:kern w:val="0"/>
          <w:sz w:val="32"/>
          <w:szCs w:val="32"/>
        </w:rPr>
        <w:t>盐边县卫生健康局关于印发</w:t>
      </w:r>
      <w:r>
        <w:rPr>
          <w:rFonts w:hint="eastAsia" w:ascii="仿宋" w:hAnsi="仿宋" w:eastAsia="仿宋" w:cs="仿宋"/>
          <w:color w:val="000000"/>
          <w:sz w:val="32"/>
          <w:szCs w:val="32"/>
          <w:lang w:val="zh-CN"/>
        </w:rPr>
        <w:t>《</w:t>
      </w:r>
      <w:r>
        <w:rPr>
          <w:rFonts w:hint="eastAsia" w:ascii="仿宋" w:hAnsi="仿宋" w:eastAsia="仿宋" w:cs="仿宋"/>
          <w:color w:val="000000"/>
          <w:kern w:val="0"/>
          <w:sz w:val="32"/>
          <w:szCs w:val="32"/>
        </w:rPr>
        <w:t>盐边县2020年度基本公共卫生服务项目绩效考核方案的通知》（盐边卫发〔2020〕172号）</w:t>
      </w:r>
      <w:r>
        <w:rPr>
          <w:rFonts w:hint="eastAsia" w:ascii="仿宋" w:hAnsi="仿宋" w:eastAsia="仿宋" w:cs="仿宋"/>
          <w:color w:val="000000"/>
          <w:sz w:val="32"/>
          <w:szCs w:val="32"/>
          <w:lang w:val="zh-CN"/>
        </w:rPr>
        <w:t>要求，按照完成数量、质量、满意度等综合考虑，不单以完成数量进行拨付。</w:t>
      </w:r>
      <w:r>
        <w:rPr>
          <w:rFonts w:hint="eastAsia" w:ascii="仿宋" w:hAnsi="仿宋" w:eastAsia="仿宋" w:cs="仿宋"/>
          <w:color w:val="000000"/>
          <w:sz w:val="32"/>
          <w:szCs w:val="32"/>
        </w:rPr>
        <w:t>基本公共卫生服务项目资金按照卫计局要求，在半年拨付40%经费的预拨，在年终考核后30天之内拨付总经费的40%，项目资金全部按照相关规定使用，本院无截留、挤占、挪用的情况发生。</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（二）项目绩效目标。</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1.项目主要内容。</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国家基本公共卫生服务服务项目分别为居民健康档案、健康教育、0-6岁儿童健康管理、预防接种、孕产妇健康管理、老年人健康管理、慢性病管理、严重精神障碍患者管理、肺结核患者健康管理、中医药健康管理、传染病及突发公共卫生事件报告和处理服务、卫生计生监督协管服务、等12项的工作。</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2.项目应实现的具体绩效目标，包括目标的量化、细化情况以及项目实施进度计划等。</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(1）居民健康档案管理</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截止9月30日全乡已建立健康档案12181人，其中高血压患者档案299份，2型糖尿病患者档案100份，65岁以上老年人档案981份，0—6岁儿童健康管理档案877份，孕产妇健康档案92份,严重精神障碍患者管理档案53份。</w:t>
      </w:r>
    </w:p>
    <w:p>
      <w:pPr>
        <w:spacing w:line="57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（2）健康教育</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我院通过印刷宣传资料，每月开展健康教育知识讲座，播放健康教育影像等形式对辖区居民进行了健康普及。35岁以上人群做高血压、糖尿病筛查302人次，公共卫生健康教育宣传发放28种、宣传册6936余册，中医药内容6种、440份。高血压随访1534人次，糖尿病免费随访524人次，</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（3）老年人、慢病健康管理</w:t>
      </w:r>
    </w:p>
    <w:p>
      <w:pPr>
        <w:spacing w:line="57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老年人体检人数665人。体检率为47.8%，规范管理率为72%，接受中医药管理577人，管理率42.1%。高血压299人，高血压管理率为13%，规范管理率为69%，2型糖尿病100人，2型糖尿病患者管理率为11%，规范管理率为72%，严重精神障碍53人。严重精神障碍检出率为4.3% ，管理率为98%，规范管理率为70%。</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（4）免疫规划</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我院免费接种乙肝疫苗、卡介苗、脊灰疫苗、百白破疫苗、麻疹疫苗（麻风、麻腮风）、甲肝疫苗、流脑疫苗、乙脑疫苗、白破二联等国家免疫规划疫苗，未发现及报告预防接种中的疑似异常反应，对辖区内计划免疫疫苗预防疾病进行主动监测，截止9月无病发生。接种率统计： 2020年1月1日-2020年9月30日出生98人，建卡98，建卡率为100%，其中卡介苗应种98，实种96人，接种率为97.95%.辖区内接种总针次数为24针，乙肝第三剂应种82人，实种80人，接种率为 97.56%，辖区内接种总针次数为161针，脊灰第三剂应种44人，实种42，接种率为 95.45% .，辖区内接种总针次数为261针，百白破第三剂应种41人，实种39，接种率为 95.12%辖区内接种总针次数为204针，含麻疹成分第一剂应种86人，实种84，接种率为 97.67%，辖区内接种总针次数为147针，流脑A群疫苗第二剂应种35人，实种33，接种率为 94.28%，辖区内接种总针次数为82针， 乙脑疫苗第一剂应种68人，实种66，接种率为 97.05%，辖区内接种总针次数为139针，甲肝疫苗第一剂应种83人，实种83，接种率为 100%辖区内接种总针次数为83针。</w:t>
      </w:r>
    </w:p>
    <w:p>
      <w:pPr>
        <w:spacing w:line="57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疫苗接种后异常反应发生率为0人。</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无接种事故发生，无脊灰发生。</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儿童入学预防接种证查验工作：2020年3月对全乡2所小学1-3年级新入学和一所幼儿园进行了预防接种证查验109人。应补种4人，已补种4人。2020年9月对全乡2所小学1年级新入学和一所幼儿园进行了预防接种证查验17人。应补种4人，已补种4人。</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我院按上级要求坚持疫苗主渠道进货，按要求正确存放管理，认真填写出入库登记，疫苗使用的数量与接种人次数相吻合，每月对疫苗及注射器进行自查，发现过期、破损疫苗按要求处理。严格执行安全注射管理制度，冰箱温度保证在规定范围内，认真登记冰箱温度记录，定期除霜，保证疫苗贮存质量。</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（5）传染病及突发公共卫生事件报告和处理</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依据《传染病防治法》《传染病信息报告管理规范》以及传染病报告与处理规范要求，建立健全了传染病报告管理制度。定期对单位人员进行传染病防治知识、技能的培训；采取多种形式的宣传教育。传染病登记传染病病例有1例，网络报告1例传染病已报，无传染病漏报。突发公共卫生事件无。结核病：2020年1月1日到9月30日上级确诊并通知数为6人，已管理6人，现总管理7人。今年完成治疗结案5人。</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（6）孕产妇及儿童健康管理</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孕产妇方面：提高系统管理质量，住院分娩率达98.38%，实行了高危转诊制度，提高了产科质量。切实降低了孕产妇和新生儿死亡率，全年产妇总数达 62人，新法接生61人，活产62人。本院检出乙肝表抗阳性孕妇2人，本院分娩乙肝表抗阳性产妇0人，乙肝表抗阳性母亲所生婴儿0人（活产 0人）；产后访视58人，访视率93.55%其中住院分娩活产 61人，非住院分娩1人，无孕产妇死亡，无新生儿破伤风发生。</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儿童管理方面：2020年1月1日到2020年6月30日辖区内活产62人，接受1次新生儿访视57人，新生儿访视率91.94%.新生儿死亡1人。做好辖区内0——6岁儿童登记，全乡辖区内：6岁以下儿童总数 863人，接受1次及以上随访的0-6岁儿童数452人。管理达到52.37%。辖区内应管理0-36个月儿童352人，接受中医药管理服务儿童138人。管理达到39.20%。</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 xml:space="preserve"> （7）精准扶贫</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 xml:space="preserve">   2020年格萨拉彝族乡建档立卡贫困户894户，4653人，已体检4653人，有1人拒绝体检，原因家庭纠纷已经失联。体检率99.97%，家庭医生签约4653人，签约率100%。</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（8）卫生计生监督协管</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2020年1月1日到2020年9月30日，发现的事件或线索次数6次，报告的事件或线索次数6次。协助开展食源性疾病、饮用水卫生、学校卫生、非法行医和非法采供血、计划生育实地巡查次数133次。</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（9）家庭医生签约</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截止9月30日全乡签约8718人，签约率73.4%。</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3.分析评价申报内容是否与实际相符，申报目标是否合理可行。</w:t>
      </w:r>
    </w:p>
    <w:p>
      <w:pPr>
        <w:autoSpaceDE w:val="0"/>
        <w:autoSpaceDN w:val="0"/>
        <w:adjustRightIn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按照省、市印发的基本公共卫生服务项目实施方案要求，制定符合我乡的项目实施方案，分解细化目标任务，确保了目标任务全面完成。</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（三）项目自评步骤及方法。</w:t>
      </w:r>
    </w:p>
    <w:p>
      <w:pPr>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1.</w:t>
      </w:r>
      <w:r>
        <w:rPr>
          <w:rFonts w:hint="eastAsia" w:ascii="仿宋" w:hAnsi="仿宋" w:eastAsia="仿宋" w:cs="仿宋"/>
          <w:color w:val="000000"/>
          <w:sz w:val="32"/>
          <w:szCs w:val="32"/>
        </w:rPr>
        <w:t>本院按照中央、省、市要求，认真核对每一笔项目资金，并造册管理，每年派本机构财务人员到上级部门进行财经纪律上的培训，保障项目专款专用。</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 xml:space="preserve"> 2.</w:t>
      </w:r>
      <w:r>
        <w:rPr>
          <w:rFonts w:hint="eastAsia" w:ascii="仿宋" w:hAnsi="仿宋" w:eastAsia="仿宋" w:cs="仿宋"/>
          <w:color w:val="000000"/>
          <w:sz w:val="32"/>
          <w:szCs w:val="32"/>
        </w:rPr>
        <w:t>本院对每笔项目经费的支出都做出了相应要求，并上院内职工会及支部会会议讨论通过，有会议纪要作为支撑。</w:t>
      </w:r>
    </w:p>
    <w:p>
      <w:pPr>
        <w:ind w:firstLine="643" w:firstLineChars="200"/>
        <w:rPr>
          <w:rFonts w:ascii="仿宋" w:hAnsi="仿宋" w:eastAsia="仿宋" w:cs="仿宋"/>
          <w:color w:val="000000"/>
          <w:spacing w:val="-2"/>
          <w:sz w:val="32"/>
          <w:szCs w:val="32"/>
        </w:rPr>
      </w:pPr>
      <w:r>
        <w:rPr>
          <w:rFonts w:hint="eastAsia" w:ascii="仿宋" w:hAnsi="仿宋" w:eastAsia="仿宋" w:cs="仿宋"/>
          <w:b/>
          <w:bCs/>
          <w:color w:val="000000"/>
          <w:sz w:val="32"/>
          <w:szCs w:val="32"/>
        </w:rPr>
        <w:t>3.</w:t>
      </w:r>
      <w:r>
        <w:rPr>
          <w:rFonts w:hint="eastAsia" w:ascii="仿宋" w:hAnsi="仿宋" w:eastAsia="仿宋" w:cs="仿宋"/>
          <w:color w:val="000000"/>
          <w:sz w:val="32"/>
          <w:szCs w:val="32"/>
        </w:rPr>
        <w:t>2020年，按照《盐边县2020年基本公共卫生服务项目绩效考核方案》文件要求，</w:t>
      </w:r>
      <w:r>
        <w:rPr>
          <w:rFonts w:hint="eastAsia" w:ascii="仿宋" w:hAnsi="仿宋" w:eastAsia="仿宋" w:cs="仿宋"/>
          <w:color w:val="000000"/>
          <w:spacing w:val="-2"/>
          <w:sz w:val="32"/>
          <w:szCs w:val="32"/>
        </w:rPr>
        <w:t>坚持兼顾公平、多劳多得、优劳优得的原则。细化考核方案，</w:t>
      </w:r>
      <w:r>
        <w:rPr>
          <w:rFonts w:hint="eastAsia" w:ascii="仿宋" w:hAnsi="仿宋" w:eastAsia="仿宋" w:cs="仿宋"/>
          <w:color w:val="000000"/>
          <w:sz w:val="32"/>
          <w:szCs w:val="32"/>
        </w:rPr>
        <w:t>差异化服务、差异化考核，</w:t>
      </w:r>
      <w:r>
        <w:rPr>
          <w:rFonts w:hint="eastAsia" w:ascii="仿宋" w:hAnsi="仿宋" w:eastAsia="仿宋" w:cs="仿宋"/>
          <w:color w:val="000000"/>
          <w:spacing w:val="-2"/>
          <w:sz w:val="32"/>
          <w:szCs w:val="32"/>
        </w:rPr>
        <w:t>充分发挥考核的激励引导作用，促使本机构严格按规范、保质量地开展基本公共卫生服务工作。</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二、项目资金申报及使用情况</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（一）项目资金申报及批复情况。</w:t>
      </w:r>
    </w:p>
    <w:p>
      <w:pPr>
        <w:autoSpaceDE w:val="0"/>
        <w:autoSpaceDN w:val="0"/>
        <w:adjustRightIn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基本公共卫生项目资金由县卫生健康局组织申报、县财政根据实际情况予以批复及进行预算调整。</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（二）资金计划、到位及使用情况。</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1.资金计划。</w:t>
      </w:r>
    </w:p>
    <w:p>
      <w:pPr>
        <w:spacing w:line="560" w:lineRule="exact"/>
        <w:ind w:firstLine="640" w:firstLineChars="200"/>
        <w:rPr>
          <w:rFonts w:ascii="仿宋" w:hAnsi="仿宋" w:eastAsia="仿宋" w:cs="仿宋"/>
          <w:color w:val="FF0000"/>
          <w:sz w:val="32"/>
          <w:szCs w:val="32"/>
        </w:rPr>
      </w:pPr>
      <w:r>
        <w:rPr>
          <w:rFonts w:hint="eastAsia" w:ascii="仿宋" w:hAnsi="仿宋" w:eastAsia="仿宋" w:cs="仿宋"/>
          <w:color w:val="000000"/>
          <w:sz w:val="32"/>
          <w:szCs w:val="32"/>
        </w:rPr>
        <w:t>2020年按照国家、省、县国家基本公共卫生服务项目实施方案要求，2020年基本公共卫生服务项目人均补助经费为65元，中央、省、县级财政资金共计74.06万元。所有资金全部到位并下拨40%到各项目执行村卫生室。基本公共卫生服务项目资金用于开展基本公共卫生服务项目12大项，本院将加强对资金监管，确保专款专用，严禁截留和挪用。</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2.资金到位</w:t>
      </w:r>
      <w:r>
        <w:rPr>
          <w:rFonts w:hint="eastAsia" w:ascii="仿宋" w:hAnsi="仿宋" w:eastAsia="仿宋" w:cs="仿宋"/>
          <w:sz w:val="32"/>
          <w:szCs w:val="32"/>
        </w:rPr>
        <w:t>。</w:t>
      </w:r>
    </w:p>
    <w:p>
      <w:pPr>
        <w:widowControl/>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2020年基本公共卫生经费按照全县人均65元/人为标准，为1.2874万常住人口提供12项基本公共卫生服务。合计到位资金74.06万元。具体如下：</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（1）县级下达：</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基本公共卫生服务经费由县财政局、县卫健局按照“上半年预拨50%，下半年考核结算”的方式拨付与我院，截止2020年12月31日已收到拨款74.06万元。由中央、省、市、县财政资金组成，与项目资金计划完全相符。</w:t>
      </w:r>
    </w:p>
    <w:p>
      <w:pPr>
        <w:spacing w:line="56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3.资金使用。</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（1）所有资金74.64万元都已经全部及时安排到位，并按项目目标要求和进度全部落实到位。截止2021年12月31日实际总支出为74.64万元</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（三）项目财务管理情况。</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本单位各项目实施财务管理制度健全，严格执行财务管理制度，及时账务处理，规范会计核算，及时完成财务年报、卫生统计年报等。</w:t>
      </w:r>
    </w:p>
    <w:p>
      <w:pPr>
        <w:spacing w:line="560" w:lineRule="exact"/>
        <w:ind w:firstLine="643" w:firstLineChars="200"/>
        <w:rPr>
          <w:rFonts w:ascii="仿宋" w:hAnsi="仿宋" w:eastAsia="仿宋" w:cs="仿宋"/>
          <w:b/>
          <w:bCs/>
          <w:sz w:val="32"/>
          <w:szCs w:val="32"/>
        </w:rPr>
      </w:pPr>
      <w:r>
        <w:rPr>
          <w:rFonts w:hint="eastAsia" w:ascii="方正黑体_GBK" w:hAnsi="方正黑体_GBK" w:eastAsia="方正黑体_GBK" w:cs="方正黑体_GBK"/>
          <w:b/>
          <w:bCs/>
          <w:sz w:val="32"/>
          <w:szCs w:val="32"/>
        </w:rPr>
        <w:t>三、项目实施及管理情况</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（一）项目组织架构及实施流程。</w:t>
      </w:r>
    </w:p>
    <w:p>
      <w:pPr>
        <w:autoSpaceDE w:val="0"/>
        <w:autoSpaceDN w:val="0"/>
        <w:adjustRightInd w:val="0"/>
        <w:spacing w:line="560" w:lineRule="exact"/>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 xml:space="preserve">2020年基本公共卫生服务项目时间是从2020年1月-12月，按照上级要求进行，建立辖区居民健康档案；做好预防接种工作；对重点人群进行每年一次的年度体检，对慢性病、重精、肺结核病等患者进行随访服务，对0-6岁儿童进行成长发育指导，加强对老年人和0-3岁儿童家长进行中医体质辨识指导；做好辖区健康教育宣传咨询和健康教育讲座，做好医疗卫生机构健康素养促进活动；对有避孕意向的妇女发放避孕药具；做好传染病、突发公共卫生事件报告；做好卫生计生监督协管巡查工作。 </w:t>
      </w:r>
      <w:r>
        <w:rPr>
          <w:rFonts w:hint="eastAsia" w:ascii="仿宋" w:hAnsi="仿宋" w:eastAsia="仿宋" w:cs="仿宋"/>
          <w:color w:val="FF0000"/>
          <w:sz w:val="32"/>
          <w:szCs w:val="32"/>
        </w:rPr>
        <w:t xml:space="preserve"> </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（二）项目管理情况。</w:t>
      </w:r>
    </w:p>
    <w:p>
      <w:pPr>
        <w:spacing w:line="570" w:lineRule="exact"/>
        <w:ind w:firstLine="640"/>
        <w:rPr>
          <w:rFonts w:ascii="仿宋" w:hAnsi="仿宋" w:eastAsia="仿宋" w:cs="仿宋"/>
          <w:color w:val="FF0000"/>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认真开展“5.19世界家庭医生日”“基本公共卫生服务项目”宣传活动。按照国家和省统一安排部署，各医疗卫生机构添措施、想办法开展项目宣传活动，继续深入开展“三减三健”和“七进”活动宣传，提高群众知晓率和感受度，促进居民养成健康的生活方式；</w:t>
      </w:r>
      <w:r>
        <w:rPr>
          <w:rFonts w:hint="eastAsia" w:ascii="仿宋" w:hAnsi="仿宋" w:eastAsia="仿宋" w:cs="仿宋"/>
          <w:b/>
          <w:bCs/>
          <w:sz w:val="32"/>
          <w:szCs w:val="32"/>
        </w:rPr>
        <w:t>二是</w:t>
      </w:r>
      <w:r>
        <w:rPr>
          <w:rFonts w:hint="eastAsia" w:ascii="仿宋" w:hAnsi="仿宋" w:eastAsia="仿宋" w:cs="仿宋"/>
          <w:sz w:val="32"/>
          <w:szCs w:val="32"/>
        </w:rPr>
        <w:t>多形式开展健康教育宣传。采取网络、QQ、微信、展板、宣传折页、宣传标语等群众喜闻乐见的传统宣传方式，形成多渠道、多层次、多语境的宣传态势，为项目实施营造良好氛围，形成强大合力。以基层医疗卫生机构为单位，发放《中国公民健康素养66条》宣传绘图，基本公共卫生服务项目宣传资料，提高群众对基本公共卫生服务项目的参与积极性和自身健康意识；</w:t>
      </w:r>
      <w:r>
        <w:rPr>
          <w:rFonts w:hint="eastAsia" w:ascii="仿宋" w:hAnsi="仿宋" w:eastAsia="仿宋" w:cs="仿宋"/>
          <w:b/>
          <w:bCs/>
          <w:sz w:val="32"/>
          <w:szCs w:val="32"/>
        </w:rPr>
        <w:t>三是</w:t>
      </w:r>
      <w:r>
        <w:rPr>
          <w:rFonts w:hint="eastAsia" w:ascii="仿宋" w:hAnsi="仿宋" w:eastAsia="仿宋" w:cs="仿宋"/>
          <w:sz w:val="32"/>
          <w:szCs w:val="32"/>
        </w:rPr>
        <w:t>抓好信息公开。基层医疗卫生机构在辖区和机构内显著位置公示项目免费政策、服务项目、机构地址、电话号码等内容。将广播、QQ、微信、官方微博等新闻媒体和传统的宣传栏、壁报、宣传折页等形式相结合，多渠道，多途径地将机构基本情况、基本公共卫生服务内容、服务信息、反馈信息和提醒信息等及时全面传递给服务对象；四是加强信息报送。各医疗卫生机构及时总结上报基本公共卫生服务工作完成情况，创新性做法和典型经验等信息。及时总结提炼宣传活动经验、特色亮点，挖掘基本公共卫生服务工作中的先进个人和感人事迹进行深入报道，深化对国家基本公共卫生服务项目的宣传，提高群众的知晓率和认可度。</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（三）项目监管情况。</w:t>
      </w:r>
    </w:p>
    <w:p>
      <w:pPr>
        <w:spacing w:line="570" w:lineRule="exact"/>
        <w:ind w:firstLine="660"/>
        <w:rPr>
          <w:rFonts w:ascii="仿宋" w:hAnsi="仿宋" w:eastAsia="仿宋" w:cs="仿宋"/>
          <w:color w:val="FF0000"/>
          <w:sz w:val="32"/>
          <w:szCs w:val="32"/>
        </w:rPr>
      </w:pPr>
      <w:r>
        <w:rPr>
          <w:rFonts w:hint="eastAsia" w:ascii="仿宋" w:hAnsi="仿宋" w:eastAsia="仿宋" w:cs="仿宋"/>
          <w:sz w:val="32"/>
          <w:szCs w:val="32"/>
        </w:rPr>
        <w:t>本单位将加强基本公共卫生服务项目技术指导和督导，强化重点任务项目落地落实，2020年6月1日—6月30日，对全乡村卫生室2020年度基本公共卫生服务项目进行了半年绩效考核，总共考核了11个村卫生室。2020年12月1日—12月20日，对全乡村卫生室2020年度基本公共卫生服务项目进行了年终绩效考核，总共考核了11个村卫生</w:t>
      </w:r>
      <w:r>
        <w:rPr>
          <w:rFonts w:hint="eastAsia" w:ascii="仿宋" w:hAnsi="仿宋" w:eastAsia="仿宋" w:cs="仿宋"/>
          <w:bCs/>
          <w:sz w:val="32"/>
          <w:szCs w:val="32"/>
        </w:rPr>
        <w:t>室，现场考核采取查阅资料、问卷调查、现场核实真实性等方式进行，同时，</w:t>
      </w:r>
      <w:r>
        <w:rPr>
          <w:rFonts w:hint="eastAsia" w:ascii="仿宋" w:hAnsi="仿宋" w:eastAsia="仿宋" w:cs="仿宋"/>
          <w:sz w:val="32"/>
          <w:szCs w:val="32"/>
        </w:rPr>
        <w:t>每季度完成一次对所有卫生室的督导\指导工作。本院要强化对村卫生室的全面绩效考核，严肃处理弄虚作假情况，严格实行评价结果与资金拨付挂钩。</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四、项目绩效情况</w:t>
      </w:r>
      <w:r>
        <w:rPr>
          <w:rFonts w:hint="eastAsia" w:ascii="方正黑体_GBK" w:hAnsi="方正黑体_GBK" w:eastAsia="方正黑体_GBK" w:cs="方正黑体_GBK"/>
          <w:sz w:val="32"/>
          <w:szCs w:val="32"/>
        </w:rPr>
        <w:tab/>
      </w:r>
    </w:p>
    <w:p>
      <w:pPr>
        <w:spacing w:line="560" w:lineRule="exact"/>
        <w:ind w:firstLine="643" w:firstLineChars="200"/>
        <w:rPr>
          <w:rFonts w:ascii="仿宋" w:hAnsi="仿宋" w:eastAsia="仿宋" w:cs="仿宋"/>
          <w:b/>
          <w:bCs/>
          <w:sz w:val="32"/>
          <w:szCs w:val="32"/>
        </w:rPr>
      </w:pPr>
      <w:r>
        <w:rPr>
          <w:rFonts w:hint="eastAsia" w:ascii="方正楷体_GBK" w:hAnsi="方正楷体_GBK" w:eastAsia="方正楷体_GBK" w:cs="方正楷体_GBK"/>
          <w:b/>
          <w:bCs/>
          <w:sz w:val="32"/>
          <w:szCs w:val="32"/>
        </w:rPr>
        <w:t>（一）项目完成情况。</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1.居民健康档案建档工作。规范化电子档案建档率100%。</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2.健康教育工作。全乡共更新各类健康教育宣传栏47余次，发放健康教育宣传资料6996余份，利用各种卫生日组织面向公众开展各类健康教育咨询活动440次，举办健康教育知识讲座12次。播放健康教育音像资料63余小时。</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3.预防接种工作。全乡1-6岁儿童建卡率达100%，一类疫苗各单苗基础免疫报告接种率均在95％以上，加强免疫单苗报告接种率均在95％以上，乙肝疫苗及时接种率达99％。</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4.传染病及突发公共卫生事件报告和处理工作。全乡法定传染病报告及时，报告及时率达100%，传染病疫情网络直报率达100%。</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5.儿童健康管理工作。全乡0-6岁儿童健康管理率达90.04%，访视率达96.88%。</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6.孕产妇健康管理工作。全乡辖区内活产数128人，孕13周之前建册并进行第一次产前检查的产妇人数86人，早孕建册率67.19%，产后访视人数124人，产后访视率为96.88%。</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7.老年人健康管理工作。全乡65岁以上健康管理率为68.7%。通过对65岁以上老年人免费体检，基本掌握了影响老年人身体健康的主要因素，并针对这些因素进行干预和治疗。</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8.慢性病患者管理工作。全乡按照规范要求进行高血压患者规范管理率87.5%；全乡累计糖尿病规范管理率82.15%。</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9.重性精神病患者管理工作。全乡累计规范管理率为98.18%。</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10.卫生监督协管。明确专职或兼职人员负责卫生监督协管工作，协助开展食源性疾病、饮用水卫生安全、学校卫生、非法行医和非法采供血、计划生育实地巡查12次。实际完成率100%。</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11.中医药健康管理服务。65岁以上老年人中医药健康管理率61.88%；0-36个月儿童中医药健康管理服务率89.44%。</w:t>
      </w:r>
    </w:p>
    <w:p>
      <w:pPr>
        <w:spacing w:line="570" w:lineRule="exact"/>
        <w:ind w:firstLine="660"/>
        <w:jc w:val="left"/>
        <w:rPr>
          <w:rFonts w:ascii="仿宋" w:hAnsi="仿宋" w:eastAsia="仿宋" w:cs="仿宋"/>
          <w:sz w:val="32"/>
          <w:szCs w:val="32"/>
        </w:rPr>
      </w:pPr>
      <w:r>
        <w:rPr>
          <w:rFonts w:hint="eastAsia" w:ascii="仿宋" w:hAnsi="仿宋" w:eastAsia="仿宋" w:cs="仿宋"/>
          <w:sz w:val="32"/>
          <w:szCs w:val="32"/>
        </w:rPr>
        <w:t>12.肺结核患者管理工作。肺结核患者管理率100%，同期辖区内已完成治疗的肺结核患者100%，按要求规则服药率100%。</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（二）项目效益情况。</w:t>
      </w:r>
    </w:p>
    <w:p>
      <w:pPr>
        <w:spacing w:line="600" w:lineRule="exact"/>
        <w:ind w:firstLine="640" w:firstLineChars="200"/>
        <w:rPr>
          <w:rFonts w:ascii="仿宋" w:hAnsi="仿宋" w:eastAsia="仿宋" w:cs="仿宋"/>
          <w:b/>
          <w:color w:val="000000"/>
          <w:sz w:val="32"/>
          <w:szCs w:val="32"/>
        </w:rPr>
      </w:pPr>
      <w:r>
        <w:rPr>
          <w:rFonts w:hint="eastAsia" w:ascii="仿宋" w:hAnsi="仿宋" w:eastAsia="仿宋" w:cs="仿宋"/>
          <w:color w:val="000000"/>
          <w:sz w:val="32"/>
          <w:szCs w:val="32"/>
        </w:rPr>
        <w:t>格萨拉中心卫生院和村卫生室认真组织开展“国家基本公共卫生服务项目宣传月”活动。按照省、市卫生健康委的统一部署，开展好“世界家庭医生日”、“国家基本公共卫生宣传月活动”。大力宣传“三减三健”（减盐、减油、减糖，健康体重、健康骨骼、健康口腔），促进居民养成健康的生活方式。推动项目“七进”活动（进社区、进农村、进学校、进机关、进企业、进寺庙、进家庭）。利用电视、广播、网络、微信、报刊、展板、宣传折页、宣传标语等传统媒体和新兴媒介，以群众喜闻乐见的方式加大宣传力度，为项目实施营造良好舆论氛围。配合宣传活动，向居民发放控盐勺、腰围尺、控油壶等实用的健康干预工具，并指导居民使用，提高群众对基本公共卫生服务项目的参与积极性。基层医疗卫生机构在辖区和机构内显著位置公示项目免费政策、服务项目等内容。采用广播、电视、手机短信、微信公众平台等新闻媒体将机构情况、基本公共卫生服务内容、服务信息、反馈信息和提醒信息等及时全面传递给服务对象。</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五、评价结论及建议</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（一）评价结论。</w:t>
      </w:r>
    </w:p>
    <w:p>
      <w:pPr>
        <w:pStyle w:val="7"/>
        <w:spacing w:line="600" w:lineRule="exact"/>
        <w:jc w:val="left"/>
        <w:rPr>
          <w:rFonts w:ascii="仿宋" w:hAnsi="仿宋" w:eastAsia="仿宋" w:cs="仿宋"/>
          <w:sz w:val="32"/>
          <w:szCs w:val="32"/>
        </w:rPr>
      </w:pPr>
      <w:r>
        <w:rPr>
          <w:rFonts w:hint="eastAsia" w:ascii="仿宋" w:hAnsi="仿宋" w:eastAsia="仿宋" w:cs="仿宋"/>
          <w:sz w:val="32"/>
          <w:szCs w:val="32"/>
        </w:rPr>
        <w:t xml:space="preserve">    2020年基本公共卫生服务能力得到提升，基本公共卫生服务项目得到有序进行，老百姓获得感不断增强，群众满意度在逐年提高。人民群众健康意识进一步得到增强，使人人享受到基本公共卫生服务带来的健康实惠。项目总体指标完成较好，均能完成评价指标，达到预期值。</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（二）存在的问题。</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资金下拨迟缓。项目资金由中央、省、县三级构成，拨付到村卫生室不及时，没有发挥专项资金的高效率作用，不利于项目的实施。</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2.资金拨付需和绩效考核挂钩，基本公共卫生服务项目绩效考核工作量大，信息化程度薄弱，多数考核数据需人工提取，导致考核时间长。</w:t>
      </w:r>
    </w:p>
    <w:p>
      <w:pPr>
        <w:spacing w:line="56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（三）相关建议。</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1.加强基层信息化建设投入，特别是基层医疗卫生机构基本公共卫生服务项目和基本医疗信息的有效整合，促进项目实施的监督管理。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2.加快建立健全工作机制，强化工作职责，加强对项目资金的管理，及时分析汇总存在问题，采取有效措施，确保项目工作全面有序健康发展。</w:t>
      </w:r>
      <w:bookmarkStart w:id="92" w:name="_Toc52180099"/>
      <w:bookmarkStart w:id="93" w:name="_Toc15396618"/>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600" w:lineRule="exact"/>
        <w:ind w:firstLine="640" w:firstLineChars="200"/>
        <w:rPr>
          <w:rFonts w:ascii="仿宋" w:hAnsi="仿宋" w:eastAsia="仿宋" w:cs="仿宋"/>
          <w:color w:val="000000"/>
          <w:sz w:val="32"/>
          <w:szCs w:val="32"/>
        </w:rPr>
      </w:pPr>
    </w:p>
    <w:p>
      <w:pPr>
        <w:spacing w:line="0" w:lineRule="atLeast"/>
        <w:jc w:val="center"/>
        <w:rPr>
          <w:rFonts w:ascii="方正小标宋_GBK" w:hAnsi="宋体" w:eastAsia="方正小标宋_GBK"/>
          <w:b/>
          <w:color w:val="000000"/>
          <w:kern w:val="0"/>
          <w:sz w:val="38"/>
          <w:szCs w:val="38"/>
        </w:rPr>
      </w:pPr>
      <w:r>
        <w:rPr>
          <w:rFonts w:hint="eastAsia" w:ascii="方正小标宋_GBK" w:hAnsi="宋体" w:eastAsia="方正小标宋_GBK"/>
          <w:b/>
          <w:color w:val="000000"/>
          <w:kern w:val="0"/>
          <w:sz w:val="38"/>
          <w:szCs w:val="38"/>
        </w:rPr>
        <w:t>盐边县格萨拉中心卫生院</w:t>
      </w:r>
    </w:p>
    <w:p>
      <w:pPr>
        <w:spacing w:line="0" w:lineRule="atLeast"/>
        <w:jc w:val="center"/>
        <w:rPr>
          <w:rFonts w:ascii="方正小标宋_GBK" w:hAnsi="宋体" w:eastAsia="方正小标宋_GBK"/>
          <w:b/>
          <w:color w:val="000000"/>
          <w:kern w:val="0"/>
          <w:sz w:val="38"/>
          <w:szCs w:val="38"/>
          <w:lang w:val="zh-CN"/>
        </w:rPr>
      </w:pPr>
      <w:r>
        <w:rPr>
          <w:rFonts w:hint="eastAsia" w:ascii="方正小标宋_GBK" w:hAnsi="宋体" w:eastAsia="方正小标宋_GBK" w:cs="方正小标宋简体"/>
          <w:b/>
          <w:color w:val="000000"/>
          <w:kern w:val="0"/>
          <w:sz w:val="38"/>
          <w:szCs w:val="38"/>
        </w:rPr>
        <w:t>事业发展资金</w:t>
      </w:r>
      <w:r>
        <w:rPr>
          <w:rFonts w:hint="eastAsia" w:ascii="方正小标宋_GBK" w:hAnsi="宋体" w:eastAsia="方正小标宋_GBK"/>
          <w:b/>
          <w:color w:val="000000"/>
          <w:kern w:val="0"/>
          <w:sz w:val="38"/>
          <w:szCs w:val="38"/>
        </w:rPr>
        <w:t>2020年</w:t>
      </w:r>
      <w:r>
        <w:rPr>
          <w:rFonts w:hint="eastAsia" w:ascii="方正小标宋_GBK" w:hAnsi="宋体" w:eastAsia="方正小标宋_GBK"/>
          <w:b/>
          <w:color w:val="000000"/>
          <w:kern w:val="0"/>
          <w:sz w:val="38"/>
          <w:szCs w:val="38"/>
          <w:lang w:val="zh-CN"/>
        </w:rPr>
        <w:t>绩效</w:t>
      </w:r>
    </w:p>
    <w:p>
      <w:pPr>
        <w:spacing w:line="0" w:lineRule="atLeast"/>
        <w:jc w:val="center"/>
        <w:rPr>
          <w:rFonts w:ascii="方正小标宋_GBK" w:hAnsi="宋体" w:eastAsia="方正小标宋_GBK"/>
          <w:b/>
          <w:color w:val="000000"/>
          <w:kern w:val="0"/>
          <w:sz w:val="38"/>
          <w:szCs w:val="38"/>
          <w:lang w:val="zh-CN"/>
        </w:rPr>
      </w:pPr>
      <w:r>
        <w:rPr>
          <w:rFonts w:hint="eastAsia" w:ascii="方正小标宋_GBK" w:hAnsi="宋体" w:eastAsia="方正小标宋_GBK"/>
          <w:b/>
          <w:color w:val="000000"/>
          <w:kern w:val="0"/>
          <w:sz w:val="38"/>
          <w:szCs w:val="38"/>
          <w:lang w:val="zh-CN"/>
        </w:rPr>
        <w:t>评价报告</w:t>
      </w:r>
    </w:p>
    <w:p>
      <w:pPr>
        <w:spacing w:line="600" w:lineRule="exact"/>
        <w:jc w:val="center"/>
        <w:outlineLvl w:val="0"/>
        <w:rPr>
          <w:rFonts w:ascii="黑体" w:hAnsi="黑体" w:eastAsia="黑体"/>
          <w:color w:val="000000"/>
          <w:sz w:val="44"/>
          <w:szCs w:val="44"/>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一、项目概况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（一）项目基本情况。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1.说明项目主管部门（单位）在该项目管理中的职能。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主管部门盐边县卫生健康局在项目管理中主要承担监管及资金拨付计划申报及审核职责。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2.项目立项、资金申报的依据。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该项目资金依据为：《中华人民共和国预算法》《财政部国家卫生计生委国家中医药局关于加强公立医院财务和预算管理的指导意见》（财社〔2015〕263号）。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3.资金管理办法制定情况，资金支持具体项目的条件、范围与支持方式概况。</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按照县财政局《关于将全县医疗卫生机构事业收支纳入财政预算管理的通知》（盐边财政〔2020〕101号）及《</w:t>
      </w:r>
      <w:r>
        <w:rPr>
          <w:rFonts w:hint="eastAsia" w:ascii="仿宋" w:hAnsi="仿宋" w:eastAsia="仿宋" w:cs="仿宋"/>
          <w:color w:val="000000"/>
          <w:kern w:val="0"/>
          <w:sz w:val="32"/>
          <w:szCs w:val="32"/>
        </w:rPr>
        <w:t>盐边县医疗事业收支纳入财政预算管理操作流程</w:t>
      </w:r>
      <w:r>
        <w:rPr>
          <w:rFonts w:hint="eastAsia" w:ascii="仿宋" w:hAnsi="仿宋" w:eastAsia="仿宋" w:cs="仿宋"/>
          <w:sz w:val="32"/>
          <w:szCs w:val="32"/>
        </w:rPr>
        <w:t>》要求，</w:t>
      </w:r>
      <w:r>
        <w:rPr>
          <w:rFonts w:hint="eastAsia" w:ascii="仿宋" w:hAnsi="仿宋" w:eastAsia="仿宋" w:cs="仿宋"/>
          <w:color w:val="000000"/>
          <w:kern w:val="0"/>
          <w:sz w:val="32"/>
          <w:szCs w:val="32"/>
        </w:rPr>
        <w:t>医疗机构适时将收到的事业收入资金直接划拨至县财政局金库（特殊大额资金可临时增加资金划拨次数）。县财政局通过财政管理信息系统（即大平台系统）将收到的医疗机构事业收入资金下达、划拨至各医疗机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4.资金分配的原则及考虑因素。</w:t>
      </w:r>
    </w:p>
    <w:p>
      <w:pPr>
        <w:pStyle w:val="5"/>
        <w:spacing w:before="93" w:line="59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为规范全县医疗卫生机构收支预算管理，</w:t>
      </w:r>
      <w:r>
        <w:rPr>
          <w:rFonts w:hint="eastAsia" w:ascii="仿宋" w:hAnsi="仿宋" w:eastAsia="仿宋" w:cs="仿宋"/>
          <w:color w:val="000000"/>
          <w:sz w:val="32"/>
          <w:szCs w:val="32"/>
        </w:rPr>
        <w:t>结合各医疗机构上年度事业收入情况测算，</w:t>
      </w:r>
      <w:r>
        <w:rPr>
          <w:rFonts w:hint="eastAsia" w:ascii="仿宋" w:hAnsi="仿宋" w:eastAsia="仿宋" w:cs="仿宋"/>
          <w:kern w:val="2"/>
          <w:sz w:val="32"/>
          <w:szCs w:val="32"/>
        </w:rPr>
        <w:t>按照“以收定支”的原则，</w:t>
      </w:r>
      <w:r>
        <w:rPr>
          <w:rFonts w:hint="eastAsia" w:ascii="仿宋" w:hAnsi="仿宋" w:eastAsia="仿宋" w:cs="仿宋"/>
          <w:color w:val="000000"/>
          <w:sz w:val="32"/>
          <w:szCs w:val="32"/>
        </w:rPr>
        <w:t>分配下达各单位各单位医疗收入上缴预算数。</w:t>
      </w:r>
      <w:r>
        <w:rPr>
          <w:rFonts w:hint="eastAsia" w:ascii="仿宋" w:hAnsi="仿宋" w:eastAsia="仿宋" w:cs="仿宋"/>
          <w:sz w:val="32"/>
          <w:szCs w:val="32"/>
        </w:rPr>
        <w:t>在保障医疗卫生机构正常运转，不大幅增加医疗卫生机构工作量的基础上，各医疗机构医疗事业收入和支出全部纳入县级财政预算收支管理。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（二）项目绩效目标。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1.项目主要内容。医疗机构</w:t>
      </w:r>
      <w:r>
        <w:rPr>
          <w:rFonts w:hint="eastAsia" w:ascii="仿宋" w:hAnsi="仿宋" w:eastAsia="仿宋" w:cs="仿宋"/>
          <w:color w:val="000000"/>
          <w:kern w:val="0"/>
          <w:sz w:val="32"/>
          <w:szCs w:val="32"/>
        </w:rPr>
        <w:t>医疗事业收入和支出全部纳入县级财政预算收支管理</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2.项目应实现的具体绩效目标，包括目标的量化、细化情况以及项目实施进度计划等。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本乡镇1家卫生院根据实际情况，适时将医疗收入全部上缴国库，在年底前全部完成上缴。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3.分析评价申报内容是否与实际相符，申报目标是否合理可行。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申报内容与实际相符，申报目标合理可行。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(三)项目自评步骤及方法。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为了做好绩效评价工作，规范和加强专项资金管理，切</w:t>
      </w:r>
    </w:p>
    <w:p>
      <w:pPr>
        <w:spacing w:line="560" w:lineRule="exact"/>
        <w:rPr>
          <w:rFonts w:ascii="仿宋" w:hAnsi="仿宋" w:eastAsia="仿宋" w:cs="仿宋"/>
          <w:sz w:val="32"/>
          <w:szCs w:val="32"/>
        </w:rPr>
      </w:pPr>
      <w:r>
        <w:rPr>
          <w:rFonts w:hint="eastAsia" w:ascii="仿宋" w:hAnsi="仿宋" w:eastAsia="仿宋" w:cs="仿宋"/>
          <w:sz w:val="32"/>
          <w:szCs w:val="32"/>
        </w:rPr>
        <w:t>实提高专项资金的使用绩效和管理水平，格萨拉卫生院成立了绩效评价管理工作领导小组，按照项目单位自评和主管部门评价相结合的方式，对格萨拉卫生院2020年度专项资金开展了绩效评价工作，一是通过核对医疗事业收入确定上缴金额；二是组织财务人员核对上缴事业发展收入；三是通过同上级主管部门核对确认返回上缴的事业收入，四是返回的事业发展基金用于该项目的支出工作，并监督执行及绩效考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二、项目资金申报及使用情况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（一）项目资金申报及批复情况。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盐边县财政局关于将全县医疗卫生机构事业收支纳入财政预算管理的通知》（盐边财政〔2020〕101号）文件要求，经县卫生健康局测算，报经县政府18届第124次常务会议和县委14届第159次常委会议研究同意，由县财政通过</w:t>
      </w:r>
      <w:r>
        <w:rPr>
          <w:rFonts w:hint="eastAsia" w:ascii="仿宋" w:hAnsi="仿宋" w:eastAsia="仿宋" w:cs="仿宋"/>
          <w:color w:val="000000"/>
          <w:kern w:val="0"/>
          <w:sz w:val="32"/>
          <w:szCs w:val="32"/>
        </w:rPr>
        <w:t>财政管理信息系统（即大平台系统）下达预算。</w:t>
      </w:r>
    </w:p>
    <w:p>
      <w:pPr>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rPr>
        <w:t>（二）资金计划、到位及使用情况</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1.资金计划。</w:t>
      </w:r>
    </w:p>
    <w:p>
      <w:pPr>
        <w:spacing w:line="540" w:lineRule="exact"/>
        <w:ind w:firstLine="640" w:firstLineChars="200"/>
        <w:rPr>
          <w:rFonts w:ascii="仿宋" w:hAnsi="仿宋" w:eastAsia="仿宋" w:cs="仿宋"/>
          <w:b/>
          <w:sz w:val="32"/>
          <w:szCs w:val="32"/>
        </w:rPr>
      </w:pPr>
      <w:r>
        <w:rPr>
          <w:rFonts w:hint="eastAsia" w:ascii="仿宋" w:hAnsi="仿宋" w:eastAsia="仿宋" w:cs="仿宋"/>
          <w:bCs/>
          <w:sz w:val="32"/>
          <w:szCs w:val="32"/>
        </w:rPr>
        <w:t>2020年共计收到县财政转回事业发展基金</w:t>
      </w:r>
      <w:r>
        <w:rPr>
          <w:rFonts w:hint="eastAsia" w:ascii="仿宋" w:hAnsi="仿宋" w:eastAsia="仿宋" w:cs="仿宋"/>
          <w:sz w:val="32"/>
          <w:szCs w:val="32"/>
        </w:rPr>
        <w:t>资金10.91万元。</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2.资金到位。</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县财政局通过财政管理信息系统（即大平台系统）将收到的医疗机构事业收入资金下达，2020年格萨拉卫生院共计收到事业发展金10.91元。</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3.资金使用。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该项目资金通过财政信息管理平台，在医疗机构上缴后及时拨付回本单位共计10.91万元，2020年共支出10.91元。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（三）项目财务管理情况。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该项目实施本单位严格执行财务管理制度及操作流程，及时上缴事业收入，财务管理制度健全，账务处理及时，会计核算规范。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三、项目实施及管理情况</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（一）项目组织架构及实施流程。</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该项目由县卫生健康局组织，各医疗机构按照“以收定支”的原则，根据县财政局《关于将全县医疗卫生机构事业收支纳入财政预算管理的通知》（盐边财政〔2020〕101号）及《</w:t>
      </w:r>
      <w:r>
        <w:rPr>
          <w:rFonts w:hint="eastAsia" w:ascii="仿宋" w:hAnsi="仿宋" w:eastAsia="仿宋" w:cs="仿宋"/>
          <w:color w:val="000000"/>
          <w:kern w:val="0"/>
          <w:sz w:val="32"/>
          <w:szCs w:val="32"/>
        </w:rPr>
        <w:t>盐边县医疗事业收支纳入财政预算管理操作流程</w:t>
      </w:r>
      <w:r>
        <w:rPr>
          <w:rFonts w:hint="eastAsia" w:ascii="仿宋" w:hAnsi="仿宋" w:eastAsia="仿宋" w:cs="仿宋"/>
          <w:sz w:val="32"/>
          <w:szCs w:val="32"/>
        </w:rPr>
        <w:t>》要求，</w:t>
      </w:r>
      <w:r>
        <w:rPr>
          <w:rFonts w:hint="eastAsia" w:ascii="仿宋" w:hAnsi="仿宋" w:eastAsia="仿宋" w:cs="仿宋"/>
          <w:color w:val="000000"/>
          <w:kern w:val="0"/>
          <w:sz w:val="32"/>
          <w:szCs w:val="32"/>
        </w:rPr>
        <w:t>适时将收到的事业收入资金直接划拨至县财政局金库。县财政局通过财政管理信息系统（即大平台系统）将收到的医疗机构事业收入资金下达、划拨至本医疗机构。</w:t>
      </w:r>
    </w:p>
    <w:p>
      <w:pPr>
        <w:numPr>
          <w:ilvl w:val="0"/>
          <w:numId w:val="4"/>
        </w:numPr>
        <w:spacing w:line="560" w:lineRule="exact"/>
        <w:ind w:firstLine="640"/>
        <w:rPr>
          <w:rFonts w:ascii="仿宋" w:hAnsi="仿宋" w:eastAsia="仿宋" w:cs="仿宋"/>
          <w:sz w:val="32"/>
          <w:szCs w:val="32"/>
        </w:rPr>
      </w:pPr>
      <w:r>
        <w:rPr>
          <w:rFonts w:hint="eastAsia" w:ascii="仿宋" w:hAnsi="仿宋" w:eastAsia="仿宋" w:cs="仿宋"/>
          <w:sz w:val="32"/>
          <w:szCs w:val="32"/>
        </w:rPr>
        <w:t>项目管理情况。</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本院能按照医疗事业收支财政预算管理要求，及时上缴收入到国库，并按照相关要求合规合理使用资金</w:t>
      </w:r>
      <w:r>
        <w:rPr>
          <w:rFonts w:hint="eastAsia" w:ascii="仿宋" w:hAnsi="仿宋" w:eastAsia="仿宋" w:cs="仿宋"/>
          <w:sz w:val="32"/>
          <w:szCs w:val="32"/>
        </w:rPr>
        <w:t>。</w:t>
      </w:r>
    </w:p>
    <w:p>
      <w:pPr>
        <w:numPr>
          <w:ilvl w:val="0"/>
          <w:numId w:val="4"/>
        </w:numPr>
        <w:spacing w:line="560" w:lineRule="exact"/>
        <w:ind w:firstLine="640"/>
        <w:rPr>
          <w:rFonts w:ascii="仿宋" w:hAnsi="仿宋" w:eastAsia="仿宋" w:cs="仿宋"/>
          <w:sz w:val="32"/>
          <w:szCs w:val="32"/>
        </w:rPr>
      </w:pPr>
      <w:r>
        <w:rPr>
          <w:rFonts w:hint="eastAsia" w:ascii="仿宋" w:hAnsi="仿宋" w:eastAsia="仿宋" w:cs="仿宋"/>
          <w:sz w:val="32"/>
          <w:szCs w:val="32"/>
        </w:rPr>
        <w:t>项目监管情况。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格萨拉中心卫生院为加强项目管理，确定专人负责医疗机构事业发展金缴入、申报计划及支付等工作，确保该项目资金及时上缴和支出，达到资金使用绩效。</w:t>
      </w:r>
    </w:p>
    <w:p>
      <w:pPr>
        <w:spacing w:line="560" w:lineRule="exact"/>
        <w:ind w:firstLine="640" w:firstLineChars="200"/>
        <w:rPr>
          <w:rFonts w:ascii="方正宋黑_GBK" w:hAnsi="方正宋黑_GBK" w:eastAsia="方正宋黑_GBK" w:cs="方正宋黑_GBK"/>
          <w:sz w:val="32"/>
          <w:szCs w:val="32"/>
        </w:rPr>
      </w:pPr>
      <w:r>
        <w:rPr>
          <w:rFonts w:hint="eastAsia" w:ascii="方正宋黑_GBK" w:hAnsi="方正宋黑_GBK" w:eastAsia="方正宋黑_GBK" w:cs="方正宋黑_GBK"/>
          <w:sz w:val="32"/>
          <w:szCs w:val="32"/>
        </w:rPr>
        <w:t>四、项目绩效情况</w:t>
      </w:r>
      <w:r>
        <w:rPr>
          <w:rFonts w:hint="eastAsia" w:ascii="方正宋黑_GBK" w:hAnsi="方正宋黑_GBK" w:eastAsia="方正宋黑_GBK" w:cs="方正宋黑_GBK"/>
          <w:sz w:val="32"/>
          <w:szCs w:val="32"/>
        </w:rPr>
        <w:tab/>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（一）项目完成情况。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县财政计划下达该项目资金</w:t>
      </w:r>
      <w:r>
        <w:rPr>
          <w:rFonts w:hint="eastAsia" w:ascii="仿宋" w:hAnsi="仿宋" w:eastAsia="仿宋" w:cs="仿宋"/>
          <w:bCs/>
          <w:sz w:val="32"/>
          <w:szCs w:val="32"/>
        </w:rPr>
        <w:t>10.91万元，</w:t>
      </w:r>
      <w:r>
        <w:rPr>
          <w:rFonts w:hint="eastAsia" w:ascii="仿宋" w:hAnsi="仿宋" w:eastAsia="仿宋" w:cs="仿宋"/>
          <w:sz w:val="32"/>
          <w:szCs w:val="32"/>
        </w:rPr>
        <w:t>完成支付10.91万元，支出在预算范围内。因年初未做事业发展基金预算，本单位的发展基金均属于追加预算。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（二）项目效益情况。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该项目的实施，增加财政收入10.91万元，保证了本卫生院的正常运转，医疗服务水平不断提高，解决广大群众就近就医，服务对象满意度不断提升。</w:t>
      </w:r>
    </w:p>
    <w:p>
      <w:pPr>
        <w:spacing w:line="560" w:lineRule="exact"/>
        <w:ind w:firstLine="640" w:firstLineChars="200"/>
        <w:rPr>
          <w:rFonts w:ascii="方正宋黑_GBK" w:hAnsi="方正宋黑_GBK" w:eastAsia="方正宋黑_GBK" w:cs="方正宋黑_GBK"/>
          <w:sz w:val="32"/>
          <w:szCs w:val="32"/>
        </w:rPr>
      </w:pPr>
      <w:r>
        <w:rPr>
          <w:rFonts w:hint="eastAsia" w:ascii="方正宋黑_GBK" w:hAnsi="方正宋黑_GBK" w:eastAsia="方正宋黑_GBK" w:cs="方正宋黑_GBK"/>
          <w:sz w:val="32"/>
          <w:szCs w:val="32"/>
        </w:rPr>
        <w:t>五、评价结论及建议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（一）评价结论。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该项目在乡镇卫生院是首次开展，本院能及时按照流程相关要求上缴事业收入，保证了医疗机构的正常运转，基本实现了绩效目标。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（二）存在的问题。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1.本卫生院管理人员缺乏预算管理意识。对预算管理工作不够重视，没有充分意识到预算管理对于医疗机构综合管理工作的重大作用。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2.本卫生院管理水平有限。财务人员专业水平不足，工作人员均为兼职，工作任务繁重，没有精力对财务预算管理工作进行深入学习研究。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（三）相关建议。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1.希望加大基层乡镇卫生院财务管理人员及工作人员培训力度和范围，强化管理人员及工作人员预算管理意识和提高财务管理人员财务知识水平。</w:t>
      </w:r>
    </w:p>
    <w:p>
      <w:pPr>
        <w:spacing w:line="560" w:lineRule="exact"/>
        <w:ind w:firstLine="640" w:firstLineChars="200"/>
        <w:rPr>
          <w:rFonts w:ascii="黑体" w:hAnsi="黑体" w:eastAsia="黑体"/>
          <w:color w:val="000000"/>
          <w:sz w:val="44"/>
          <w:szCs w:val="44"/>
        </w:rPr>
      </w:pPr>
      <w:r>
        <w:rPr>
          <w:rFonts w:hint="eastAsia" w:ascii="仿宋" w:hAnsi="仿宋" w:eastAsia="仿宋" w:cs="仿宋"/>
          <w:sz w:val="32"/>
          <w:szCs w:val="32"/>
        </w:rPr>
        <w:t>2.建立健全相关制度，加强对乡镇卫生院督导指导，及时纠正存在的困难和问题。</w:t>
      </w:r>
    </w:p>
    <w:p>
      <w:pPr>
        <w:spacing w:line="600" w:lineRule="exact"/>
        <w:jc w:val="center"/>
        <w:outlineLvl w:val="0"/>
        <w:rPr>
          <w:rFonts w:ascii="黑体" w:hAnsi="黑体" w:eastAsia="黑体"/>
          <w:color w:val="000000"/>
          <w:sz w:val="44"/>
          <w:szCs w:val="44"/>
        </w:rPr>
      </w:pPr>
    </w:p>
    <w:p>
      <w:pPr>
        <w:spacing w:line="0" w:lineRule="atLeast"/>
        <w:rPr>
          <w:rFonts w:ascii="方正小标宋_GBK" w:hAnsi="宋体" w:eastAsia="方正小标宋_GBK"/>
          <w:b/>
          <w:color w:val="000000"/>
          <w:kern w:val="0"/>
          <w:sz w:val="38"/>
          <w:szCs w:val="38"/>
        </w:rPr>
      </w:pPr>
    </w:p>
    <w:p>
      <w:pPr>
        <w:spacing w:line="0" w:lineRule="atLeast"/>
        <w:rPr>
          <w:rFonts w:ascii="方正小标宋_GBK" w:hAnsi="宋体" w:eastAsia="方正小标宋_GBK"/>
          <w:b/>
          <w:color w:val="000000"/>
          <w:kern w:val="0"/>
          <w:sz w:val="38"/>
          <w:szCs w:val="38"/>
        </w:rPr>
      </w:pPr>
    </w:p>
    <w:p>
      <w:pPr>
        <w:spacing w:line="0" w:lineRule="atLeast"/>
        <w:rPr>
          <w:rFonts w:ascii="方正小标宋_GBK" w:hAnsi="宋体" w:eastAsia="方正小标宋_GBK"/>
          <w:b/>
          <w:color w:val="000000"/>
          <w:kern w:val="0"/>
          <w:sz w:val="38"/>
          <w:szCs w:val="38"/>
        </w:rPr>
      </w:pPr>
    </w:p>
    <w:p>
      <w:pPr>
        <w:spacing w:line="0" w:lineRule="atLeast"/>
        <w:rPr>
          <w:rFonts w:ascii="方正小标宋_GBK" w:hAnsi="宋体" w:eastAsia="方正小标宋_GBK"/>
          <w:b/>
          <w:color w:val="000000"/>
          <w:kern w:val="0"/>
          <w:sz w:val="38"/>
          <w:szCs w:val="38"/>
        </w:rPr>
      </w:pPr>
    </w:p>
    <w:p>
      <w:pPr>
        <w:spacing w:line="0" w:lineRule="atLeast"/>
        <w:jc w:val="center"/>
        <w:rPr>
          <w:rFonts w:ascii="方正小标宋_GBK" w:hAnsi="宋体" w:eastAsia="方正小标宋_GBK"/>
          <w:b/>
          <w:color w:val="000000"/>
          <w:kern w:val="0"/>
          <w:sz w:val="38"/>
          <w:szCs w:val="38"/>
        </w:rPr>
      </w:pPr>
      <w:r>
        <w:rPr>
          <w:rFonts w:hint="eastAsia" w:ascii="方正小标宋_GBK" w:hAnsi="宋体" w:eastAsia="方正小标宋_GBK"/>
          <w:b/>
          <w:color w:val="000000"/>
          <w:kern w:val="0"/>
          <w:sz w:val="38"/>
          <w:szCs w:val="38"/>
        </w:rPr>
        <w:t>盐边县格萨拉中心卫生院</w:t>
      </w:r>
    </w:p>
    <w:p>
      <w:pPr>
        <w:spacing w:line="0" w:lineRule="atLeast"/>
        <w:jc w:val="center"/>
        <w:rPr>
          <w:rFonts w:ascii="方正小标宋_GBK" w:hAnsi="宋体" w:eastAsia="方正小标宋_GBK"/>
          <w:b/>
          <w:color w:val="000000"/>
          <w:kern w:val="0"/>
          <w:sz w:val="38"/>
          <w:szCs w:val="38"/>
          <w:lang w:val="zh-CN"/>
        </w:rPr>
      </w:pPr>
      <w:r>
        <w:rPr>
          <w:rFonts w:hint="eastAsia" w:ascii="方正小标宋_GBK" w:hAnsi="宋体" w:eastAsia="方正小标宋_GBK" w:cs="方正小标宋简体"/>
          <w:b/>
          <w:color w:val="000000"/>
          <w:kern w:val="0"/>
          <w:sz w:val="38"/>
          <w:szCs w:val="38"/>
        </w:rPr>
        <w:t>基本药物资金</w:t>
      </w:r>
      <w:r>
        <w:rPr>
          <w:rFonts w:hint="eastAsia" w:ascii="方正小标宋_GBK" w:hAnsi="宋体" w:eastAsia="方正小标宋_GBK"/>
          <w:b/>
          <w:color w:val="000000"/>
          <w:kern w:val="0"/>
          <w:sz w:val="38"/>
          <w:szCs w:val="38"/>
        </w:rPr>
        <w:t>2020年</w:t>
      </w:r>
      <w:r>
        <w:rPr>
          <w:rFonts w:hint="eastAsia" w:ascii="方正小标宋_GBK" w:hAnsi="宋体" w:eastAsia="方正小标宋_GBK"/>
          <w:b/>
          <w:color w:val="000000"/>
          <w:kern w:val="0"/>
          <w:sz w:val="38"/>
          <w:szCs w:val="38"/>
          <w:lang w:val="zh-CN"/>
        </w:rPr>
        <w:t>绩效</w:t>
      </w:r>
    </w:p>
    <w:p>
      <w:pPr>
        <w:spacing w:line="0" w:lineRule="atLeast"/>
        <w:jc w:val="center"/>
        <w:rPr>
          <w:rFonts w:ascii="方正小标宋_GBK" w:hAnsi="宋体" w:eastAsia="方正小标宋_GBK"/>
          <w:b/>
          <w:color w:val="000000"/>
          <w:kern w:val="0"/>
          <w:sz w:val="38"/>
          <w:szCs w:val="38"/>
          <w:lang w:val="zh-CN"/>
        </w:rPr>
      </w:pPr>
      <w:r>
        <w:rPr>
          <w:rFonts w:hint="eastAsia" w:ascii="方正小标宋_GBK" w:hAnsi="宋体" w:eastAsia="方正小标宋_GBK"/>
          <w:b/>
          <w:color w:val="000000"/>
          <w:kern w:val="0"/>
          <w:sz w:val="38"/>
          <w:szCs w:val="38"/>
          <w:lang w:val="zh-CN"/>
        </w:rPr>
        <w:t>评价报告</w:t>
      </w:r>
    </w:p>
    <w:p>
      <w:pPr>
        <w:spacing w:line="540" w:lineRule="exact"/>
        <w:ind w:firstLine="643"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一、项目概况</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（一）项目基本情况。</w:t>
      </w:r>
    </w:p>
    <w:p>
      <w:pPr>
        <w:spacing w:line="540" w:lineRule="exact"/>
        <w:ind w:left="525" w:leftChars="250" w:firstLine="160" w:firstLineChars="50"/>
        <w:rPr>
          <w:rFonts w:ascii="仿宋" w:hAnsi="仿宋" w:eastAsia="仿宋" w:cs="仿宋"/>
          <w:sz w:val="32"/>
          <w:szCs w:val="32"/>
        </w:rPr>
      </w:pPr>
      <w:r>
        <w:rPr>
          <w:rFonts w:hint="eastAsia" w:ascii="仿宋" w:hAnsi="仿宋" w:eastAsia="仿宋" w:cs="仿宋"/>
          <w:sz w:val="32"/>
          <w:szCs w:val="32"/>
        </w:rPr>
        <w:t>1.说明项目主管部门（单位）在该项目管理中的职能。</w:t>
      </w:r>
    </w:p>
    <w:p>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本院及时将中央和省级转移支付资金下达至项目执行村卫生室，具体组织实施监督和绩效评价。</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2.项目立项、资金申报的依据。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加强和规范中央和省级财政支持医疗卫生机构及村卫生室实施国家基本药物制度补助资金的分配、使用和管理,根据《中华人民共和国预算法》《财政部国家卫生健康委基本药物制度补助资金管理办法》《中共四川省委四川省人民政府关于全面预算绩效管理的实施意见》《四川省人民政府关于改革完善省对下转移支付制度的意见》《四川省国家基本药物制度实施意见》《关于建立健全基层医疗卫生机构补偿机制的意见》《四川省人民政府办公厅关于印发四川省基本公共服务领域省与市县共同财政事权和支出责任划分改革方案的通知》等有关法律法规和政策文件。</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3.资金管理办法制定情况，资金支持具体项目的条件、范围与支持方式概况。</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四川省基本药物制度补助资金管理办法》，中央和省级财政通过共同财政事权转移支付方式安排,用于支持基层医疗卫生机构实施国家基本药物制度、推进基层医疗卫生机构综合改革。政府办社区卫生服务中心(站)和乡镇卫生院，转移支付资金主要用于弥补核定收支后的经常性收支差额补助、推进基层医疗卫生机构综合改革等符合政府卫生投入政策规定的支出;对在实施基本药物制度的村卫生室，转移支付资金主要用于乡村医生的收入补助。</w:t>
      </w:r>
    </w:p>
    <w:p>
      <w:pPr>
        <w:spacing w:line="540" w:lineRule="exact"/>
        <w:ind w:firstLine="640" w:firstLineChars="200"/>
        <w:rPr>
          <w:rFonts w:ascii="仿宋" w:hAnsi="仿宋" w:eastAsia="仿宋" w:cs="仿宋"/>
          <w:b/>
          <w:bCs/>
          <w:sz w:val="32"/>
          <w:szCs w:val="32"/>
        </w:rPr>
      </w:pPr>
      <w:r>
        <w:rPr>
          <w:rFonts w:hint="eastAsia" w:ascii="仿宋" w:hAnsi="仿宋" w:eastAsia="仿宋" w:cs="仿宋"/>
          <w:sz w:val="32"/>
          <w:szCs w:val="32"/>
        </w:rPr>
        <w:t>4.资金分配的原则及考虑因素。</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（1）原则。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合理规划，科学论证。按照医改工作总体要求及相关规划，合理确定转移支付资金使用方向，并对转移支付资金支持项目的必要性、可行性等进行科学论证。</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强化管理，注重实效。加强对转移支付资金分配、使用过程管理，规范各个环节的管理要求，明确相关主体的权利责任，保障转移支付资金安全、高效使用。</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讲求绩效，量效挂钩。转移支付资金实施全过程预算绩效管理，建立绩效评价结果与资金分配挂钩机制，提高转移支付资金使用效益。</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（2）因素。</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对村卫生室执行每个定额5000元的补助和基本药物购进量占比进行分配至乡镇卫生院，由本院通过绩效考核进行二次分配。</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（二）项目绩效目标。</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1.项目主要内容。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对实施国家基本药物制度的村卫生室给予补助，支持国家基本药物制度在村卫生室顺利实施，推进综合改革顺利进行。</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2.项目应实现的具体绩效目标，包括目标的量化、细化情况以及项目实施进度计划等。</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根据《财政厅省卫生健康委省医疗保障局省中医药管理局关于印发基本公共卫生服务等4项补助资金管理办法的通知》（川财社[2019] 76号）《财政厅省卫生健康委关于提前下达2020年基本药物制度中央和省级补助资金的通知》川财社〔2019〕139号 《财政厅省卫生健康委关于下达2020年卫生健康中央和省级补助资金（第二批）的通知》川财社〔2020〕80号等文件要求，加强国家基本药物制度补助资金管理，提高资金使用效益，确保国家基本药物制度的有效实施，推进本医疗卫生机构综合改革，转变医疗卫生服务模式，有效控制不合理医疗费用，增强城乡居民就诊看病的“获得感”，鼓励本机构人员抓实基本医疗服务。2020年本医疗卫生机构和村卫生室全面实施了国家基本药物制度，依据考核方案给予村卫生室资金补助，基本药物制度在我乡落地落实。</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3.分析评价申报内容是否与实际相符，申报目标是否合理可行。根据开展基本药物指导工作情况分析。申报内容是与实际相符，申报目标是合理可行的。</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（三）项目自评步骤及方法。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说明项目绩效自评采用的组织实施步骤及方法。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组织相关人员开展基本药物制度绩效评价，一是通过现场查看了解村卫生室执行基本药物“零”加价、提高群众满意度评价效益；二是通过乡村一体化管理由乡镇卫生院代采购村卫生室的基本药物，并监督执行及绩效考核。</w:t>
      </w:r>
    </w:p>
    <w:p>
      <w:pPr>
        <w:spacing w:line="540" w:lineRule="exact"/>
        <w:ind w:firstLine="643"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二、项目资金申报及使用情况</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1.资金计划。</w:t>
      </w:r>
    </w:p>
    <w:p>
      <w:pPr>
        <w:spacing w:line="540" w:lineRule="exact"/>
        <w:ind w:firstLine="640" w:firstLineChars="200"/>
        <w:rPr>
          <w:rFonts w:ascii="仿宋" w:hAnsi="仿宋" w:eastAsia="仿宋" w:cs="仿宋"/>
          <w:sz w:val="32"/>
          <w:szCs w:val="32"/>
        </w:rPr>
      </w:pPr>
      <w:r>
        <w:rPr>
          <w:rFonts w:hint="eastAsia" w:ascii="仿宋" w:hAnsi="仿宋" w:eastAsia="仿宋" w:cs="仿宋"/>
          <w:bCs/>
          <w:sz w:val="32"/>
          <w:szCs w:val="32"/>
        </w:rPr>
        <w:t>共计收到县级</w:t>
      </w:r>
      <w:r>
        <w:rPr>
          <w:rFonts w:hint="eastAsia" w:ascii="仿宋" w:hAnsi="仿宋" w:eastAsia="仿宋" w:cs="仿宋"/>
          <w:sz w:val="32"/>
          <w:szCs w:val="32"/>
        </w:rPr>
        <w:t>基本药物补助资金17.99万元。</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2.资金到位。</w:t>
      </w:r>
    </w:p>
    <w:p>
      <w:pPr>
        <w:widowControl/>
        <w:ind w:firstLine="640" w:firstLineChars="200"/>
        <w:jc w:val="left"/>
        <w:rPr>
          <w:rFonts w:ascii="仿宋" w:hAnsi="仿宋" w:eastAsia="仿宋" w:cs="仿宋"/>
          <w:color w:val="000000"/>
          <w:kern w:val="0"/>
          <w:sz w:val="32"/>
          <w:szCs w:val="32"/>
        </w:rPr>
      </w:pPr>
      <w:r>
        <w:rPr>
          <w:rFonts w:hint="eastAsia" w:ascii="仿宋" w:hAnsi="仿宋" w:eastAsia="仿宋" w:cs="仿宋"/>
          <w:sz w:val="32"/>
          <w:szCs w:val="32"/>
          <w:shd w:val="clear" w:color="auto" w:fill="FFFFFF"/>
        </w:rPr>
        <w:t>2020年8月7日</w:t>
      </w:r>
      <w:r>
        <w:rPr>
          <w:rFonts w:hint="eastAsia" w:ascii="仿宋" w:hAnsi="仿宋" w:eastAsia="仿宋" w:cs="仿宋"/>
          <w:color w:val="000000"/>
          <w:kern w:val="0"/>
          <w:sz w:val="32"/>
          <w:szCs w:val="32"/>
        </w:rPr>
        <w:t>《省财政厅省卫健委关于提前下达 2020 年基本药物制 度中央和省级补助资金的通知》（川财〔2019〕139 号），根据各单位药品采购情况，第一批基药补助本机构53112.5元、村卫生室30938.5元，合计84051元。</w:t>
      </w:r>
    </w:p>
    <w:p>
      <w:pPr>
        <w:spacing w:line="5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2020年12月3日《省财政厅省卫健委关于提前下达 2020 年基本药物制度中央和省级补助资金的通知》（川财社2019〕139 号）和《关于下达 2020 年卫生健康中央和省级补助资金（第二批）的通知》（川财社〔2020〕80 号），第二批基药补助本机构66027.35元、村卫生室29802.61元，合计95830.02元。本年合计基本药物经费179881.02元。        </w:t>
      </w:r>
    </w:p>
    <w:p>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3.资金使用。</w:t>
      </w:r>
    </w:p>
    <w:p>
      <w:pPr>
        <w:pStyle w:val="25"/>
        <w:spacing w:line="540" w:lineRule="exact"/>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2020年基本药物补助资金17.99万元中的6.07万元，按照客观公正，民主公开，分级考核，合理规划，科学论证，强化管理，注重实效，讲求绩效，量效挂钩的原则加强国家基本药物制度补助资金管理，提高资金使用效益，确保国家基本药物制度的有效实施，推进本医疗卫生机构综合改革，转变医疗卫生服务模式，有效控制不合理医疗费用，增强城乡居民就诊看病的“获得感”，鼓励基层医疗机构抓实基本医疗服务。制定《盐边县格萨拉中心卫生院2020年村卫生室实施国家基本药物制度资金考核分配方案》，科学分配补助资金给村卫生室。</w:t>
      </w:r>
    </w:p>
    <w:p>
      <w:pPr>
        <w:pStyle w:val="25"/>
        <w:spacing w:line="54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（三）项目财务管理情况。</w:t>
      </w:r>
    </w:p>
    <w:p>
      <w:pPr>
        <w:spacing w:line="54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我院严格按照全面实施预算绩效管理的要求，强化绩效目标管理，做好本地区补助资金监督检查和绩效评价工作，并加强结果应用，确保提高补助资金配置效率和使用效益。县卫生健康部门负责项目业务指导和管理，会同县财政部门建立健全绩效评价机制，并对项目执行情况开展每年一次的绩效评价。</w:t>
      </w:r>
    </w:p>
    <w:p>
      <w:pPr>
        <w:spacing w:line="540" w:lineRule="exact"/>
        <w:ind w:firstLine="643"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三、项目实施及管理情况</w:t>
      </w:r>
    </w:p>
    <w:p>
      <w:pPr>
        <w:pStyle w:val="25"/>
        <w:spacing w:line="54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（一）项目组织架构及实施流程。</w:t>
      </w:r>
    </w:p>
    <w:p>
      <w:pPr>
        <w:spacing w:line="540" w:lineRule="exact"/>
        <w:ind w:firstLine="800" w:firstLineChars="250"/>
        <w:rPr>
          <w:rFonts w:ascii="仿宋" w:hAnsi="仿宋" w:eastAsia="仿宋" w:cs="仿宋"/>
          <w:sz w:val="32"/>
          <w:szCs w:val="32"/>
        </w:rPr>
      </w:pPr>
      <w:r>
        <w:rPr>
          <w:rFonts w:hint="eastAsia" w:ascii="仿宋" w:hAnsi="仿宋" w:eastAsia="仿宋" w:cs="仿宋"/>
          <w:sz w:val="32"/>
          <w:szCs w:val="32"/>
        </w:rPr>
        <w:t>通过上述分配原则和因素，由卫生院支部委员会研究决定后分配项目资金给村卫生室组织实施。</w:t>
      </w:r>
    </w:p>
    <w:p>
      <w:pPr>
        <w:pStyle w:val="25"/>
        <w:spacing w:line="540" w:lineRule="exact"/>
        <w:ind w:left="640" w:firstLine="0" w:firstLineChars="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（二）项目管理情况。</w:t>
      </w:r>
    </w:p>
    <w:p>
      <w:pPr>
        <w:spacing w:line="540" w:lineRule="exact"/>
        <w:ind w:firstLine="800" w:firstLineChars="250"/>
        <w:rPr>
          <w:rFonts w:ascii="仿宋" w:hAnsi="仿宋" w:eastAsia="仿宋" w:cs="仿宋"/>
          <w:sz w:val="32"/>
          <w:szCs w:val="32"/>
        </w:rPr>
      </w:pPr>
      <w:r>
        <w:rPr>
          <w:rFonts w:hint="eastAsia" w:ascii="仿宋" w:hAnsi="仿宋" w:eastAsia="仿宋" w:cs="仿宋"/>
          <w:sz w:val="32"/>
          <w:szCs w:val="32"/>
        </w:rPr>
        <w:t>根据《财政厅省卫生健康委省医疗保障局 省中医药管理局关于印发基本公共卫生服务等4项补助资金管理办法的通知》川财社[2019] 76号中《四川省基本药物制度补助资金管理办法》严格执行项目管理。</w:t>
      </w:r>
    </w:p>
    <w:p>
      <w:pPr>
        <w:pStyle w:val="25"/>
        <w:spacing w:line="540" w:lineRule="exact"/>
        <w:ind w:left="640" w:firstLine="0" w:firstLineChars="0"/>
        <w:rPr>
          <w:rFonts w:ascii="仿宋" w:hAnsi="仿宋" w:eastAsia="仿宋" w:cs="仿宋"/>
          <w:sz w:val="32"/>
          <w:szCs w:val="32"/>
        </w:rPr>
      </w:pPr>
      <w:r>
        <w:rPr>
          <w:rFonts w:hint="eastAsia" w:ascii="方正楷体_GBK" w:hAnsi="方正楷体_GBK" w:eastAsia="方正楷体_GBK" w:cs="方正楷体_GBK"/>
          <w:sz w:val="32"/>
          <w:szCs w:val="32"/>
        </w:rPr>
        <w:t>（三）项目监管情况。</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院应按照全面实施预算绩效管理的要求，强化绩效目标管理，补助资金监督检查和绩效评价工作，并加强结果应用，确保提高补助资金配置效率和使用效益。负责项目业务指导和管理，建立健全绩效评价机制，并对项目执行情况开展绩效评价。绩效评价原则上每年一次，根据需要对基本药物制度政策落实、资金分配和使用等进行绩效评价和监督检查,并将评价检查结果与补助资金分配挂钩。绩效评价和重点绩效评价结果将作为完善相关补助政策和以后年度预算申请、安排和对下分配的重要参考依据。工作人员在资金分配、监督等管理工作中，存在滥用职权、玩忽职守、徇私舞弊等违法违纪行为的，依照《中华人民共和国公务员法》《中华人民共和国监察法》《财政违法行为处罚处分条例》等国家有关规定追究相应责任;涉嫌犯罪的，依法移送司法机关处理。</w:t>
      </w:r>
    </w:p>
    <w:p>
      <w:pPr>
        <w:spacing w:line="540" w:lineRule="exact"/>
        <w:ind w:firstLine="643"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四、项目绩效情况</w:t>
      </w:r>
      <w:r>
        <w:rPr>
          <w:rFonts w:hint="eastAsia" w:ascii="方正黑体_GBK" w:hAnsi="方正黑体_GBK" w:eastAsia="方正黑体_GBK" w:cs="方正黑体_GBK"/>
          <w:b/>
          <w:bCs/>
          <w:sz w:val="32"/>
          <w:szCs w:val="32"/>
        </w:rPr>
        <w:tab/>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（一）项目完成情况。</w:t>
      </w:r>
    </w:p>
    <w:p>
      <w:pPr>
        <w:spacing w:line="54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格萨拉卫生院2020年采购基本药物并执行零加价的药品30.61万元，100%政府办基层医疗卫生机构实施国家基本药物制度；村卫生室执行基本药物制度8家，2020年采购基本药物并执行零加价的药品2.51万元，村卫生室实施国家基本药物制度覆盖率50%。村卫生室基本药物由本院考核后按照考核方案发放。</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（二）项目效益情况。</w:t>
      </w:r>
    </w:p>
    <w:p>
      <w:pPr>
        <w:spacing w:line="54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通过执行基本药物制度，对乡村医生的药品采购、艰苦因素等进行综合考虑后发放补助，乡村医生的收入保持稳定，在精准扶贫工作中发挥着积极作用；执行基本药物制度补助资金用于支持基层医疗卫生机构实施国家基本药物制度、推进基层医疗卫生机构综合改革，提升人民群众的获得感，在一段时间内（中长期）国家基本药物制度将在基层持续实施。</w:t>
      </w:r>
    </w:p>
    <w:p>
      <w:pPr>
        <w:spacing w:line="540" w:lineRule="exact"/>
        <w:ind w:firstLine="643" w:firstLineChars="200"/>
        <w:rPr>
          <w:rFonts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五、评价结论及建议</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（一）评价结论。</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2020年基本药物补助资金项目在卫生健康局的统筹安排下，在财政部门的支持下，本院医务人员共同努力下达到支持基层医疗卫生机构实施国家基本药物制度的目的。本医疗机构弥补核定收支后的经常性收支差额补助、推进基层医疗卫生机构综合改革等符合政府卫生投入政策落地见效。实施基本药物制度的村卫生室，乡村医生的收入补助得到提高。本医疗机构的就医环境、服务能力、服务流程进一步改善。基层医疗机构医防结合能力得到加强，抗击疫情哨点作用发挥越来越明显。</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（二）存在的问题。</w:t>
      </w:r>
    </w:p>
    <w:p>
      <w:pPr>
        <w:spacing w:line="58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1.由于我疫情原因，乡卫生院跟村卫生室病人减少严重，医院跟卫生室收入减少，医保限制药品也太多，导致村医积极性不高，落实基本药物制度不到位。</w:t>
      </w:r>
    </w:p>
    <w:p>
      <w:pPr>
        <w:spacing w:line="58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2.卫生院的基本药物挂网采购价格普遍较高，药店和社会办医在药品销售上站一定的优势，人民群众对政府举办的基层医疗机构药品价格产生质疑。</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（三）相关建议。</w:t>
      </w:r>
    </w:p>
    <w:p>
      <w:pPr>
        <w:spacing w:line="580" w:lineRule="exact"/>
        <w:ind w:firstLine="640" w:firstLineChars="200"/>
        <w:rPr>
          <w:rFonts w:ascii="黑体" w:hAnsi="黑体" w:eastAsia="黑体"/>
          <w:color w:val="000000"/>
          <w:sz w:val="44"/>
          <w:szCs w:val="44"/>
        </w:rPr>
      </w:pPr>
      <w:r>
        <w:rPr>
          <w:rFonts w:hint="eastAsia" w:ascii="仿宋" w:hAnsi="仿宋" w:eastAsia="仿宋" w:cs="仿宋"/>
          <w:sz w:val="32"/>
          <w:szCs w:val="32"/>
          <w:shd w:val="clear" w:color="auto" w:fill="FFFFFF"/>
        </w:rPr>
        <w:t>下一步我院将充分结合自身的情况，</w:t>
      </w:r>
      <w:r>
        <w:rPr>
          <w:rFonts w:hint="eastAsia" w:ascii="仿宋" w:hAnsi="仿宋" w:eastAsia="仿宋" w:cs="仿宋"/>
          <w:bCs/>
          <w:sz w:val="32"/>
          <w:szCs w:val="32"/>
          <w:shd w:val="clear" w:color="auto" w:fill="FFFFFF"/>
        </w:rPr>
        <w:t>一是</w:t>
      </w:r>
      <w:r>
        <w:rPr>
          <w:rFonts w:hint="eastAsia" w:ascii="仿宋" w:hAnsi="仿宋" w:eastAsia="仿宋" w:cs="仿宋"/>
          <w:sz w:val="32"/>
          <w:szCs w:val="32"/>
          <w:shd w:val="clear" w:color="auto" w:fill="FFFFFF"/>
        </w:rPr>
        <w:t>强弱项，补短板，积极争取政府的支持，科学设置村卫生室，形成稳定的村卫生室+稳定的村医收入，确保人民群众能就近就医，为乡村振兴提高良好的农村医疗环境；</w:t>
      </w:r>
      <w:r>
        <w:rPr>
          <w:rFonts w:hint="eastAsia" w:ascii="仿宋" w:hAnsi="仿宋" w:eastAsia="仿宋" w:cs="仿宋"/>
          <w:bCs/>
          <w:sz w:val="32"/>
          <w:szCs w:val="32"/>
          <w:shd w:val="clear" w:color="auto" w:fill="FFFFFF"/>
        </w:rPr>
        <w:t>二是</w:t>
      </w:r>
      <w:r>
        <w:rPr>
          <w:rFonts w:hint="eastAsia" w:ascii="仿宋" w:hAnsi="仿宋" w:eastAsia="仿宋" w:cs="仿宋"/>
          <w:sz w:val="32"/>
          <w:szCs w:val="32"/>
          <w:shd w:val="clear" w:color="auto" w:fill="FFFFFF"/>
        </w:rPr>
        <w:t>充分利用我县县域紧密型医共体试点县的契机，科学谋划，统筹考虑，在医共体政策体系更加完善，保障机制更加健全，建成目标明确、权责清晰、分工协作、有效运行的整合型医疗卫生体系上将基本药物制度在基层医疗机构落地落实，彻底解除以药补医机制，力促本机构门（急）诊人次和住院人次占比较前一年度提升5 个百分点，本机构开展技术、项目的能力不断增加，基本实现“大病不出县、小病不出乡（镇）”。</w:t>
      </w:r>
    </w:p>
    <w:p>
      <w:pPr>
        <w:spacing w:line="600" w:lineRule="exact"/>
        <w:ind w:firstLine="3080" w:firstLineChars="700"/>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90"/>
      <w:bookmarkEnd w:id="92"/>
      <w:bookmarkEnd w:id="93"/>
    </w:p>
    <w:p>
      <w:pPr>
        <w:pStyle w:val="3"/>
        <w:rPr>
          <w:rFonts w:ascii="仿宋" w:hAnsi="仿宋" w:eastAsia="仿宋"/>
          <w:color w:val="000000"/>
        </w:rPr>
      </w:pPr>
      <w:bookmarkStart w:id="94" w:name="_Toc15396619"/>
      <w:bookmarkStart w:id="95" w:name="_Toc52180100"/>
      <w:r>
        <w:rPr>
          <w:rFonts w:hint="eastAsia" w:ascii="仿宋" w:hAnsi="仿宋" w:eastAsia="仿宋"/>
          <w:b w:val="0"/>
          <w:color w:val="000000"/>
        </w:rPr>
        <w:t>一、收</w:t>
      </w:r>
      <w:r>
        <w:rPr>
          <w:rStyle w:val="27"/>
          <w:rFonts w:hint="eastAsia" w:ascii="仿宋" w:hAnsi="仿宋" w:eastAsia="仿宋"/>
          <w:b w:val="0"/>
          <w:bCs w:val="0"/>
        </w:rPr>
        <w:t>入支出决算总表</w:t>
      </w:r>
      <w:bookmarkEnd w:id="94"/>
      <w:bookmarkEnd w:id="95"/>
    </w:p>
    <w:p>
      <w:pPr>
        <w:pStyle w:val="3"/>
        <w:rPr>
          <w:rFonts w:ascii="仿宋" w:hAnsi="仿宋" w:eastAsia="仿宋"/>
          <w:color w:val="000000"/>
        </w:rPr>
      </w:pPr>
      <w:bookmarkStart w:id="96" w:name="_Toc15396620"/>
      <w:bookmarkStart w:id="97" w:name="_Toc52180101"/>
      <w:r>
        <w:rPr>
          <w:rFonts w:hint="eastAsia" w:ascii="仿宋" w:hAnsi="仿宋" w:eastAsia="仿宋"/>
          <w:b w:val="0"/>
          <w:color w:val="000000"/>
        </w:rPr>
        <w:t>二、收</w:t>
      </w:r>
      <w:r>
        <w:rPr>
          <w:rStyle w:val="27"/>
          <w:rFonts w:hint="eastAsia" w:ascii="仿宋" w:hAnsi="仿宋" w:eastAsia="仿宋"/>
          <w:b w:val="0"/>
          <w:bCs w:val="0"/>
        </w:rPr>
        <w:t>入决算表</w:t>
      </w:r>
      <w:bookmarkEnd w:id="96"/>
      <w:bookmarkEnd w:id="97"/>
    </w:p>
    <w:p>
      <w:pPr>
        <w:pStyle w:val="3"/>
        <w:rPr>
          <w:rFonts w:ascii="仿宋" w:hAnsi="仿宋" w:eastAsia="仿宋"/>
          <w:color w:val="000000"/>
        </w:rPr>
      </w:pPr>
      <w:bookmarkStart w:id="98" w:name="_Toc15396621"/>
      <w:bookmarkStart w:id="99" w:name="_Toc52180102"/>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98"/>
      <w:bookmarkEnd w:id="99"/>
    </w:p>
    <w:p>
      <w:pPr>
        <w:pStyle w:val="3"/>
        <w:rPr>
          <w:rFonts w:ascii="仿宋" w:hAnsi="仿宋" w:eastAsia="仿宋"/>
          <w:b w:val="0"/>
          <w:color w:val="000000"/>
        </w:rPr>
      </w:pPr>
      <w:bookmarkStart w:id="100" w:name="_Toc15396622"/>
      <w:bookmarkStart w:id="101" w:name="_Toc52180103"/>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100"/>
      <w:bookmarkEnd w:id="101"/>
    </w:p>
    <w:p>
      <w:pPr>
        <w:pStyle w:val="3"/>
        <w:rPr>
          <w:rStyle w:val="27"/>
          <w:rFonts w:ascii="仿宋" w:hAnsi="仿宋" w:eastAsia="仿宋"/>
          <w:b w:val="0"/>
          <w:bCs w:val="0"/>
        </w:rPr>
      </w:pPr>
      <w:bookmarkStart w:id="102" w:name="_Toc52180104"/>
      <w:bookmarkStart w:id="103"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102"/>
      <w:bookmarkEnd w:id="103"/>
      <w:bookmarkStart w:id="104" w:name="_Toc15396624"/>
    </w:p>
    <w:p>
      <w:pPr>
        <w:pStyle w:val="3"/>
        <w:rPr>
          <w:rFonts w:ascii="仿宋" w:hAnsi="仿宋" w:eastAsia="仿宋"/>
          <w:color w:val="000000"/>
        </w:rPr>
      </w:pPr>
      <w:bookmarkStart w:id="105" w:name="_Toc52180105"/>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104"/>
      <w:bookmarkEnd w:id="105"/>
    </w:p>
    <w:p>
      <w:pPr>
        <w:pStyle w:val="3"/>
        <w:rPr>
          <w:rFonts w:ascii="仿宋" w:hAnsi="仿宋" w:eastAsia="仿宋"/>
          <w:color w:val="000000"/>
        </w:rPr>
      </w:pPr>
      <w:bookmarkStart w:id="106" w:name="_Toc52180106"/>
      <w:bookmarkStart w:id="107"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106"/>
      <w:bookmarkEnd w:id="107"/>
    </w:p>
    <w:p>
      <w:pPr>
        <w:pStyle w:val="3"/>
        <w:rPr>
          <w:rFonts w:ascii="仿宋" w:hAnsi="仿宋" w:eastAsia="仿宋"/>
          <w:color w:val="000000"/>
        </w:rPr>
      </w:pPr>
      <w:bookmarkStart w:id="108" w:name="_Toc15396626"/>
      <w:bookmarkStart w:id="109" w:name="_Toc52180107"/>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108"/>
      <w:bookmarkEnd w:id="109"/>
    </w:p>
    <w:p>
      <w:pPr>
        <w:pStyle w:val="3"/>
        <w:rPr>
          <w:rFonts w:ascii="仿宋" w:hAnsi="仿宋" w:eastAsia="仿宋"/>
          <w:color w:val="000000"/>
        </w:rPr>
      </w:pPr>
      <w:bookmarkStart w:id="110" w:name="_Toc15396627"/>
      <w:bookmarkStart w:id="111" w:name="_Toc52180108"/>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110"/>
      <w:bookmarkEnd w:id="111"/>
    </w:p>
    <w:p>
      <w:pPr>
        <w:pStyle w:val="3"/>
        <w:rPr>
          <w:rFonts w:ascii="仿宋" w:hAnsi="仿宋" w:eastAsia="仿宋"/>
          <w:color w:val="000000"/>
        </w:rPr>
      </w:pPr>
      <w:bookmarkStart w:id="112" w:name="_Toc15396628"/>
      <w:bookmarkStart w:id="113" w:name="_Toc52180109"/>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112"/>
      <w:bookmarkEnd w:id="113"/>
    </w:p>
    <w:p>
      <w:pPr>
        <w:pStyle w:val="3"/>
        <w:rPr>
          <w:rFonts w:ascii="仿宋" w:hAnsi="仿宋" w:eastAsia="仿宋"/>
          <w:color w:val="000000"/>
        </w:rPr>
      </w:pPr>
      <w:bookmarkStart w:id="114" w:name="_Toc52180110"/>
      <w:bookmarkStart w:id="115"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114"/>
      <w:bookmarkEnd w:id="115"/>
    </w:p>
    <w:p>
      <w:pPr>
        <w:pStyle w:val="3"/>
        <w:rPr>
          <w:rStyle w:val="27"/>
          <w:rFonts w:ascii="仿宋" w:hAnsi="仿宋" w:eastAsia="仿宋"/>
          <w:b w:val="0"/>
          <w:bCs w:val="0"/>
        </w:rPr>
      </w:pPr>
      <w:bookmarkStart w:id="116" w:name="_Toc15396630"/>
      <w:bookmarkStart w:id="117" w:name="_Toc52180111"/>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116"/>
      <w:bookmarkEnd w:id="117"/>
      <w:bookmarkStart w:id="118" w:name="_Toc52180112"/>
      <w:bookmarkStart w:id="119" w:name="_Toc15396631"/>
    </w:p>
    <w:p>
      <w:pPr>
        <w:pStyle w:val="3"/>
        <w:rPr>
          <w:rStyle w:val="27"/>
          <w:rFonts w:ascii="仿宋" w:hAnsi="仿宋" w:eastAsia="仿宋"/>
          <w:b w:val="0"/>
          <w:bCs w:val="0"/>
        </w:rPr>
      </w:pPr>
      <w:r>
        <w:rPr>
          <w:rStyle w:val="27"/>
          <w:rFonts w:hint="eastAsia" w:ascii="仿宋" w:hAnsi="仿宋" w:eastAsia="仿宋"/>
          <w:b w:val="0"/>
          <w:bCs w:val="0"/>
        </w:rPr>
        <w:t>十三、</w:t>
      </w:r>
      <w:bookmarkEnd w:id="118"/>
      <w:bookmarkEnd w:id="119"/>
      <w:r>
        <w:rPr>
          <w:rFonts w:hint="eastAsia" w:ascii="仿宋" w:hAnsi="仿宋" w:eastAsia="仿宋"/>
          <w:b w:val="0"/>
          <w:color w:val="000000"/>
        </w:rPr>
        <w:t>国有资本经营预算财政拨款收入支出决算表</w:t>
      </w:r>
    </w:p>
    <w:p>
      <w:pPr>
        <w:rPr>
          <w:rFonts w:eastAsia="仿宋"/>
        </w:rPr>
      </w:pPr>
      <w:r>
        <w:rPr>
          <w:rStyle w:val="27"/>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宋黑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D5228A7"/>
    <w:multiLevelType w:val="singleLevel"/>
    <w:tmpl w:val="DD5228A7"/>
    <w:lvl w:ilvl="0" w:tentative="0">
      <w:start w:val="2"/>
      <w:numFmt w:val="chineseCounting"/>
      <w:suff w:val="nothing"/>
      <w:lvlText w:val="（%1）"/>
      <w:lvlJc w:val="left"/>
      <w:pPr>
        <w:ind w:left="200"/>
      </w:pPr>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ZkMWJhN2YyYWU1ZWRlMWQ0NzVhN2I3YjE2ZmI5YTAifQ=="/>
  </w:docVars>
  <w:rsids>
    <w:rsidRoot w:val="00F1361C"/>
    <w:rsid w:val="00010359"/>
    <w:rsid w:val="00014B99"/>
    <w:rsid w:val="000222C6"/>
    <w:rsid w:val="0002549F"/>
    <w:rsid w:val="00033BA1"/>
    <w:rsid w:val="000468DB"/>
    <w:rsid w:val="00052C86"/>
    <w:rsid w:val="0006487A"/>
    <w:rsid w:val="00065F8F"/>
    <w:rsid w:val="00070A43"/>
    <w:rsid w:val="00070E44"/>
    <w:rsid w:val="000768F2"/>
    <w:rsid w:val="0009184B"/>
    <w:rsid w:val="00094236"/>
    <w:rsid w:val="0009593C"/>
    <w:rsid w:val="000970B3"/>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458D"/>
    <w:rsid w:val="00142216"/>
    <w:rsid w:val="00144D6A"/>
    <w:rsid w:val="0014729F"/>
    <w:rsid w:val="001578F8"/>
    <w:rsid w:val="00157BAB"/>
    <w:rsid w:val="001654D1"/>
    <w:rsid w:val="00174518"/>
    <w:rsid w:val="0018106D"/>
    <w:rsid w:val="001864F8"/>
    <w:rsid w:val="001877A7"/>
    <w:rsid w:val="00191536"/>
    <w:rsid w:val="00196687"/>
    <w:rsid w:val="001B6C70"/>
    <w:rsid w:val="001C0962"/>
    <w:rsid w:val="001D46C7"/>
    <w:rsid w:val="001D49D0"/>
    <w:rsid w:val="001D737A"/>
    <w:rsid w:val="001D7531"/>
    <w:rsid w:val="001E737D"/>
    <w:rsid w:val="001F0592"/>
    <w:rsid w:val="001F4DC1"/>
    <w:rsid w:val="001F7506"/>
    <w:rsid w:val="002006CD"/>
    <w:rsid w:val="00202B36"/>
    <w:rsid w:val="00204B7A"/>
    <w:rsid w:val="00204CDE"/>
    <w:rsid w:val="0021101A"/>
    <w:rsid w:val="00211E59"/>
    <w:rsid w:val="00215EC9"/>
    <w:rsid w:val="00220536"/>
    <w:rsid w:val="002340BC"/>
    <w:rsid w:val="00235629"/>
    <w:rsid w:val="00260C38"/>
    <w:rsid w:val="002616C0"/>
    <w:rsid w:val="00265372"/>
    <w:rsid w:val="002662AA"/>
    <w:rsid w:val="0027318D"/>
    <w:rsid w:val="00280496"/>
    <w:rsid w:val="002820FF"/>
    <w:rsid w:val="00286C24"/>
    <w:rsid w:val="00294DC9"/>
    <w:rsid w:val="00295495"/>
    <w:rsid w:val="002A31DE"/>
    <w:rsid w:val="002B2613"/>
    <w:rsid w:val="002B7A56"/>
    <w:rsid w:val="002D19B0"/>
    <w:rsid w:val="002D3FB0"/>
    <w:rsid w:val="002D6D05"/>
    <w:rsid w:val="002F1818"/>
    <w:rsid w:val="002F567B"/>
    <w:rsid w:val="00301029"/>
    <w:rsid w:val="003216A9"/>
    <w:rsid w:val="00335A74"/>
    <w:rsid w:val="00353438"/>
    <w:rsid w:val="0036561B"/>
    <w:rsid w:val="0037013F"/>
    <w:rsid w:val="00380C92"/>
    <w:rsid w:val="003971EF"/>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243EE"/>
    <w:rsid w:val="00434489"/>
    <w:rsid w:val="00437085"/>
    <w:rsid w:val="00443880"/>
    <w:rsid w:val="004464F4"/>
    <w:rsid w:val="004504F5"/>
    <w:rsid w:val="00465BCE"/>
    <w:rsid w:val="00465F60"/>
    <w:rsid w:val="00471401"/>
    <w:rsid w:val="00473F31"/>
    <w:rsid w:val="00474981"/>
    <w:rsid w:val="0048263A"/>
    <w:rsid w:val="00485143"/>
    <w:rsid w:val="00487E5D"/>
    <w:rsid w:val="004A711F"/>
    <w:rsid w:val="004B199D"/>
    <w:rsid w:val="004B3EA5"/>
    <w:rsid w:val="004B4690"/>
    <w:rsid w:val="004C5B72"/>
    <w:rsid w:val="004D084E"/>
    <w:rsid w:val="004E0A2D"/>
    <w:rsid w:val="004E206B"/>
    <w:rsid w:val="004E6DF7"/>
    <w:rsid w:val="004F0FBD"/>
    <w:rsid w:val="004F403E"/>
    <w:rsid w:val="004F5CA0"/>
    <w:rsid w:val="00505A47"/>
    <w:rsid w:val="00512FDA"/>
    <w:rsid w:val="00520DA0"/>
    <w:rsid w:val="00523B10"/>
    <w:rsid w:val="00543733"/>
    <w:rsid w:val="00547404"/>
    <w:rsid w:val="0056413E"/>
    <w:rsid w:val="005664BB"/>
    <w:rsid w:val="00566FFA"/>
    <w:rsid w:val="0057481D"/>
    <w:rsid w:val="00574A4D"/>
    <w:rsid w:val="00575F0B"/>
    <w:rsid w:val="00575F60"/>
    <w:rsid w:val="0058486E"/>
    <w:rsid w:val="00585B33"/>
    <w:rsid w:val="0059014D"/>
    <w:rsid w:val="005A352A"/>
    <w:rsid w:val="005B5C64"/>
    <w:rsid w:val="005B6C7B"/>
    <w:rsid w:val="005C191C"/>
    <w:rsid w:val="005C6BD0"/>
    <w:rsid w:val="005C6C4C"/>
    <w:rsid w:val="005C7938"/>
    <w:rsid w:val="005D1C8B"/>
    <w:rsid w:val="005D282F"/>
    <w:rsid w:val="005D468D"/>
    <w:rsid w:val="005D5CED"/>
    <w:rsid w:val="005E10BE"/>
    <w:rsid w:val="005F1A17"/>
    <w:rsid w:val="005F1A4C"/>
    <w:rsid w:val="005F3515"/>
    <w:rsid w:val="005F4A69"/>
    <w:rsid w:val="00605688"/>
    <w:rsid w:val="006070AF"/>
    <w:rsid w:val="00607E6C"/>
    <w:rsid w:val="006101B1"/>
    <w:rsid w:val="00614E44"/>
    <w:rsid w:val="0062270A"/>
    <w:rsid w:val="00622830"/>
    <w:rsid w:val="00623A5B"/>
    <w:rsid w:val="00623DA0"/>
    <w:rsid w:val="00630AEF"/>
    <w:rsid w:val="006325F8"/>
    <w:rsid w:val="00633463"/>
    <w:rsid w:val="00634C9A"/>
    <w:rsid w:val="0064103D"/>
    <w:rsid w:val="006440E4"/>
    <w:rsid w:val="006624FA"/>
    <w:rsid w:val="0066343B"/>
    <w:rsid w:val="00664777"/>
    <w:rsid w:val="006748A4"/>
    <w:rsid w:val="00681A31"/>
    <w:rsid w:val="00683E73"/>
    <w:rsid w:val="006A3141"/>
    <w:rsid w:val="006A3261"/>
    <w:rsid w:val="006A5E34"/>
    <w:rsid w:val="006B2422"/>
    <w:rsid w:val="006B2B9A"/>
    <w:rsid w:val="006C1937"/>
    <w:rsid w:val="006F020C"/>
    <w:rsid w:val="006F2798"/>
    <w:rsid w:val="0070545A"/>
    <w:rsid w:val="00706DDF"/>
    <w:rsid w:val="007127B7"/>
    <w:rsid w:val="0071798E"/>
    <w:rsid w:val="00727533"/>
    <w:rsid w:val="007416B6"/>
    <w:rsid w:val="00746F48"/>
    <w:rsid w:val="0075404D"/>
    <w:rsid w:val="00755555"/>
    <w:rsid w:val="00760556"/>
    <w:rsid w:val="0076182A"/>
    <w:rsid w:val="00767B7E"/>
    <w:rsid w:val="00774152"/>
    <w:rsid w:val="007770C3"/>
    <w:rsid w:val="00784D24"/>
    <w:rsid w:val="00785FBA"/>
    <w:rsid w:val="00786E4A"/>
    <w:rsid w:val="007875EB"/>
    <w:rsid w:val="0079426B"/>
    <w:rsid w:val="007A1B2E"/>
    <w:rsid w:val="007D1682"/>
    <w:rsid w:val="007D312A"/>
    <w:rsid w:val="007D3F19"/>
    <w:rsid w:val="007D769B"/>
    <w:rsid w:val="007E23B0"/>
    <w:rsid w:val="007E5342"/>
    <w:rsid w:val="007F1991"/>
    <w:rsid w:val="007F2C2F"/>
    <w:rsid w:val="007F55FC"/>
    <w:rsid w:val="007F5665"/>
    <w:rsid w:val="007F63AF"/>
    <w:rsid w:val="00800112"/>
    <w:rsid w:val="00813348"/>
    <w:rsid w:val="008253BB"/>
    <w:rsid w:val="00833962"/>
    <w:rsid w:val="0083706E"/>
    <w:rsid w:val="00837275"/>
    <w:rsid w:val="008408F6"/>
    <w:rsid w:val="008423A5"/>
    <w:rsid w:val="00850625"/>
    <w:rsid w:val="00853718"/>
    <w:rsid w:val="00855221"/>
    <w:rsid w:val="00860645"/>
    <w:rsid w:val="00871F71"/>
    <w:rsid w:val="00872FD8"/>
    <w:rsid w:val="00873E67"/>
    <w:rsid w:val="00880CDF"/>
    <w:rsid w:val="00885AF4"/>
    <w:rsid w:val="00886964"/>
    <w:rsid w:val="00891CCB"/>
    <w:rsid w:val="008939CD"/>
    <w:rsid w:val="008B768C"/>
    <w:rsid w:val="008C4DB1"/>
    <w:rsid w:val="008C4EAF"/>
    <w:rsid w:val="008C5176"/>
    <w:rsid w:val="008C5E4D"/>
    <w:rsid w:val="008C7FD0"/>
    <w:rsid w:val="008D1E84"/>
    <w:rsid w:val="008D59B1"/>
    <w:rsid w:val="008E1DE7"/>
    <w:rsid w:val="008E707C"/>
    <w:rsid w:val="00900B08"/>
    <w:rsid w:val="00902155"/>
    <w:rsid w:val="00902FA3"/>
    <w:rsid w:val="00923564"/>
    <w:rsid w:val="0092392E"/>
    <w:rsid w:val="00925988"/>
    <w:rsid w:val="009315F9"/>
    <w:rsid w:val="00933499"/>
    <w:rsid w:val="00933B66"/>
    <w:rsid w:val="00935C98"/>
    <w:rsid w:val="00937D69"/>
    <w:rsid w:val="00946945"/>
    <w:rsid w:val="00951248"/>
    <w:rsid w:val="0095152F"/>
    <w:rsid w:val="00954C49"/>
    <w:rsid w:val="00955E37"/>
    <w:rsid w:val="0097099F"/>
    <w:rsid w:val="00971997"/>
    <w:rsid w:val="00971FFC"/>
    <w:rsid w:val="0098660A"/>
    <w:rsid w:val="00992298"/>
    <w:rsid w:val="009931C3"/>
    <w:rsid w:val="00995A35"/>
    <w:rsid w:val="009B2C43"/>
    <w:rsid w:val="009B4EAE"/>
    <w:rsid w:val="009B7573"/>
    <w:rsid w:val="009B7B1A"/>
    <w:rsid w:val="009C22F4"/>
    <w:rsid w:val="009C2E98"/>
    <w:rsid w:val="009C37FB"/>
    <w:rsid w:val="009D3447"/>
    <w:rsid w:val="009D4711"/>
    <w:rsid w:val="009F1185"/>
    <w:rsid w:val="009F18CD"/>
    <w:rsid w:val="009F2A13"/>
    <w:rsid w:val="009F7527"/>
    <w:rsid w:val="00A036C2"/>
    <w:rsid w:val="00A039ED"/>
    <w:rsid w:val="00A04EB0"/>
    <w:rsid w:val="00A13CC1"/>
    <w:rsid w:val="00A16847"/>
    <w:rsid w:val="00A237D8"/>
    <w:rsid w:val="00A268C4"/>
    <w:rsid w:val="00A307CD"/>
    <w:rsid w:val="00A331C8"/>
    <w:rsid w:val="00A35117"/>
    <w:rsid w:val="00A40A00"/>
    <w:rsid w:val="00A4142F"/>
    <w:rsid w:val="00A422EB"/>
    <w:rsid w:val="00A4347B"/>
    <w:rsid w:val="00A45BB7"/>
    <w:rsid w:val="00A56DF2"/>
    <w:rsid w:val="00A56E6E"/>
    <w:rsid w:val="00A61E20"/>
    <w:rsid w:val="00A67AB5"/>
    <w:rsid w:val="00A733B2"/>
    <w:rsid w:val="00A741C2"/>
    <w:rsid w:val="00A91760"/>
    <w:rsid w:val="00A93B00"/>
    <w:rsid w:val="00A93C21"/>
    <w:rsid w:val="00AA2485"/>
    <w:rsid w:val="00AB64C9"/>
    <w:rsid w:val="00AC3C6A"/>
    <w:rsid w:val="00AD0F83"/>
    <w:rsid w:val="00AD5620"/>
    <w:rsid w:val="00AD656B"/>
    <w:rsid w:val="00AD7C1B"/>
    <w:rsid w:val="00AE16BA"/>
    <w:rsid w:val="00AE1EBE"/>
    <w:rsid w:val="00AE55B8"/>
    <w:rsid w:val="00AF07EC"/>
    <w:rsid w:val="00B03C9D"/>
    <w:rsid w:val="00B060AE"/>
    <w:rsid w:val="00B10517"/>
    <w:rsid w:val="00B14E76"/>
    <w:rsid w:val="00B161B8"/>
    <w:rsid w:val="00B2048C"/>
    <w:rsid w:val="00B2214A"/>
    <w:rsid w:val="00B310B9"/>
    <w:rsid w:val="00B315CF"/>
    <w:rsid w:val="00B35F3F"/>
    <w:rsid w:val="00B36CBB"/>
    <w:rsid w:val="00B425E0"/>
    <w:rsid w:val="00B440AA"/>
    <w:rsid w:val="00B44B70"/>
    <w:rsid w:val="00B51873"/>
    <w:rsid w:val="00B53C56"/>
    <w:rsid w:val="00B56B9E"/>
    <w:rsid w:val="00B57DAF"/>
    <w:rsid w:val="00B65A37"/>
    <w:rsid w:val="00B77EA6"/>
    <w:rsid w:val="00B81598"/>
    <w:rsid w:val="00B841F1"/>
    <w:rsid w:val="00B84FD1"/>
    <w:rsid w:val="00B944D6"/>
    <w:rsid w:val="00BB4DF0"/>
    <w:rsid w:val="00BC289F"/>
    <w:rsid w:val="00BC2D50"/>
    <w:rsid w:val="00BC5361"/>
    <w:rsid w:val="00BC5460"/>
    <w:rsid w:val="00BC6B50"/>
    <w:rsid w:val="00BD0E25"/>
    <w:rsid w:val="00BD6CFC"/>
    <w:rsid w:val="00BE1426"/>
    <w:rsid w:val="00BF14D4"/>
    <w:rsid w:val="00BF5BD6"/>
    <w:rsid w:val="00C03E31"/>
    <w:rsid w:val="00C30E69"/>
    <w:rsid w:val="00C31528"/>
    <w:rsid w:val="00C33E72"/>
    <w:rsid w:val="00C354B2"/>
    <w:rsid w:val="00C35554"/>
    <w:rsid w:val="00C42709"/>
    <w:rsid w:val="00C533CC"/>
    <w:rsid w:val="00C540F8"/>
    <w:rsid w:val="00C5751C"/>
    <w:rsid w:val="00C57899"/>
    <w:rsid w:val="00C61BFC"/>
    <w:rsid w:val="00C62B85"/>
    <w:rsid w:val="00C65438"/>
    <w:rsid w:val="00C91CBB"/>
    <w:rsid w:val="00C94E8B"/>
    <w:rsid w:val="00CA111C"/>
    <w:rsid w:val="00CB4E70"/>
    <w:rsid w:val="00CC09B6"/>
    <w:rsid w:val="00CC666F"/>
    <w:rsid w:val="00CD1E3F"/>
    <w:rsid w:val="00CE44F6"/>
    <w:rsid w:val="00CE49DA"/>
    <w:rsid w:val="00CE7B61"/>
    <w:rsid w:val="00CF2C12"/>
    <w:rsid w:val="00D00095"/>
    <w:rsid w:val="00D01D91"/>
    <w:rsid w:val="00D114F0"/>
    <w:rsid w:val="00D20620"/>
    <w:rsid w:val="00D2086D"/>
    <w:rsid w:val="00D23975"/>
    <w:rsid w:val="00D254F7"/>
    <w:rsid w:val="00D26091"/>
    <w:rsid w:val="00D2685C"/>
    <w:rsid w:val="00D34E7C"/>
    <w:rsid w:val="00D35489"/>
    <w:rsid w:val="00D36AFE"/>
    <w:rsid w:val="00D407C3"/>
    <w:rsid w:val="00D51276"/>
    <w:rsid w:val="00D530D2"/>
    <w:rsid w:val="00D54F93"/>
    <w:rsid w:val="00D65C80"/>
    <w:rsid w:val="00D7035F"/>
    <w:rsid w:val="00D85C0A"/>
    <w:rsid w:val="00D868F1"/>
    <w:rsid w:val="00D92060"/>
    <w:rsid w:val="00D931CC"/>
    <w:rsid w:val="00DA634F"/>
    <w:rsid w:val="00DA65AC"/>
    <w:rsid w:val="00DB1913"/>
    <w:rsid w:val="00DB57DE"/>
    <w:rsid w:val="00DC410D"/>
    <w:rsid w:val="00DC5A81"/>
    <w:rsid w:val="00DC68CA"/>
    <w:rsid w:val="00DC7CBA"/>
    <w:rsid w:val="00DD6E34"/>
    <w:rsid w:val="00DD73B7"/>
    <w:rsid w:val="00DF28BC"/>
    <w:rsid w:val="00DF34B9"/>
    <w:rsid w:val="00E01053"/>
    <w:rsid w:val="00E03E54"/>
    <w:rsid w:val="00E07ACF"/>
    <w:rsid w:val="00E331A1"/>
    <w:rsid w:val="00E33202"/>
    <w:rsid w:val="00E336A9"/>
    <w:rsid w:val="00E42F8F"/>
    <w:rsid w:val="00E472B1"/>
    <w:rsid w:val="00E50624"/>
    <w:rsid w:val="00E568DF"/>
    <w:rsid w:val="00E64269"/>
    <w:rsid w:val="00E66797"/>
    <w:rsid w:val="00E702DB"/>
    <w:rsid w:val="00E71898"/>
    <w:rsid w:val="00E82267"/>
    <w:rsid w:val="00E8483C"/>
    <w:rsid w:val="00E853CE"/>
    <w:rsid w:val="00E867B6"/>
    <w:rsid w:val="00E87F08"/>
    <w:rsid w:val="00EA010F"/>
    <w:rsid w:val="00EC463E"/>
    <w:rsid w:val="00EC67F6"/>
    <w:rsid w:val="00ED1B63"/>
    <w:rsid w:val="00ED3C1F"/>
    <w:rsid w:val="00ED4085"/>
    <w:rsid w:val="00ED420E"/>
    <w:rsid w:val="00ED6FBE"/>
    <w:rsid w:val="00EE2F57"/>
    <w:rsid w:val="00EE59D2"/>
    <w:rsid w:val="00EF00A7"/>
    <w:rsid w:val="00EF4C34"/>
    <w:rsid w:val="00EF77C6"/>
    <w:rsid w:val="00F05438"/>
    <w:rsid w:val="00F1066A"/>
    <w:rsid w:val="00F1361C"/>
    <w:rsid w:val="00F156F0"/>
    <w:rsid w:val="00F160C7"/>
    <w:rsid w:val="00F179B6"/>
    <w:rsid w:val="00F2408F"/>
    <w:rsid w:val="00F240E9"/>
    <w:rsid w:val="00F36D8F"/>
    <w:rsid w:val="00F417B1"/>
    <w:rsid w:val="00F45853"/>
    <w:rsid w:val="00F602DF"/>
    <w:rsid w:val="00F6482F"/>
    <w:rsid w:val="00F754A1"/>
    <w:rsid w:val="00F814AA"/>
    <w:rsid w:val="00F81FD9"/>
    <w:rsid w:val="00F841AA"/>
    <w:rsid w:val="00F84A94"/>
    <w:rsid w:val="00F87E96"/>
    <w:rsid w:val="00FA23E8"/>
    <w:rsid w:val="00FD3CC1"/>
    <w:rsid w:val="00FE5F3E"/>
    <w:rsid w:val="00FF160F"/>
    <w:rsid w:val="00FF1E02"/>
    <w:rsid w:val="00FF30B4"/>
    <w:rsid w:val="00FF5503"/>
    <w:rsid w:val="03373246"/>
    <w:rsid w:val="06957AEC"/>
    <w:rsid w:val="07337B69"/>
    <w:rsid w:val="08464D33"/>
    <w:rsid w:val="08FE1CC4"/>
    <w:rsid w:val="0995609A"/>
    <w:rsid w:val="09B0739A"/>
    <w:rsid w:val="0B6C207D"/>
    <w:rsid w:val="0C77642F"/>
    <w:rsid w:val="0D1C65C3"/>
    <w:rsid w:val="0D3150C5"/>
    <w:rsid w:val="0E6F4351"/>
    <w:rsid w:val="0EF36F04"/>
    <w:rsid w:val="0F763BF5"/>
    <w:rsid w:val="10BA3D7B"/>
    <w:rsid w:val="10C055FF"/>
    <w:rsid w:val="120E7CFB"/>
    <w:rsid w:val="12511563"/>
    <w:rsid w:val="13A61C79"/>
    <w:rsid w:val="16BB723D"/>
    <w:rsid w:val="195968B5"/>
    <w:rsid w:val="1A9A1604"/>
    <w:rsid w:val="1BD21602"/>
    <w:rsid w:val="1BFC2F3F"/>
    <w:rsid w:val="1C1D4A21"/>
    <w:rsid w:val="1E1229D7"/>
    <w:rsid w:val="1F4B7147"/>
    <w:rsid w:val="204608D3"/>
    <w:rsid w:val="2054498F"/>
    <w:rsid w:val="2258010A"/>
    <w:rsid w:val="240371BF"/>
    <w:rsid w:val="2404767E"/>
    <w:rsid w:val="25943F53"/>
    <w:rsid w:val="25EE2740"/>
    <w:rsid w:val="289C0894"/>
    <w:rsid w:val="29FD04D3"/>
    <w:rsid w:val="2CC811D6"/>
    <w:rsid w:val="2F53712E"/>
    <w:rsid w:val="30A273D2"/>
    <w:rsid w:val="319F7F4E"/>
    <w:rsid w:val="33A3029E"/>
    <w:rsid w:val="380606B5"/>
    <w:rsid w:val="381B71A5"/>
    <w:rsid w:val="3BF858F5"/>
    <w:rsid w:val="3C1B370B"/>
    <w:rsid w:val="3C91576E"/>
    <w:rsid w:val="3CCF691F"/>
    <w:rsid w:val="3D033887"/>
    <w:rsid w:val="3D2B2E11"/>
    <w:rsid w:val="3F1A6950"/>
    <w:rsid w:val="41C07121"/>
    <w:rsid w:val="43C1754B"/>
    <w:rsid w:val="43D46755"/>
    <w:rsid w:val="475C0ACC"/>
    <w:rsid w:val="47C1483F"/>
    <w:rsid w:val="486D30A5"/>
    <w:rsid w:val="49D86CD8"/>
    <w:rsid w:val="49E10F5B"/>
    <w:rsid w:val="4B0C5AA1"/>
    <w:rsid w:val="4C16725E"/>
    <w:rsid w:val="4DFF0F23"/>
    <w:rsid w:val="4ECE2238"/>
    <w:rsid w:val="4FE32468"/>
    <w:rsid w:val="513676AC"/>
    <w:rsid w:val="521D016A"/>
    <w:rsid w:val="53231B45"/>
    <w:rsid w:val="542D7792"/>
    <w:rsid w:val="58C353BB"/>
    <w:rsid w:val="58E06771"/>
    <w:rsid w:val="58EA562E"/>
    <w:rsid w:val="5B5C5C20"/>
    <w:rsid w:val="5BA01991"/>
    <w:rsid w:val="5C2B0FA2"/>
    <w:rsid w:val="5C83495A"/>
    <w:rsid w:val="5CC36C60"/>
    <w:rsid w:val="5CE71348"/>
    <w:rsid w:val="5CF34F67"/>
    <w:rsid w:val="5E9F7435"/>
    <w:rsid w:val="617A2CAA"/>
    <w:rsid w:val="63566DA6"/>
    <w:rsid w:val="658E065E"/>
    <w:rsid w:val="659F7726"/>
    <w:rsid w:val="66061CE6"/>
    <w:rsid w:val="678348AA"/>
    <w:rsid w:val="67F868B1"/>
    <w:rsid w:val="68473867"/>
    <w:rsid w:val="685170D4"/>
    <w:rsid w:val="68761959"/>
    <w:rsid w:val="6A8B0CBA"/>
    <w:rsid w:val="6B6A3F73"/>
    <w:rsid w:val="6C184C88"/>
    <w:rsid w:val="6D1842F5"/>
    <w:rsid w:val="6DAD2BD6"/>
    <w:rsid w:val="6E4C750A"/>
    <w:rsid w:val="6ECD4178"/>
    <w:rsid w:val="7085449A"/>
    <w:rsid w:val="72734D90"/>
    <w:rsid w:val="76067646"/>
    <w:rsid w:val="76D02D10"/>
    <w:rsid w:val="76EF5084"/>
    <w:rsid w:val="78286BFF"/>
    <w:rsid w:val="78591585"/>
    <w:rsid w:val="78C327A6"/>
    <w:rsid w:val="79A80807"/>
    <w:rsid w:val="79C536E3"/>
    <w:rsid w:val="7CFB3351"/>
    <w:rsid w:val="7DCB3096"/>
    <w:rsid w:val="7F783797"/>
    <w:rsid w:val="7FA145E6"/>
    <w:rsid w:val="7FEB60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unhideWhenUsed/>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Autospacing="1" w:afterAutospacing="1"/>
      <w:jc w:val="left"/>
    </w:pPr>
    <w:rPr>
      <w:kern w:val="0"/>
      <w:sz w:val="24"/>
    </w:rPr>
  </w:style>
  <w:style w:type="character" w:styleId="16">
    <w:name w:val="Strong"/>
    <w:basedOn w:val="15"/>
    <w:qFormat/>
    <w:uiPriority w:val="22"/>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纯文本 Char"/>
    <w:basedOn w:val="15"/>
    <w:link w:val="7"/>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6585-24AB-4566-83FE-00EC49B759D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48</Pages>
  <Words>20288</Words>
  <Characters>22215</Characters>
  <Lines>174</Lines>
  <Paragraphs>49</Paragraphs>
  <TotalTime>76</TotalTime>
  <ScaleCrop>false</ScaleCrop>
  <LinksUpToDate>false</LinksUpToDate>
  <CharactersWithSpaces>22471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2020-10-27T04:37:00Z</dcterms:created>
  <dc:creator>曹颖</dc:creator>
  <cp:lastModifiedBy>张露</cp:lastModifiedBy>
  <cp:lastPrinted>2020-07-23T02:58:00Z</cp:lastPrinted>
  <dcterms:modified xsi:type="dcterms:W3CDTF">2025-01-13T09:05:35Z</dcterms:modified>
  <dc:title>四川省***</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E98C5859D1C2457596DB86429520CBB9</vt:lpwstr>
  </property>
</Properties>
</file>