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DBDBD">
      <w:pPr>
        <w:spacing w:line="600" w:lineRule="exact"/>
        <w:jc w:val="center"/>
        <w:outlineLvl w:val="0"/>
        <w:rPr>
          <w:rFonts w:ascii="方正小标宋简体" w:hAnsi="宋体" w:eastAsia="方正小标宋简体"/>
          <w:sz w:val="72"/>
          <w:szCs w:val="72"/>
        </w:rPr>
      </w:pPr>
      <w:bookmarkStart w:id="0" w:name="_Toc15396475"/>
      <w:bookmarkStart w:id="1" w:name="_Toc15377193"/>
      <w:bookmarkStart w:id="2" w:name="_Toc15377425"/>
      <w:bookmarkStart w:id="3" w:name="_Toc15396597"/>
      <w:bookmarkStart w:id="4" w:name="_Toc15378441"/>
      <w:bookmarkStart w:id="5" w:name="_Toc15306267"/>
    </w:p>
    <w:p w14:paraId="08036E01">
      <w:pPr>
        <w:spacing w:line="600" w:lineRule="exact"/>
        <w:jc w:val="center"/>
        <w:outlineLvl w:val="0"/>
        <w:rPr>
          <w:rFonts w:ascii="方正小标宋简体" w:hAnsi="宋体" w:eastAsia="方正小标宋简体"/>
          <w:sz w:val="72"/>
          <w:szCs w:val="72"/>
        </w:rPr>
      </w:pPr>
    </w:p>
    <w:p w14:paraId="6CD2BC30">
      <w:pPr>
        <w:spacing w:line="600" w:lineRule="exact"/>
        <w:jc w:val="center"/>
        <w:outlineLvl w:val="0"/>
        <w:rPr>
          <w:rFonts w:ascii="方正小标宋简体" w:hAnsi="宋体" w:eastAsia="方正小标宋简体"/>
          <w:sz w:val="72"/>
          <w:szCs w:val="72"/>
        </w:rPr>
      </w:pPr>
    </w:p>
    <w:p w14:paraId="4DC586CB">
      <w:pPr>
        <w:spacing w:line="600" w:lineRule="exact"/>
        <w:jc w:val="center"/>
        <w:outlineLvl w:val="0"/>
        <w:rPr>
          <w:rFonts w:ascii="方正小标宋简体" w:hAnsi="宋体" w:eastAsia="方正小标宋简体"/>
          <w:sz w:val="72"/>
          <w:szCs w:val="72"/>
        </w:rPr>
      </w:pPr>
    </w:p>
    <w:p w14:paraId="5BE3E399">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14:paraId="5F93D61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476"/>
      <w:bookmarkStart w:id="8" w:name="_Toc15396598"/>
      <w:bookmarkStart w:id="9" w:name="_Toc15378442"/>
      <w:bookmarkStart w:id="10" w:name="_Toc15377194"/>
      <w:r>
        <w:rPr>
          <w:rFonts w:hint="eastAsia" w:ascii="方正小标宋简体" w:hAnsi="方正小标宋简体" w:eastAsia="方正小标宋简体" w:cs="方正小标宋简体"/>
          <w:sz w:val="72"/>
          <w:szCs w:val="72"/>
        </w:rPr>
        <w:t>盐边县</w:t>
      </w:r>
      <w:bookmarkEnd w:id="5"/>
      <w:bookmarkStart w:id="11" w:name="_Toc15306268"/>
      <w:r>
        <w:rPr>
          <w:rFonts w:hint="eastAsia" w:ascii="方正小标宋简体" w:hAnsi="方正小标宋简体" w:eastAsia="方正小标宋简体" w:cs="方正小标宋简体"/>
          <w:sz w:val="72"/>
          <w:szCs w:val="72"/>
        </w:rPr>
        <w:t>人民法院部门决算</w:t>
      </w:r>
      <w:bookmarkEnd w:id="6"/>
      <w:bookmarkEnd w:id="7"/>
      <w:bookmarkEnd w:id="8"/>
      <w:bookmarkEnd w:id="9"/>
      <w:bookmarkEnd w:id="10"/>
      <w:bookmarkEnd w:id="11"/>
    </w:p>
    <w:p w14:paraId="63C1AA70">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6F3A4B3D">
      <w:pPr>
        <w:widowControl/>
        <w:jc w:val="center"/>
        <w:rPr>
          <w:rFonts w:ascii="黑体" w:hAnsi="黑体" w:eastAsia="黑体" w:cstheme="minorBidi"/>
          <w:sz w:val="28"/>
          <w:szCs w:val="28"/>
        </w:rPr>
      </w:pPr>
    </w:p>
    <w:p w14:paraId="4691AE0B">
      <w:pPr>
        <w:pStyle w:val="11"/>
      </w:pPr>
      <w:r>
        <w:rPr>
          <w:rFonts w:hint="eastAsia"/>
        </w:rPr>
        <w:t>公开时间：2022年10月20日</w:t>
      </w:r>
    </w:p>
    <w:p w14:paraId="05E9E115"/>
    <w:p w14:paraId="5FDC5BCB">
      <w:pPr>
        <w:pStyle w:val="11"/>
        <w:adjustRightInd w:val="0"/>
        <w:snapToGrid w:val="0"/>
        <w:spacing w:before="0" w:line="440" w:lineRule="exact"/>
        <w:jc w:val="left"/>
        <w:rPr>
          <w:rFonts w:cstheme="minorBidi"/>
          <w:sz w:val="24"/>
          <w:szCs w:val="24"/>
        </w:rPr>
      </w:pPr>
      <w:r>
        <w:rPr>
          <w:rFonts w:hint="eastAsia"/>
          <w:sz w:val="24"/>
        </w:rPr>
        <w:t>第一部分部门概况</w:t>
      </w:r>
      <w:r>
        <w:rPr>
          <w:rFonts w:ascii="宋体" w:hAnsi="宋体" w:cs="Arial"/>
          <w:kern w:val="0"/>
          <w:sz w:val="18"/>
          <w:szCs w:val="18"/>
        </w:rPr>
        <w:t>…………………………………………………………………………………</w:t>
      </w:r>
      <w:r>
        <w:rPr>
          <w:rFonts w:hint="eastAsia" w:ascii="宋体" w:hAnsi="宋体" w:cs="Arial"/>
          <w:kern w:val="0"/>
          <w:sz w:val="18"/>
          <w:szCs w:val="18"/>
        </w:rPr>
        <w:t>4</w:t>
      </w:r>
    </w:p>
    <w:p w14:paraId="3260DD11">
      <w:pPr>
        <w:pStyle w:val="12"/>
        <w:adjustRightInd w:val="0"/>
        <w:snapToGrid w:val="0"/>
        <w:spacing w:line="440" w:lineRule="exact"/>
        <w:jc w:val="left"/>
        <w:rPr>
          <w:rFonts w:ascii="仿宋" w:hAnsi="仿宋" w:eastAsia="仿宋"/>
          <w:sz w:val="24"/>
        </w:rPr>
      </w:pPr>
      <w:r>
        <w:rPr>
          <w:rFonts w:hint="eastAsia"/>
          <w:sz w:val="24"/>
        </w:rPr>
        <w:t>一、基本职能及主要工作</w:t>
      </w:r>
      <w:r>
        <w:rPr>
          <w:rFonts w:ascii="宋体" w:hAnsi="宋体" w:cs="Arial"/>
          <w:kern w:val="0"/>
          <w:sz w:val="18"/>
          <w:szCs w:val="18"/>
        </w:rPr>
        <w:t>…………………………………………………………………</w:t>
      </w:r>
      <w:r>
        <w:rPr>
          <w:rFonts w:hint="eastAsia" w:ascii="宋体" w:hAnsi="宋体" w:cs="Arial"/>
          <w:kern w:val="0"/>
          <w:sz w:val="18"/>
          <w:szCs w:val="18"/>
        </w:rPr>
        <w:t>4</w:t>
      </w:r>
    </w:p>
    <w:p w14:paraId="2308E9E4">
      <w:pPr>
        <w:pStyle w:val="12"/>
        <w:adjustRightInd w:val="0"/>
        <w:snapToGrid w:val="0"/>
        <w:spacing w:line="440" w:lineRule="exact"/>
        <w:jc w:val="left"/>
        <w:rPr>
          <w:rFonts w:ascii="仿宋" w:hAnsi="仿宋" w:eastAsia="仿宋" w:cstheme="minorBidi"/>
          <w:sz w:val="24"/>
        </w:rPr>
      </w:pPr>
      <w:r>
        <w:rPr>
          <w:rFonts w:hint="eastAsia"/>
          <w:sz w:val="24"/>
        </w:rPr>
        <w:t>二、机构设置</w:t>
      </w:r>
      <w:r>
        <w:rPr>
          <w:rFonts w:ascii="宋体" w:hAnsi="宋体" w:cs="Arial"/>
          <w:kern w:val="0"/>
          <w:sz w:val="18"/>
          <w:szCs w:val="18"/>
        </w:rPr>
        <w:t>……………………………………………………………………………………</w:t>
      </w:r>
      <w:r>
        <w:rPr>
          <w:rFonts w:hint="eastAsia" w:ascii="宋体" w:hAnsi="宋体" w:cs="Arial"/>
          <w:kern w:val="0"/>
          <w:sz w:val="18"/>
          <w:szCs w:val="18"/>
        </w:rPr>
        <w:t>6</w:t>
      </w:r>
    </w:p>
    <w:p w14:paraId="2F266CB2">
      <w:pPr>
        <w:pStyle w:val="11"/>
        <w:adjustRightInd w:val="0"/>
        <w:snapToGrid w:val="0"/>
        <w:spacing w:before="0" w:line="440" w:lineRule="exact"/>
        <w:jc w:val="left"/>
        <w:rPr>
          <w:sz w:val="24"/>
          <w:szCs w:val="24"/>
        </w:rPr>
      </w:pPr>
      <w:r>
        <w:rPr>
          <w:rFonts w:hint="eastAsia"/>
          <w:sz w:val="24"/>
        </w:rPr>
        <w:t>第二部分 2021年度部门决算情况说明</w:t>
      </w:r>
      <w:r>
        <w:rPr>
          <w:rFonts w:ascii="宋体" w:hAnsi="宋体" w:cs="Arial"/>
          <w:kern w:val="0"/>
          <w:sz w:val="18"/>
          <w:szCs w:val="18"/>
        </w:rPr>
        <w:t>……………………………………………………</w:t>
      </w:r>
      <w:r>
        <w:rPr>
          <w:rFonts w:hint="eastAsia" w:ascii="宋体" w:hAnsi="宋体" w:cs="Arial"/>
          <w:kern w:val="0"/>
          <w:sz w:val="18"/>
          <w:szCs w:val="18"/>
        </w:rPr>
        <w:t>7</w:t>
      </w:r>
    </w:p>
    <w:p w14:paraId="72718558">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ascii="宋体" w:hAnsi="宋体" w:cs="Arial"/>
          <w:kern w:val="0"/>
          <w:sz w:val="18"/>
          <w:szCs w:val="18"/>
        </w:rPr>
        <w:t>………………………………………………………</w:t>
      </w:r>
      <w:r>
        <w:rPr>
          <w:rFonts w:hint="eastAsia" w:ascii="宋体" w:hAnsi="宋体" w:cs="Arial"/>
          <w:kern w:val="0"/>
          <w:sz w:val="18"/>
          <w:szCs w:val="18"/>
        </w:rPr>
        <w:t>7</w:t>
      </w:r>
    </w:p>
    <w:p w14:paraId="69A35D5C">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rFonts w:ascii="宋体" w:hAnsi="宋体" w:cs="Arial"/>
          <w:kern w:val="0"/>
          <w:sz w:val="18"/>
          <w:szCs w:val="18"/>
        </w:rPr>
        <w:t>………………………………………………………………………</w:t>
      </w:r>
      <w:r>
        <w:rPr>
          <w:rFonts w:hint="eastAsia" w:ascii="宋体" w:hAnsi="宋体" w:cs="Arial"/>
          <w:kern w:val="0"/>
          <w:sz w:val="18"/>
          <w:szCs w:val="18"/>
        </w:rPr>
        <w:t>7</w:t>
      </w:r>
    </w:p>
    <w:p w14:paraId="34A5E6BA">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r>
        <w:rPr>
          <w:rFonts w:ascii="宋体" w:hAnsi="宋体" w:cs="Arial"/>
          <w:kern w:val="0"/>
          <w:sz w:val="18"/>
          <w:szCs w:val="18"/>
        </w:rPr>
        <w:t>………………………………………………………………………</w:t>
      </w:r>
      <w:r>
        <w:rPr>
          <w:rFonts w:hint="eastAsia" w:ascii="宋体" w:hAnsi="宋体" w:cs="Arial"/>
          <w:kern w:val="0"/>
          <w:sz w:val="18"/>
          <w:szCs w:val="18"/>
        </w:rPr>
        <w:t>8</w:t>
      </w:r>
    </w:p>
    <w:p w14:paraId="7D0A6804">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ascii="宋体" w:hAnsi="宋体" w:cs="Arial"/>
          <w:kern w:val="0"/>
          <w:sz w:val="18"/>
          <w:szCs w:val="18"/>
        </w:rPr>
        <w:t>…………………………………………</w:t>
      </w:r>
      <w:r>
        <w:rPr>
          <w:rFonts w:hint="eastAsia" w:ascii="宋体" w:hAnsi="宋体" w:cs="Arial"/>
          <w:kern w:val="0"/>
          <w:sz w:val="18"/>
          <w:szCs w:val="18"/>
        </w:rPr>
        <w:t>9</w:t>
      </w:r>
    </w:p>
    <w:p w14:paraId="16F509F6">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ascii="宋体" w:hAnsi="宋体" w:cs="Arial"/>
          <w:kern w:val="0"/>
          <w:sz w:val="18"/>
          <w:szCs w:val="18"/>
        </w:rPr>
        <w:t>…………………………………</w:t>
      </w:r>
      <w:r>
        <w:rPr>
          <w:rFonts w:hint="eastAsia" w:ascii="宋体" w:hAnsi="宋体" w:cs="Arial"/>
          <w:kern w:val="0"/>
          <w:sz w:val="18"/>
          <w:szCs w:val="18"/>
        </w:rPr>
        <w:t>10</w:t>
      </w:r>
    </w:p>
    <w:p w14:paraId="7797A30F">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ascii="宋体" w:hAnsi="宋体" w:cs="Arial"/>
          <w:kern w:val="0"/>
          <w:sz w:val="18"/>
          <w:szCs w:val="18"/>
        </w:rPr>
        <w:t>…………………………</w:t>
      </w:r>
      <w:r>
        <w:rPr>
          <w:rFonts w:hint="eastAsia" w:ascii="宋体" w:hAnsi="宋体" w:cs="Arial"/>
          <w:kern w:val="0"/>
          <w:sz w:val="18"/>
          <w:szCs w:val="18"/>
        </w:rPr>
        <w:t>13</w:t>
      </w:r>
    </w:p>
    <w:p w14:paraId="575E329F">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r>
        <w:rPr>
          <w:rFonts w:ascii="宋体" w:hAnsi="宋体" w:cs="Arial"/>
          <w:kern w:val="0"/>
          <w:sz w:val="18"/>
          <w:szCs w:val="18"/>
        </w:rPr>
        <w:t>…………………………………</w:t>
      </w:r>
      <w:r>
        <w:rPr>
          <w:rFonts w:hint="eastAsia" w:ascii="宋体" w:hAnsi="宋体" w:cs="Arial"/>
          <w:kern w:val="0"/>
          <w:sz w:val="18"/>
          <w:szCs w:val="18"/>
        </w:rPr>
        <w:t>13</w:t>
      </w:r>
    </w:p>
    <w:p w14:paraId="144ACC9B">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ascii="宋体" w:hAnsi="宋体" w:cs="Arial"/>
          <w:kern w:val="0"/>
          <w:sz w:val="18"/>
          <w:szCs w:val="18"/>
        </w:rPr>
        <w:t>……………………………………………</w:t>
      </w:r>
      <w:r>
        <w:rPr>
          <w:rFonts w:hint="eastAsia" w:ascii="宋体" w:hAnsi="宋体" w:cs="Arial"/>
          <w:kern w:val="0"/>
          <w:sz w:val="18"/>
          <w:szCs w:val="18"/>
        </w:rPr>
        <w:t>15</w:t>
      </w:r>
    </w:p>
    <w:p w14:paraId="72B991BE">
      <w:pPr>
        <w:pStyle w:val="12"/>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ascii="宋体" w:hAnsi="宋体" w:cs="Arial"/>
          <w:kern w:val="0"/>
          <w:sz w:val="18"/>
          <w:szCs w:val="18"/>
        </w:rPr>
        <w:t>…………………………………………</w:t>
      </w:r>
      <w:r>
        <w:rPr>
          <w:rFonts w:hint="eastAsia" w:ascii="宋体" w:hAnsi="宋体" w:cs="Arial"/>
          <w:kern w:val="0"/>
          <w:sz w:val="18"/>
          <w:szCs w:val="18"/>
        </w:rPr>
        <w:t>15</w:t>
      </w:r>
    </w:p>
    <w:p w14:paraId="6308E7F8">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6"/>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ascii="宋体" w:hAnsi="宋体" w:cs="Arial"/>
          <w:kern w:val="0"/>
          <w:sz w:val="18"/>
          <w:szCs w:val="18"/>
        </w:rPr>
        <w:t>……………………………………………………………</w:t>
      </w:r>
      <w:r>
        <w:rPr>
          <w:rFonts w:hint="eastAsia" w:ascii="宋体" w:hAnsi="宋体" w:cs="Arial"/>
          <w:kern w:val="0"/>
          <w:sz w:val="18"/>
          <w:szCs w:val="18"/>
        </w:rPr>
        <w:t>15</w:t>
      </w:r>
      <w:r>
        <w:rPr>
          <w:rFonts w:hint="eastAsia" w:asciiTheme="minorEastAsia" w:hAnsiTheme="minorEastAsia" w:eastAsiaTheme="minorEastAsia" w:cstheme="minorEastAsia"/>
          <w:sz w:val="24"/>
        </w:rPr>
        <w:tab/>
      </w:r>
    </w:p>
    <w:p w14:paraId="2E076CF9">
      <w:pPr>
        <w:pStyle w:val="11"/>
        <w:adjustRightInd w:val="0"/>
        <w:snapToGrid w:val="0"/>
        <w:spacing w:before="0" w:line="440" w:lineRule="exact"/>
        <w:jc w:val="left"/>
        <w:rPr>
          <w:rFonts w:cstheme="minorBidi"/>
          <w:sz w:val="24"/>
          <w:szCs w:val="24"/>
        </w:rPr>
      </w:pPr>
      <w:r>
        <w:rPr>
          <w:rFonts w:hint="eastAsia"/>
          <w:sz w:val="24"/>
        </w:rPr>
        <w:t>第三部分名词解释</w:t>
      </w:r>
      <w:r>
        <w:rPr>
          <w:rFonts w:ascii="宋体" w:hAnsi="宋体" w:cs="Arial"/>
          <w:kern w:val="0"/>
          <w:sz w:val="18"/>
          <w:szCs w:val="18"/>
        </w:rPr>
        <w:t>……………………………………………………………………………………</w:t>
      </w:r>
      <w:r>
        <w:rPr>
          <w:rFonts w:hint="eastAsia" w:ascii="宋体" w:hAnsi="宋体" w:cs="Arial"/>
          <w:kern w:val="0"/>
          <w:sz w:val="18"/>
          <w:szCs w:val="18"/>
        </w:rPr>
        <w:t>17</w:t>
      </w:r>
    </w:p>
    <w:p w14:paraId="4B24E94F">
      <w:pPr>
        <w:pStyle w:val="11"/>
        <w:adjustRightInd w:val="0"/>
        <w:snapToGrid w:val="0"/>
        <w:spacing w:before="0" w:line="440" w:lineRule="exact"/>
        <w:jc w:val="left"/>
        <w:rPr>
          <w:rFonts w:cstheme="minorBidi"/>
          <w:sz w:val="24"/>
          <w:szCs w:val="24"/>
        </w:rPr>
      </w:pPr>
      <w:r>
        <w:rPr>
          <w:rFonts w:hint="eastAsia"/>
          <w:sz w:val="24"/>
        </w:rPr>
        <w:t>第四部分附件</w:t>
      </w:r>
      <w:r>
        <w:rPr>
          <w:rFonts w:ascii="宋体" w:hAnsi="宋体" w:cs="Arial"/>
          <w:kern w:val="0"/>
          <w:sz w:val="18"/>
          <w:szCs w:val="18"/>
        </w:rPr>
        <w:t>……………………………………………………………………………………………</w:t>
      </w:r>
      <w:r>
        <w:rPr>
          <w:rFonts w:hint="eastAsia" w:ascii="宋体" w:hAnsi="宋体" w:cs="Arial"/>
          <w:kern w:val="0"/>
          <w:sz w:val="18"/>
          <w:szCs w:val="18"/>
        </w:rPr>
        <w:t>21</w:t>
      </w:r>
    </w:p>
    <w:p w14:paraId="1381A0F9">
      <w:pPr>
        <w:pStyle w:val="11"/>
        <w:adjustRightInd w:val="0"/>
        <w:snapToGrid w:val="0"/>
        <w:spacing w:before="0" w:line="440" w:lineRule="exact"/>
        <w:jc w:val="left"/>
        <w:rPr>
          <w:rFonts w:cstheme="minorBidi"/>
          <w:sz w:val="24"/>
          <w:szCs w:val="24"/>
        </w:rPr>
      </w:pPr>
      <w:r>
        <w:rPr>
          <w:rFonts w:hint="eastAsia"/>
          <w:sz w:val="24"/>
        </w:rPr>
        <w:t>第五部分附表</w:t>
      </w:r>
      <w:r>
        <w:rPr>
          <w:rFonts w:ascii="宋体" w:hAnsi="宋体" w:cs="Arial"/>
          <w:kern w:val="0"/>
          <w:sz w:val="18"/>
          <w:szCs w:val="18"/>
        </w:rPr>
        <w:t>……………………………………………………………………………………………</w:t>
      </w:r>
      <w:r>
        <w:rPr>
          <w:rFonts w:hint="eastAsia" w:ascii="宋体" w:hAnsi="宋体" w:cs="Arial"/>
          <w:kern w:val="0"/>
          <w:sz w:val="18"/>
          <w:szCs w:val="18"/>
        </w:rPr>
        <w:t>35</w:t>
      </w:r>
    </w:p>
    <w:p w14:paraId="1CBEC2C6">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r>
        <w:rPr>
          <w:rFonts w:ascii="宋体" w:hAnsi="宋体" w:cs="Arial"/>
          <w:kern w:val="0"/>
          <w:sz w:val="18"/>
          <w:szCs w:val="18"/>
        </w:rPr>
        <w:t>………………………………………………………………………</w:t>
      </w:r>
      <w:r>
        <w:rPr>
          <w:rFonts w:hint="eastAsia" w:ascii="宋体" w:hAnsi="宋体" w:cs="Arial"/>
          <w:kern w:val="0"/>
          <w:sz w:val="18"/>
          <w:szCs w:val="18"/>
        </w:rPr>
        <w:t>35</w:t>
      </w:r>
    </w:p>
    <w:p w14:paraId="5FC476B3">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r>
        <w:rPr>
          <w:rFonts w:ascii="宋体" w:hAnsi="宋体" w:cs="Arial"/>
          <w:kern w:val="0"/>
          <w:sz w:val="18"/>
          <w:szCs w:val="18"/>
        </w:rPr>
        <w:t>…………………………………………………………………………………</w:t>
      </w:r>
      <w:r>
        <w:rPr>
          <w:rFonts w:hint="eastAsia" w:ascii="宋体" w:hAnsi="宋体" w:cs="Arial"/>
          <w:kern w:val="0"/>
          <w:sz w:val="18"/>
          <w:szCs w:val="18"/>
        </w:rPr>
        <w:t>35</w:t>
      </w:r>
    </w:p>
    <w:p w14:paraId="48D003D8">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r>
        <w:rPr>
          <w:rFonts w:ascii="宋体" w:hAnsi="宋体" w:cs="Arial"/>
          <w:kern w:val="0"/>
          <w:sz w:val="18"/>
          <w:szCs w:val="18"/>
        </w:rPr>
        <w:t>…………………………………………………………………………………</w:t>
      </w:r>
      <w:r>
        <w:rPr>
          <w:rFonts w:hint="eastAsia" w:ascii="宋体" w:hAnsi="宋体" w:cs="Arial"/>
          <w:kern w:val="0"/>
          <w:sz w:val="18"/>
          <w:szCs w:val="18"/>
        </w:rPr>
        <w:t>35</w:t>
      </w:r>
    </w:p>
    <w:p w14:paraId="222A99EB">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r>
        <w:rPr>
          <w:rFonts w:ascii="宋体" w:hAnsi="宋体" w:cs="Arial"/>
          <w:kern w:val="0"/>
          <w:sz w:val="18"/>
          <w:szCs w:val="18"/>
        </w:rPr>
        <w:t>…………………………………………………………</w:t>
      </w:r>
      <w:r>
        <w:rPr>
          <w:rFonts w:hint="eastAsia" w:ascii="宋体" w:hAnsi="宋体" w:cs="Arial"/>
          <w:kern w:val="0"/>
          <w:sz w:val="18"/>
          <w:szCs w:val="18"/>
        </w:rPr>
        <w:t>35</w:t>
      </w:r>
    </w:p>
    <w:p w14:paraId="287FE0CE">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r>
        <w:rPr>
          <w:rFonts w:ascii="宋体" w:hAnsi="宋体" w:cs="Arial"/>
          <w:kern w:val="0"/>
          <w:sz w:val="18"/>
          <w:szCs w:val="18"/>
        </w:rPr>
        <w:t>………………………………………………………………</w:t>
      </w:r>
      <w:r>
        <w:rPr>
          <w:rFonts w:hint="eastAsia" w:ascii="宋体" w:hAnsi="宋体" w:cs="Arial"/>
          <w:kern w:val="0"/>
          <w:sz w:val="18"/>
          <w:szCs w:val="18"/>
        </w:rPr>
        <w:t>35</w:t>
      </w:r>
    </w:p>
    <w:p w14:paraId="7FBDDE8F">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r>
        <w:rPr>
          <w:rFonts w:ascii="宋体" w:hAnsi="宋体" w:cs="Arial"/>
          <w:kern w:val="0"/>
          <w:sz w:val="18"/>
          <w:szCs w:val="18"/>
        </w:rPr>
        <w:t>…………………………………………………</w:t>
      </w:r>
      <w:r>
        <w:rPr>
          <w:rFonts w:hint="eastAsia" w:ascii="宋体" w:hAnsi="宋体" w:cs="Arial"/>
          <w:kern w:val="0"/>
          <w:sz w:val="18"/>
          <w:szCs w:val="18"/>
        </w:rPr>
        <w:t>35</w:t>
      </w:r>
    </w:p>
    <w:p w14:paraId="02B4257B">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r>
        <w:rPr>
          <w:rFonts w:ascii="宋体" w:hAnsi="宋体" w:cs="Arial"/>
          <w:kern w:val="0"/>
          <w:sz w:val="18"/>
          <w:szCs w:val="18"/>
        </w:rPr>
        <w:t>…………………………………………</w:t>
      </w:r>
      <w:r>
        <w:rPr>
          <w:rFonts w:hint="eastAsia" w:ascii="宋体" w:hAnsi="宋体" w:cs="Arial"/>
          <w:kern w:val="0"/>
          <w:sz w:val="18"/>
          <w:szCs w:val="18"/>
        </w:rPr>
        <w:t>35</w:t>
      </w:r>
    </w:p>
    <w:p w14:paraId="5C8325DA">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r>
        <w:rPr>
          <w:rFonts w:ascii="宋体" w:hAnsi="宋体" w:cs="Arial"/>
          <w:kern w:val="0"/>
          <w:sz w:val="18"/>
          <w:szCs w:val="18"/>
        </w:rPr>
        <w:t>…………………………………………</w:t>
      </w:r>
      <w:r>
        <w:rPr>
          <w:rFonts w:hint="eastAsia" w:ascii="宋体" w:hAnsi="宋体" w:cs="Arial"/>
          <w:kern w:val="0"/>
          <w:sz w:val="18"/>
          <w:szCs w:val="18"/>
        </w:rPr>
        <w:t>35</w:t>
      </w:r>
    </w:p>
    <w:p w14:paraId="220E5888">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r>
        <w:rPr>
          <w:rFonts w:ascii="宋体" w:hAnsi="宋体" w:cs="Arial"/>
          <w:kern w:val="0"/>
          <w:sz w:val="18"/>
          <w:szCs w:val="18"/>
        </w:rPr>
        <w:t>…………………………………………</w:t>
      </w:r>
      <w:r>
        <w:rPr>
          <w:rFonts w:hint="eastAsia" w:ascii="宋体" w:hAnsi="宋体" w:cs="Arial"/>
          <w:kern w:val="0"/>
          <w:sz w:val="18"/>
          <w:szCs w:val="18"/>
        </w:rPr>
        <w:t>35</w:t>
      </w:r>
    </w:p>
    <w:p w14:paraId="38B68FC9">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r>
        <w:rPr>
          <w:rFonts w:ascii="宋体" w:hAnsi="宋体" w:cs="Arial"/>
          <w:kern w:val="0"/>
          <w:sz w:val="18"/>
          <w:szCs w:val="18"/>
        </w:rPr>
        <w:t>………………………………</w:t>
      </w:r>
      <w:r>
        <w:rPr>
          <w:rFonts w:hint="eastAsia" w:ascii="宋体" w:hAnsi="宋体" w:cs="Arial"/>
          <w:kern w:val="0"/>
          <w:sz w:val="18"/>
          <w:szCs w:val="18"/>
        </w:rPr>
        <w:t>35</w:t>
      </w:r>
    </w:p>
    <w:p w14:paraId="66DD3747">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r>
        <w:rPr>
          <w:rFonts w:ascii="宋体" w:hAnsi="宋体" w:cs="Arial"/>
          <w:kern w:val="0"/>
          <w:sz w:val="18"/>
          <w:szCs w:val="18"/>
        </w:rPr>
        <w:t>………………………………………</w:t>
      </w:r>
      <w:r>
        <w:rPr>
          <w:rFonts w:hint="eastAsia" w:ascii="宋体" w:hAnsi="宋体" w:cs="Arial"/>
          <w:kern w:val="0"/>
          <w:sz w:val="18"/>
          <w:szCs w:val="18"/>
        </w:rPr>
        <w:t>35</w:t>
      </w:r>
    </w:p>
    <w:p w14:paraId="58EF3850">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r>
        <w:rPr>
          <w:rFonts w:ascii="宋体" w:hAnsi="宋体" w:cs="Arial"/>
          <w:kern w:val="0"/>
          <w:sz w:val="18"/>
          <w:szCs w:val="18"/>
        </w:rPr>
        <w:t>…………………………</w:t>
      </w:r>
      <w:r>
        <w:rPr>
          <w:rFonts w:hint="eastAsia" w:ascii="宋体" w:hAnsi="宋体" w:cs="Arial"/>
          <w:kern w:val="0"/>
          <w:sz w:val="18"/>
          <w:szCs w:val="18"/>
        </w:rPr>
        <w:t>35</w:t>
      </w:r>
    </w:p>
    <w:p w14:paraId="1F742FE6">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r>
        <w:rPr>
          <w:rFonts w:ascii="宋体" w:hAnsi="宋体" w:cs="Arial"/>
          <w:kern w:val="0"/>
          <w:sz w:val="18"/>
          <w:szCs w:val="18"/>
        </w:rPr>
        <w:t>……………………………………</w:t>
      </w:r>
      <w:r>
        <w:rPr>
          <w:rFonts w:hint="eastAsia" w:ascii="宋体" w:hAnsi="宋体" w:cs="Arial"/>
          <w:kern w:val="0"/>
          <w:sz w:val="18"/>
          <w:szCs w:val="18"/>
        </w:rPr>
        <w:t>35</w:t>
      </w:r>
    </w:p>
    <w:p w14:paraId="23F81097">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r>
        <w:rPr>
          <w:rFonts w:ascii="宋体" w:hAnsi="宋体" w:cs="Arial"/>
          <w:kern w:val="0"/>
          <w:sz w:val="18"/>
          <w:szCs w:val="18"/>
        </w:rPr>
        <w:t>…………………………………………</w:t>
      </w:r>
      <w:r>
        <w:rPr>
          <w:rFonts w:hint="eastAsia" w:ascii="宋体" w:hAnsi="宋体" w:cs="Arial"/>
          <w:kern w:val="0"/>
          <w:sz w:val="18"/>
          <w:szCs w:val="18"/>
        </w:rPr>
        <w:t>35</w:t>
      </w:r>
    </w:p>
    <w:p w14:paraId="7116E40E">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3D7167A6">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14:paraId="22E18C99">
      <w:pPr>
        <w:widowControl/>
        <w:jc w:val="left"/>
        <w:rPr>
          <w:rFonts w:ascii="黑体" w:eastAsia="黑体"/>
          <w:sz w:val="32"/>
          <w:szCs w:val="32"/>
        </w:rPr>
      </w:pPr>
    </w:p>
    <w:p w14:paraId="566A6C98">
      <w:pPr>
        <w:pStyle w:val="4"/>
        <w:rPr>
          <w:rStyle w:val="26"/>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14:paraId="0DEF2290">
      <w:pPr>
        <w:pStyle w:val="2"/>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sz w:val="32"/>
          <w:szCs w:val="32"/>
        </w:rPr>
        <w:t>（一）主要职能。</w:t>
      </w:r>
      <w:bookmarkEnd w:id="16"/>
      <w:bookmarkEnd w:id="17"/>
    </w:p>
    <w:p w14:paraId="14A8D240">
      <w:pPr>
        <w:pStyle w:val="2"/>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kern w:val="2"/>
          <w:sz w:val="32"/>
          <w:szCs w:val="32"/>
        </w:rPr>
        <w:t>我院属审判机关，主要负责案件审判工作。一是审判法律规定、上级人民法院指定由县法院管辖以及县法院认为应当由自己审判的刑事、民事、行政等第一审案件，二是审查处理不服本院判决各类申诉案。三是监督指导人民法庭的审判工作。四是依法行使司法执行权和司法决定权。五是管理协调本院的审</w:t>
      </w:r>
      <w:r>
        <w:rPr>
          <w:rFonts w:hint="eastAsia" w:ascii="仿宋" w:hAnsi="仿宋" w:eastAsia="仿宋"/>
          <w:color w:val="000000"/>
          <w:sz w:val="32"/>
          <w:szCs w:val="32"/>
        </w:rPr>
        <w:t>判和执行工作。六是负责全院思想政治、教育培训工作，按照权限管理法官和其他人员，主管本院的监察工作；领导院直属单位和群团工作。七是管理本法院的有关经费和物资装备。八是结合审判工作宣传法制，教育公民遵守宪法和法律。九是承办其他应由本院负责的工作。十是派出机构及职责。派出法庭有四个，分别是红格法庭、渔门法庭、共和法庭、永兴法庭，依法审理和执行辖区内一般的民事案件、指导人民调解委员会工作及办</w:t>
      </w:r>
      <w:r>
        <w:rPr>
          <w:rFonts w:hint="eastAsia" w:ascii="仿宋" w:hAnsi="仿宋" w:eastAsia="仿宋"/>
          <w:sz w:val="32"/>
          <w:szCs w:val="32"/>
        </w:rPr>
        <w:t>理法庭审判工作有关的其他事项</w:t>
      </w:r>
      <w:r>
        <w:rPr>
          <w:rFonts w:hint="eastAsia" w:ascii="仿宋" w:hAnsi="仿宋" w:eastAsia="仿宋"/>
          <w:color w:val="000000"/>
          <w:sz w:val="32"/>
          <w:szCs w:val="32"/>
        </w:rPr>
        <w:t>。</w:t>
      </w:r>
    </w:p>
    <w:p w14:paraId="7469B4B3">
      <w:pPr>
        <w:pStyle w:val="2"/>
        <w:adjustRightInd w:val="0"/>
        <w:snapToGrid w:val="0"/>
        <w:spacing w:before="93" w:line="600" w:lineRule="exact"/>
        <w:ind w:firstLine="640" w:firstLineChars="200"/>
        <w:outlineLvl w:val="2"/>
        <w:rPr>
          <w:rFonts w:ascii="仿宋" w:hAnsi="仿宋" w:eastAsia="仿宋"/>
          <w:color w:val="000000"/>
          <w:sz w:val="32"/>
          <w:szCs w:val="32"/>
        </w:rPr>
      </w:pPr>
      <w:bookmarkStart w:id="18" w:name="_Toc15378446"/>
      <w:bookmarkStart w:id="19" w:name="_Toc15377199"/>
      <w:r>
        <w:rPr>
          <w:rFonts w:hint="eastAsia" w:ascii="仿宋" w:hAnsi="仿宋" w:eastAsia="仿宋"/>
          <w:color w:val="000000"/>
          <w:sz w:val="32"/>
          <w:szCs w:val="32"/>
        </w:rPr>
        <w:t>（二）2021年重点工作完成情况。</w:t>
      </w:r>
      <w:bookmarkEnd w:id="18"/>
      <w:bookmarkEnd w:id="19"/>
    </w:p>
    <w:p w14:paraId="566B4334">
      <w:pPr>
        <w:pStyle w:val="2"/>
        <w:numPr>
          <w:ilvl w:val="0"/>
          <w:numId w:val="1"/>
        </w:numPr>
        <w:adjustRightInd w:val="0"/>
        <w:snapToGrid w:val="0"/>
        <w:spacing w:before="93" w:line="600" w:lineRule="exact"/>
        <w:ind w:firstLine="640" w:firstLineChars="200"/>
        <w:outlineLvl w:val="2"/>
        <w:rPr>
          <w:rFonts w:ascii="仿宋" w:hAnsi="仿宋" w:eastAsia="仿宋"/>
          <w:color w:val="000000"/>
          <w:sz w:val="32"/>
          <w:szCs w:val="32"/>
        </w:rPr>
      </w:pPr>
      <w:r>
        <w:rPr>
          <w:rFonts w:hint="eastAsia" w:ascii="仿宋" w:hAnsi="仿宋" w:eastAsia="仿宋"/>
          <w:color w:val="000000"/>
          <w:sz w:val="32"/>
          <w:szCs w:val="32"/>
        </w:rPr>
        <w:t>优化法治营商环境。积极参与“国富丽景”等问题楼盘化解处置，为梅山湾等3家煤矿采矿权价款退还事宜提供司法建议。强化府院联动，积极协调解决涉博越工贸、银星煤业、伟健熔炼等企业拖欠农民工工资问题。全力配合丰源矿业公司破产重整，及时做好协调推进。</w:t>
      </w:r>
    </w:p>
    <w:p w14:paraId="73D7A04E">
      <w:pPr>
        <w:pStyle w:val="2"/>
        <w:numPr>
          <w:ilvl w:val="0"/>
          <w:numId w:val="1"/>
        </w:numPr>
        <w:adjustRightInd w:val="0"/>
        <w:snapToGrid w:val="0"/>
        <w:spacing w:before="93" w:line="600" w:lineRule="exact"/>
        <w:ind w:firstLine="640" w:firstLineChars="200"/>
        <w:outlineLvl w:val="2"/>
        <w:rPr>
          <w:rFonts w:ascii="仿宋" w:hAnsi="仿宋" w:eastAsia="仿宋"/>
          <w:color w:val="000000"/>
          <w:sz w:val="32"/>
          <w:szCs w:val="32"/>
        </w:rPr>
      </w:pPr>
      <w:r>
        <w:rPr>
          <w:rFonts w:hint="eastAsia" w:ascii="仿宋" w:hAnsi="仿宋" w:eastAsia="仿宋"/>
          <w:color w:val="000000"/>
          <w:sz w:val="32"/>
          <w:szCs w:val="32"/>
        </w:rPr>
        <w:t>积极推进市域社会治理现代化。着力推进社会矛盾纠纷多元化解，全面加强在线调解工作。积极推动人民法庭“一庭一特色，一庭一品牌”打造工作，因地制宜谋划人民法庭布局。立足多民族融合现状，在渔门法庭成立全市首家“石榴籽”调解室，聘请少数民族调解员。</w:t>
      </w:r>
    </w:p>
    <w:p w14:paraId="3FC63B6C">
      <w:pPr>
        <w:pStyle w:val="2"/>
        <w:numPr>
          <w:ilvl w:val="0"/>
          <w:numId w:val="1"/>
        </w:numPr>
        <w:adjustRightInd w:val="0"/>
        <w:snapToGrid w:val="0"/>
        <w:spacing w:before="93" w:line="600" w:lineRule="exact"/>
        <w:ind w:firstLine="640" w:firstLineChars="200"/>
        <w:outlineLvl w:val="2"/>
        <w:rPr>
          <w:rFonts w:ascii="仿宋" w:hAnsi="仿宋" w:eastAsia="仿宋"/>
          <w:color w:val="000000"/>
          <w:sz w:val="32"/>
          <w:szCs w:val="32"/>
        </w:rPr>
      </w:pPr>
      <w:r>
        <w:rPr>
          <w:rFonts w:hint="eastAsia" w:ascii="仿宋" w:hAnsi="仿宋" w:eastAsia="仿宋"/>
          <w:color w:val="000000"/>
          <w:sz w:val="32"/>
          <w:szCs w:val="32"/>
        </w:rPr>
        <w:t>深度参与社会治理。常态化开展扫黑除恶斗争，审结涉黑恶案件，追缴、没收违法所得。深入推进禁毒斗争，审理涉毒品犯罪案件，严守全民禁毒防线。坚决打击金融领域犯罪，高效执行涉网络赌博犯罪案件，追缴违法所得。聚焦森林草原防灭火专项整治，组织干警参加卡点值守。服务保障乡村振兴，选派干警到渔门镇鳡鱼村驻村帮扶，帮扶村被评为四川省乡村振兴重点帮扶优秀村。</w:t>
      </w:r>
    </w:p>
    <w:p w14:paraId="39ABB5F5">
      <w:pPr>
        <w:pStyle w:val="2"/>
        <w:numPr>
          <w:ilvl w:val="0"/>
          <w:numId w:val="1"/>
        </w:numPr>
        <w:adjustRightInd w:val="0"/>
        <w:snapToGrid w:val="0"/>
        <w:spacing w:before="93" w:line="600" w:lineRule="exact"/>
        <w:ind w:firstLine="640" w:firstLineChars="200"/>
        <w:outlineLvl w:val="2"/>
        <w:rPr>
          <w:rFonts w:ascii="仿宋" w:hAnsi="仿宋" w:eastAsia="仿宋"/>
          <w:color w:val="000000"/>
          <w:sz w:val="32"/>
          <w:szCs w:val="32"/>
        </w:rPr>
      </w:pPr>
      <w:r>
        <w:rPr>
          <w:rFonts w:hint="eastAsia" w:ascii="仿宋" w:hAnsi="仿宋" w:eastAsia="仿宋"/>
          <w:color w:val="000000"/>
          <w:sz w:val="32"/>
          <w:szCs w:val="32"/>
        </w:rPr>
        <w:t>建设智慧法院，用科技强办案力量。新建3套科技法庭和1套庭审语音录入系统，进一步提升庭审的流畅性、准确性。坚持科学谋划、合理布局，高效完成“六专四室”规范化建设。常态化推进“四大公开”平台建设，上网公开裁判文书3806份，全程同步直播庭审918件，让司法更透明。</w:t>
      </w:r>
    </w:p>
    <w:p w14:paraId="10EF167E">
      <w:pPr>
        <w:pStyle w:val="2"/>
        <w:numPr>
          <w:ilvl w:val="0"/>
          <w:numId w:val="1"/>
        </w:numPr>
        <w:adjustRightInd w:val="0"/>
        <w:snapToGrid w:val="0"/>
        <w:spacing w:before="93" w:line="600" w:lineRule="exact"/>
        <w:ind w:firstLine="640" w:firstLineChars="200"/>
        <w:outlineLvl w:val="2"/>
        <w:rPr>
          <w:rFonts w:ascii="仿宋" w:hAnsi="仿宋" w:eastAsia="仿宋"/>
          <w:color w:val="000000"/>
          <w:sz w:val="32"/>
          <w:szCs w:val="32"/>
        </w:rPr>
      </w:pPr>
      <w:r>
        <w:rPr>
          <w:rFonts w:hint="eastAsia" w:ascii="仿宋" w:hAnsi="仿宋" w:eastAsia="仿宋"/>
          <w:color w:val="000000"/>
          <w:sz w:val="32"/>
          <w:szCs w:val="32"/>
        </w:rPr>
        <w:t>完善内控制度，提高行政运行效率。2021年度，在政法队伍教育整顿期间，我院完善内控制度16项，加强对全院干警的制度学习，有利于相关制度的贯彻执行，有效提高行政运行效率。</w:t>
      </w:r>
    </w:p>
    <w:p w14:paraId="040C2BC6">
      <w:pPr>
        <w:pStyle w:val="2"/>
        <w:numPr>
          <w:ilvl w:val="0"/>
          <w:numId w:val="1"/>
        </w:numPr>
        <w:adjustRightInd w:val="0"/>
        <w:snapToGrid w:val="0"/>
        <w:spacing w:before="93" w:line="600" w:lineRule="exact"/>
        <w:ind w:firstLine="640" w:firstLineChars="200"/>
        <w:outlineLvl w:val="2"/>
        <w:rPr>
          <w:rFonts w:ascii="仿宋" w:hAnsi="仿宋" w:eastAsia="仿宋"/>
          <w:color w:val="000000"/>
          <w:sz w:val="32"/>
          <w:szCs w:val="32"/>
        </w:rPr>
      </w:pPr>
      <w:r>
        <w:rPr>
          <w:rFonts w:hint="eastAsia" w:ascii="仿宋" w:hAnsi="仿宋" w:eastAsia="仿宋"/>
          <w:color w:val="000000"/>
          <w:sz w:val="32"/>
          <w:szCs w:val="32"/>
        </w:rPr>
        <w:t>真抓实学，深入开展党史学习教育。认真开展党史学习教育，把“四史”学习与习近平法治思想、习近平总书记“七一”重要讲话、十九届六中全会精神学习贯穿始终。坚持学习教育常态化，院领导组织分管部门开展专题学习及分组讨论26次，全体干警自学党史</w:t>
      </w:r>
      <w:r>
        <w:rPr>
          <w:rFonts w:hint="eastAsia" w:ascii="仿宋" w:hAnsi="仿宋" w:eastAsia="仿宋"/>
          <w:color w:val="000000"/>
          <w:sz w:val="32"/>
          <w:szCs w:val="32"/>
          <w:lang w:eastAsia="zh-CN"/>
        </w:rPr>
        <w:t>学习</w:t>
      </w:r>
      <w:bookmarkStart w:id="73" w:name="_GoBack"/>
      <w:bookmarkEnd w:id="73"/>
      <w:r>
        <w:rPr>
          <w:rFonts w:hint="eastAsia" w:ascii="仿宋" w:hAnsi="仿宋" w:eastAsia="仿宋"/>
          <w:color w:val="000000"/>
          <w:sz w:val="32"/>
          <w:szCs w:val="32"/>
        </w:rPr>
        <w:t>教育篇目共计200余篇，抓实抓细学习效果。院领导班子以身作则，带头讲授专题党课16次，参加党史专题讲座15次，以“关键少数”引领“全员覆盖”，让党史学习见行见效。</w:t>
      </w:r>
    </w:p>
    <w:p w14:paraId="06653241">
      <w:pPr>
        <w:pStyle w:val="4"/>
        <w:numPr>
          <w:ilvl w:val="0"/>
          <w:numId w:val="2"/>
        </w:numPr>
      </w:pPr>
      <w:bookmarkStart w:id="20" w:name="_Toc15396601"/>
      <w:bookmarkStart w:id="21" w:name="_Toc15377200"/>
      <w:r>
        <w:rPr>
          <w:rFonts w:hint="eastAsia" w:ascii="黑体" w:hAnsi="黑体" w:eastAsia="黑体"/>
          <w:b w:val="0"/>
        </w:rPr>
        <w:t>机</w:t>
      </w:r>
      <w:r>
        <w:rPr>
          <w:rStyle w:val="26"/>
          <w:rFonts w:hint="eastAsia" w:ascii="黑体" w:hAnsi="黑体" w:eastAsia="黑体"/>
          <w:b w:val="0"/>
          <w:bCs w:val="0"/>
        </w:rPr>
        <w:t>构设置</w:t>
      </w:r>
      <w:bookmarkEnd w:id="20"/>
      <w:bookmarkEnd w:id="21"/>
    </w:p>
    <w:p w14:paraId="5DF301A3">
      <w:pPr>
        <w:ind w:firstLine="800" w:firstLineChars="250"/>
        <w:rPr>
          <w:rFonts w:ascii="仿宋" w:hAnsi="仿宋" w:eastAsia="仿宋"/>
          <w:kern w:val="0"/>
          <w:sz w:val="32"/>
          <w:szCs w:val="32"/>
        </w:rPr>
      </w:pPr>
      <w:r>
        <w:rPr>
          <w:rFonts w:hint="eastAsia" w:ascii="仿宋" w:hAnsi="仿宋" w:eastAsia="仿宋"/>
          <w:color w:val="000000"/>
          <w:kern w:val="0"/>
          <w:sz w:val="32"/>
          <w:szCs w:val="32"/>
        </w:rPr>
        <w:t>盐边县人民法院下属二级单位0个，其中行政单位0个，参照公务员法管理的事业单位0个，其他事业单位0个。</w:t>
      </w:r>
      <w:r>
        <w:rPr>
          <w:rFonts w:ascii="仿宋" w:hAnsi="仿宋" w:eastAsia="仿宋"/>
          <w:sz w:val="32"/>
          <w:szCs w:val="32"/>
        </w:rPr>
        <w:br w:type="page"/>
      </w:r>
    </w:p>
    <w:p w14:paraId="4E587693">
      <w:pPr>
        <w:pStyle w:val="3"/>
        <w:ind w:right="440"/>
        <w:jc w:val="center"/>
        <w:rPr>
          <w:rStyle w:val="25"/>
          <w:rFonts w:ascii="黑体" w:hAnsi="黑体" w:eastAsia="黑体"/>
          <w:b w:val="0"/>
          <w:bCs/>
        </w:rPr>
      </w:pPr>
      <w:bookmarkStart w:id="22" w:name="_Toc15396602"/>
      <w:bookmarkStart w:id="23" w:name="_Toc15377204"/>
      <w:r>
        <w:rPr>
          <w:rFonts w:hint="eastAsia" w:ascii="黑体" w:hAnsi="黑体" w:eastAsia="黑体"/>
          <w:b w:val="0"/>
        </w:rPr>
        <w:t>第二部分 2021年度</w:t>
      </w:r>
      <w:r>
        <w:rPr>
          <w:rStyle w:val="25"/>
          <w:rFonts w:hint="eastAsia" w:ascii="黑体" w:hAnsi="黑体" w:eastAsia="黑体"/>
          <w:b w:val="0"/>
          <w:bCs/>
        </w:rPr>
        <w:t>部门决算情况说明</w:t>
      </w:r>
      <w:bookmarkEnd w:id="22"/>
      <w:bookmarkEnd w:id="23"/>
    </w:p>
    <w:p w14:paraId="4BCD497D"/>
    <w:p w14:paraId="3FDF29D7">
      <w:pPr>
        <w:pStyle w:val="24"/>
        <w:numPr>
          <w:ilvl w:val="0"/>
          <w:numId w:val="3"/>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14:paraId="3084B443">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2021年度收入2369.19万元，与2020年收入</w:t>
      </w:r>
      <w:r>
        <w:rPr>
          <w:rFonts w:hint="eastAsia" w:ascii="仿宋" w:hAnsi="仿宋" w:eastAsia="仿宋"/>
          <w:kern w:val="0"/>
          <w:sz w:val="32"/>
          <w:szCs w:val="32"/>
        </w:rPr>
        <w:t>2201.39</w:t>
      </w:r>
      <w:r>
        <w:rPr>
          <w:rFonts w:ascii="仿宋" w:hAnsi="仿宋" w:eastAsia="仿宋"/>
          <w:kern w:val="0"/>
          <w:sz w:val="32"/>
          <w:szCs w:val="32"/>
        </w:rPr>
        <w:t>万元</w:t>
      </w:r>
      <w:r>
        <w:rPr>
          <w:rFonts w:hint="eastAsia" w:ascii="仿宋" w:hAnsi="仿宋" w:eastAsia="仿宋"/>
          <w:sz w:val="32"/>
          <w:szCs w:val="32"/>
        </w:rPr>
        <w:t>相比，增加了167.8万元，增长了7.62%；2021年度支出2702.2万元，与2020年支出</w:t>
      </w:r>
      <w:r>
        <w:rPr>
          <w:rFonts w:hint="eastAsia" w:ascii="仿宋" w:hAnsi="仿宋" w:eastAsia="仿宋"/>
          <w:kern w:val="0"/>
          <w:sz w:val="32"/>
          <w:szCs w:val="32"/>
        </w:rPr>
        <w:t>2182.74万元相比，增加了519.46万元，增长了23.8%。</w:t>
      </w:r>
      <w:r>
        <w:rPr>
          <w:rFonts w:hint="eastAsia" w:ascii="仿宋" w:hAnsi="仿宋" w:eastAsia="仿宋"/>
          <w:sz w:val="32"/>
          <w:szCs w:val="32"/>
        </w:rPr>
        <w:t>主要变动原因是</w:t>
      </w:r>
      <w:r>
        <w:rPr>
          <w:rFonts w:ascii="仿宋" w:hAnsi="仿宋" w:eastAsia="仿宋"/>
          <w:kern w:val="0"/>
          <w:sz w:val="32"/>
          <w:szCs w:val="32"/>
        </w:rPr>
        <w:t>本年</w:t>
      </w:r>
      <w:r>
        <w:rPr>
          <w:rFonts w:hint="eastAsia" w:ascii="仿宋" w:hAnsi="仿宋" w:eastAsia="仿宋"/>
          <w:kern w:val="0"/>
          <w:sz w:val="32"/>
          <w:szCs w:val="32"/>
        </w:rPr>
        <w:t>支付永兴法庭和县审判大楼工程款以及正常的调资增加导致收入与支出较上年都有所增加。</w:t>
      </w:r>
    </w:p>
    <w:p w14:paraId="3777A854">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789DEA0D">
      <w:pPr>
        <w:pStyle w:val="2"/>
        <w:spacing w:before="93"/>
        <w:ind w:left="1058" w:leftChars="504"/>
        <w:rPr>
          <w:rFonts w:eastAsia="仿宋"/>
        </w:rPr>
      </w:pPr>
      <w:r>
        <w:rPr>
          <w:rFonts w:hint="eastAsia" w:eastAsia="仿宋"/>
        </w:rPr>
        <w:drawing>
          <wp:inline distT="0" distB="0" distL="114300" distR="114300">
            <wp:extent cx="3977005" cy="2115820"/>
            <wp:effectExtent l="4445" t="4445" r="19050" b="1333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00E8412">
      <w:pPr>
        <w:pStyle w:val="2"/>
        <w:spacing w:before="93"/>
        <w:ind w:left="1058" w:leftChars="504"/>
        <w:rPr>
          <w:rFonts w:eastAsia="仿宋"/>
        </w:rPr>
      </w:pPr>
    </w:p>
    <w:p w14:paraId="6C46A039">
      <w:pPr>
        <w:pStyle w:val="24"/>
        <w:numPr>
          <w:ilvl w:val="0"/>
          <w:numId w:val="3"/>
        </w:numPr>
        <w:spacing w:line="600" w:lineRule="exact"/>
        <w:ind w:firstLineChars="0"/>
        <w:outlineLvl w:val="1"/>
        <w:rPr>
          <w:rFonts w:ascii="仿宋" w:hAnsi="仿宋" w:eastAsia="仿宋"/>
          <w:sz w:val="32"/>
          <w:szCs w:val="32"/>
        </w:rPr>
      </w:pPr>
      <w:bookmarkStart w:id="26" w:name="_Toc15396604"/>
      <w:bookmarkStart w:id="27" w:name="_Toc15377206"/>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14:paraId="5CA7F0D2">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21年本年收入合计2369.19万元，其中：一般公共预算财政拨款收入2369.19万元，占100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66388131">
      <w:pPr>
        <w:spacing w:line="600" w:lineRule="exact"/>
        <w:ind w:firstLine="1920" w:firstLineChars="600"/>
        <w:rPr>
          <w:rFonts w:ascii="仿宋" w:hAnsi="仿宋" w:eastAsia="仿宋"/>
          <w:sz w:val="32"/>
          <w:szCs w:val="32"/>
        </w:rPr>
      </w:pPr>
      <w:r>
        <w:rPr>
          <w:rFonts w:hint="eastAsia" w:ascii="仿宋" w:hAnsi="仿宋" w:eastAsia="仿宋"/>
          <w:sz w:val="32"/>
          <w:szCs w:val="32"/>
        </w:rPr>
        <w:t>（图2：收入决算结构图）（饼状图）</w:t>
      </w:r>
    </w:p>
    <w:p w14:paraId="683D9FFF">
      <w:pPr>
        <w:pStyle w:val="2"/>
        <w:spacing w:before="93"/>
        <w:ind w:left="420" w:leftChars="200"/>
        <w:rPr>
          <w:rFonts w:eastAsia="仿宋"/>
        </w:rPr>
      </w:pPr>
      <w:r>
        <w:rPr>
          <w:rFonts w:hint="eastAsia" w:eastAsia="仿宋"/>
        </w:rPr>
        <w:drawing>
          <wp:inline distT="0" distB="0" distL="114300" distR="114300">
            <wp:extent cx="5275580" cy="2646680"/>
            <wp:effectExtent l="4445" t="4445" r="15875" b="158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1F7AA0">
      <w:pPr>
        <w:pStyle w:val="2"/>
        <w:spacing w:before="93"/>
        <w:ind w:left="420" w:leftChars="200"/>
        <w:rPr>
          <w:rFonts w:eastAsia="仿宋"/>
        </w:rPr>
      </w:pPr>
    </w:p>
    <w:p w14:paraId="363AC28A">
      <w:pPr>
        <w:pStyle w:val="24"/>
        <w:numPr>
          <w:ilvl w:val="0"/>
          <w:numId w:val="3"/>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14:paraId="5016607F">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21年本年支出合计2702.2万元，其中：基本支出1867.97万元，占69.13</w:t>
      </w:r>
      <w:r>
        <w:rPr>
          <w:rFonts w:ascii="仿宋" w:hAnsi="仿宋" w:eastAsia="仿宋"/>
          <w:sz w:val="32"/>
          <w:szCs w:val="32"/>
        </w:rPr>
        <w:t>%</w:t>
      </w:r>
      <w:r>
        <w:rPr>
          <w:rFonts w:hint="eastAsia" w:ascii="仿宋" w:hAnsi="仿宋" w:eastAsia="仿宋"/>
          <w:sz w:val="32"/>
          <w:szCs w:val="32"/>
        </w:rPr>
        <w:t>；项目支出834.23万元，占30.87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12A4F131">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（图3：支出决算结构图）（饼状图）</w:t>
      </w:r>
    </w:p>
    <w:p w14:paraId="4EE634AE">
      <w:pPr>
        <w:pStyle w:val="2"/>
        <w:spacing w:before="93"/>
        <w:ind w:left="1680" w:leftChars="800"/>
        <w:rPr>
          <w:rFonts w:eastAsia="仿宋"/>
        </w:rPr>
      </w:pPr>
      <w:r>
        <w:rPr>
          <w:rFonts w:hint="eastAsia" w:eastAsia="仿宋"/>
        </w:rPr>
        <w:drawing>
          <wp:inline distT="0" distB="0" distL="114300" distR="114300">
            <wp:extent cx="3928110" cy="2106295"/>
            <wp:effectExtent l="4445" t="5080" r="10795" b="222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EC474A">
      <w:pPr>
        <w:pStyle w:val="2"/>
        <w:spacing w:before="93"/>
        <w:ind w:left="1680" w:leftChars="800"/>
        <w:rPr>
          <w:rFonts w:eastAsia="仿宋"/>
        </w:rPr>
      </w:pPr>
    </w:p>
    <w:p w14:paraId="351F40EF">
      <w:pPr>
        <w:spacing w:line="600" w:lineRule="exact"/>
        <w:ind w:firstLine="640" w:firstLineChars="200"/>
        <w:rPr>
          <w:rFonts w:ascii="仿宋_GB2312" w:eastAsia="仿宋_GB2312"/>
          <w:sz w:val="32"/>
          <w:szCs w:val="32"/>
        </w:rPr>
      </w:pPr>
    </w:p>
    <w:p w14:paraId="5CEB41AD">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14:paraId="11C9A3B2">
      <w:pPr>
        <w:spacing w:line="600" w:lineRule="exact"/>
        <w:ind w:firstLine="640" w:firstLineChars="200"/>
        <w:rPr>
          <w:rFonts w:ascii="仿宋" w:hAnsi="仿宋" w:eastAsia="仿宋"/>
          <w:kern w:val="0"/>
          <w:sz w:val="32"/>
          <w:szCs w:val="32"/>
        </w:rPr>
      </w:pPr>
      <w:r>
        <w:rPr>
          <w:rFonts w:ascii="仿宋" w:hAnsi="仿宋" w:eastAsia="仿宋"/>
          <w:sz w:val="32"/>
          <w:szCs w:val="32"/>
        </w:rPr>
        <w:t>20</w:t>
      </w:r>
      <w:r>
        <w:rPr>
          <w:rFonts w:hint="eastAsia" w:ascii="仿宋" w:hAnsi="仿宋" w:eastAsia="仿宋"/>
          <w:sz w:val="32"/>
          <w:szCs w:val="32"/>
        </w:rPr>
        <w:t>21年财政拨款收、支总计2702.2万元，与</w:t>
      </w:r>
      <w:r>
        <w:rPr>
          <w:rFonts w:ascii="仿宋" w:hAnsi="仿宋" w:eastAsia="仿宋"/>
          <w:sz w:val="32"/>
          <w:szCs w:val="32"/>
        </w:rPr>
        <w:t>20</w:t>
      </w:r>
      <w:r>
        <w:rPr>
          <w:rFonts w:hint="eastAsia" w:ascii="仿宋" w:hAnsi="仿宋" w:eastAsia="仿宋"/>
          <w:sz w:val="32"/>
          <w:szCs w:val="32"/>
        </w:rPr>
        <w:t>20年收、支总计</w:t>
      </w:r>
      <w:r>
        <w:rPr>
          <w:rFonts w:hint="eastAsia" w:ascii="仿宋" w:hAnsi="仿宋" w:eastAsia="仿宋"/>
          <w:kern w:val="0"/>
          <w:sz w:val="32"/>
          <w:szCs w:val="32"/>
        </w:rPr>
        <w:t>2515.39万元</w:t>
      </w:r>
      <w:r>
        <w:rPr>
          <w:rFonts w:hint="eastAsia" w:ascii="仿宋" w:hAnsi="仿宋" w:eastAsia="仿宋"/>
          <w:sz w:val="32"/>
          <w:szCs w:val="32"/>
        </w:rPr>
        <w:t>相比，财政拨款收入增加186.81万元，增长7.43</w:t>
      </w:r>
      <w:r>
        <w:rPr>
          <w:rFonts w:ascii="仿宋" w:hAnsi="仿宋" w:eastAsia="仿宋"/>
          <w:sz w:val="32"/>
          <w:szCs w:val="32"/>
        </w:rPr>
        <w:t>%</w:t>
      </w:r>
      <w:r>
        <w:rPr>
          <w:rFonts w:hint="eastAsia" w:ascii="仿宋" w:hAnsi="仿宋" w:eastAsia="仿宋"/>
          <w:sz w:val="32"/>
          <w:szCs w:val="32"/>
        </w:rPr>
        <w:t>；财政拨款支出增加186.81万元，增长7.43</w:t>
      </w:r>
      <w:r>
        <w:rPr>
          <w:rFonts w:ascii="仿宋" w:hAnsi="仿宋" w:eastAsia="仿宋"/>
          <w:sz w:val="32"/>
          <w:szCs w:val="32"/>
        </w:rPr>
        <w:t>%</w:t>
      </w:r>
      <w:r>
        <w:rPr>
          <w:rFonts w:hint="eastAsia" w:ascii="仿宋" w:hAnsi="仿宋" w:eastAsia="仿宋"/>
          <w:sz w:val="32"/>
          <w:szCs w:val="32"/>
        </w:rPr>
        <w:t>。主要变动原因是</w:t>
      </w:r>
      <w:r>
        <w:rPr>
          <w:rFonts w:ascii="仿宋" w:hAnsi="仿宋" w:eastAsia="仿宋"/>
          <w:kern w:val="0"/>
          <w:sz w:val="32"/>
          <w:szCs w:val="32"/>
        </w:rPr>
        <w:t>本年</w:t>
      </w:r>
      <w:r>
        <w:rPr>
          <w:rFonts w:hint="eastAsia" w:ascii="仿宋" w:hAnsi="仿宋" w:eastAsia="仿宋"/>
          <w:kern w:val="0"/>
          <w:sz w:val="32"/>
          <w:szCs w:val="32"/>
        </w:rPr>
        <w:t>支付永兴法庭和县审判大楼工程款以及正常的调资导致收入支出较上年都有所增加。</w:t>
      </w:r>
    </w:p>
    <w:p w14:paraId="4CB85AB7">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2FA50F00">
      <w:pPr>
        <w:pStyle w:val="2"/>
        <w:spacing w:before="93"/>
        <w:ind w:left="840" w:leftChars="400"/>
        <w:rPr>
          <w:rFonts w:ascii="仿宋" w:hAnsi="仿宋" w:eastAsia="仿宋"/>
          <w:b/>
          <w:sz w:val="32"/>
          <w:szCs w:val="32"/>
        </w:rPr>
      </w:pPr>
      <w:r>
        <w:rPr>
          <w:rFonts w:hint="eastAsia" w:eastAsia="仿宋"/>
        </w:rPr>
        <w:drawing>
          <wp:inline distT="0" distB="0" distL="114300" distR="114300">
            <wp:extent cx="4537075" cy="2534285"/>
            <wp:effectExtent l="4445" t="4445" r="11430"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3232CE">
      <w:pPr>
        <w:pStyle w:val="2"/>
        <w:spacing w:before="93"/>
        <w:ind w:left="840" w:leftChars="400"/>
        <w:rPr>
          <w:rFonts w:ascii="仿宋" w:hAnsi="仿宋" w:eastAsia="仿宋"/>
          <w:b/>
          <w:sz w:val="32"/>
          <w:szCs w:val="32"/>
        </w:rPr>
      </w:pPr>
    </w:p>
    <w:p w14:paraId="149005F0">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14:paraId="0DA147D7">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14:paraId="4B6CCAE5">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21年一般公共预算财政拨款支出2702.2万元，占本年支出合计的100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w:t>
      </w:r>
      <w:r>
        <w:rPr>
          <w:rFonts w:hint="eastAsia" w:ascii="仿宋" w:hAnsi="仿宋" w:eastAsia="仿宋"/>
          <w:kern w:val="0"/>
          <w:sz w:val="32"/>
          <w:szCs w:val="32"/>
        </w:rPr>
        <w:t>2182.75</w:t>
      </w:r>
      <w:r>
        <w:rPr>
          <w:rFonts w:hint="eastAsia" w:ascii="仿宋" w:hAnsi="仿宋" w:eastAsia="仿宋"/>
          <w:sz w:val="32"/>
          <w:szCs w:val="32"/>
        </w:rPr>
        <w:t>相比，一般公共预算财政拨款支出增加519.45万元，增长23.80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kern w:val="0"/>
          <w:sz w:val="32"/>
          <w:szCs w:val="32"/>
        </w:rPr>
        <w:t>正常的调资增加导致支出增加，本年支付永兴法庭建设和县审判大楼工程款。</w:t>
      </w:r>
    </w:p>
    <w:p w14:paraId="47200CB1">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291C6CF9">
      <w:pPr>
        <w:pStyle w:val="2"/>
        <w:spacing w:before="93"/>
        <w:ind w:left="1680" w:leftChars="800"/>
        <w:rPr>
          <w:rFonts w:ascii="仿宋" w:hAnsi="仿宋" w:eastAsia="仿宋"/>
          <w:sz w:val="32"/>
          <w:szCs w:val="32"/>
        </w:rPr>
      </w:pPr>
      <w:r>
        <w:rPr>
          <w:rFonts w:hint="eastAsia" w:ascii="仿宋" w:hAnsi="仿宋" w:eastAsia="仿宋"/>
          <w:sz w:val="32"/>
          <w:szCs w:val="32"/>
        </w:rPr>
        <w:drawing>
          <wp:inline distT="0" distB="0" distL="114300" distR="114300">
            <wp:extent cx="3622675" cy="2619375"/>
            <wp:effectExtent l="4445" t="4445" r="1143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06B0A0">
      <w:pPr>
        <w:pStyle w:val="2"/>
        <w:spacing w:before="93"/>
        <w:ind w:left="1680" w:leftChars="800"/>
        <w:rPr>
          <w:rFonts w:ascii="仿宋" w:hAnsi="仿宋" w:eastAsia="仿宋"/>
          <w:sz w:val="32"/>
          <w:szCs w:val="32"/>
        </w:rPr>
      </w:pPr>
    </w:p>
    <w:p w14:paraId="591F9AAA">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14:paraId="1CD651AF">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21年一般公共预算财政拨款支出2702.2万元，主要用于以下方面</w:t>
      </w:r>
      <w:r>
        <w:rPr>
          <w:rFonts w:ascii="仿宋" w:hAnsi="仿宋" w:eastAsia="仿宋"/>
          <w:sz w:val="32"/>
          <w:szCs w:val="32"/>
        </w:rPr>
        <w:t>:</w:t>
      </w:r>
      <w:r>
        <w:rPr>
          <w:rFonts w:hint="eastAsia" w:ascii="仿宋" w:hAnsi="仿宋" w:eastAsia="仿宋"/>
          <w:b/>
          <w:sz w:val="32"/>
          <w:szCs w:val="32"/>
        </w:rPr>
        <w:t>公共安全（类）</w:t>
      </w:r>
      <w:r>
        <w:rPr>
          <w:rFonts w:hint="eastAsia" w:ascii="仿宋" w:hAnsi="仿宋" w:eastAsia="仿宋"/>
          <w:sz w:val="32"/>
          <w:szCs w:val="32"/>
        </w:rPr>
        <w:t>支出2303.75万元，占85.25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支出177.95万元，占6.59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卫生健康（类）</w:t>
      </w:r>
      <w:r>
        <w:rPr>
          <w:rFonts w:hint="eastAsia" w:ascii="仿宋" w:hAnsi="仿宋" w:eastAsia="仿宋"/>
          <w:sz w:val="32"/>
          <w:szCs w:val="32"/>
        </w:rPr>
        <w:t>支出83.95万元，占3.11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住房保障（类）</w:t>
      </w:r>
      <w:r>
        <w:rPr>
          <w:rFonts w:hint="eastAsia" w:ascii="仿宋" w:hAnsi="仿宋" w:eastAsia="仿宋"/>
          <w:sz w:val="32"/>
          <w:szCs w:val="32"/>
        </w:rPr>
        <w:t>支出136.55万元，占5.05%。</w:t>
      </w:r>
    </w:p>
    <w:p w14:paraId="0B7336CF">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0AA792C4">
      <w:pPr>
        <w:pStyle w:val="2"/>
        <w:spacing w:before="93"/>
        <w:ind w:left="1478" w:leftChars="704"/>
        <w:rPr>
          <w:rFonts w:eastAsia="仿宋"/>
        </w:rPr>
      </w:pPr>
      <w:r>
        <w:rPr>
          <w:rFonts w:hint="eastAsia" w:eastAsia="仿宋"/>
        </w:rPr>
        <w:drawing>
          <wp:inline distT="0" distB="0" distL="114300" distR="114300">
            <wp:extent cx="3708400" cy="25908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9388D3">
      <w:pPr>
        <w:spacing w:line="600" w:lineRule="exact"/>
        <w:ind w:firstLine="640" w:firstLineChars="200"/>
        <w:rPr>
          <w:rFonts w:ascii="仿宋" w:hAnsi="仿宋" w:eastAsia="仿宋"/>
          <w:sz w:val="32"/>
          <w:szCs w:val="32"/>
        </w:rPr>
      </w:pPr>
    </w:p>
    <w:p w14:paraId="3E14DD35">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14:paraId="1518E9F9">
      <w:pPr>
        <w:spacing w:line="600" w:lineRule="exact"/>
        <w:ind w:firstLine="643" w:firstLineChars="200"/>
        <w:outlineLvl w:val="2"/>
        <w:rPr>
          <w:rFonts w:ascii="仿宋" w:hAnsi="仿宋" w:eastAsia="仿宋"/>
          <w:sz w:val="32"/>
          <w:szCs w:val="32"/>
        </w:rPr>
      </w:pPr>
      <w:bookmarkStart w:id="37" w:name="_Toc15377213"/>
      <w:bookmarkStart w:id="38" w:name="_Toc15378460"/>
      <w:bookmarkStart w:id="39" w:name="_Toc15377444"/>
      <w:r>
        <w:rPr>
          <w:rFonts w:hint="eastAsia" w:ascii="仿宋" w:hAnsi="仿宋" w:eastAsia="仿宋"/>
          <w:b/>
          <w:sz w:val="32"/>
          <w:szCs w:val="32"/>
        </w:rPr>
        <w:t>2021年一般公共预算支出决算数为2702.2，</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14:paraId="266D8E8A">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公共安全支出（类）法院（款）行政运行（项）</w:t>
      </w:r>
      <w:r>
        <w:rPr>
          <w:rStyle w:val="15"/>
          <w:rFonts w:ascii="仿宋" w:hAnsi="仿宋" w:eastAsia="仿宋"/>
          <w:bCs/>
          <w:sz w:val="32"/>
          <w:szCs w:val="32"/>
        </w:rPr>
        <w:t>:</w:t>
      </w:r>
      <w:r>
        <w:rPr>
          <w:rStyle w:val="15"/>
          <w:rFonts w:hint="eastAsia" w:ascii="仿宋" w:hAnsi="仿宋" w:eastAsia="仿宋"/>
          <w:b w:val="0"/>
          <w:bCs/>
          <w:sz w:val="32"/>
          <w:szCs w:val="32"/>
        </w:rPr>
        <w:t>支出决算为1469.52万元，完成预算100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4682DE8C">
      <w:p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公共安全支出（类）法院（款）一般行政管理事务（项）</w:t>
      </w:r>
      <w:r>
        <w:rPr>
          <w:rStyle w:val="15"/>
          <w:rFonts w:ascii="仿宋" w:hAnsi="仿宋" w:eastAsia="仿宋"/>
          <w:bCs/>
          <w:sz w:val="32"/>
          <w:szCs w:val="32"/>
        </w:rPr>
        <w:t>:</w:t>
      </w:r>
      <w:r>
        <w:rPr>
          <w:rStyle w:val="15"/>
          <w:rFonts w:hint="eastAsia" w:ascii="仿宋" w:hAnsi="仿宋" w:eastAsia="仿宋"/>
          <w:b w:val="0"/>
          <w:bCs/>
          <w:sz w:val="32"/>
          <w:szCs w:val="32"/>
        </w:rPr>
        <w:t>支出决算为499.2万元，完成预算100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48C3800B">
      <w:pPr>
        <w:spacing w:line="600" w:lineRule="exact"/>
        <w:ind w:firstLine="643" w:firstLineChars="200"/>
        <w:rPr>
          <w:rFonts w:ascii="仿宋" w:hAnsi="仿宋" w:eastAsia="仿宋"/>
          <w:b/>
          <w:sz w:val="32"/>
          <w:szCs w:val="32"/>
        </w:rPr>
      </w:pPr>
      <w:r>
        <w:rPr>
          <w:rStyle w:val="15"/>
          <w:rFonts w:ascii="仿宋" w:hAnsi="仿宋" w:eastAsia="仿宋"/>
          <w:bCs/>
          <w:sz w:val="32"/>
          <w:szCs w:val="32"/>
        </w:rPr>
        <w:t>3.</w:t>
      </w:r>
      <w:r>
        <w:rPr>
          <w:rStyle w:val="15"/>
          <w:rFonts w:hint="eastAsia" w:ascii="仿宋" w:hAnsi="仿宋" w:eastAsia="仿宋"/>
          <w:bCs/>
          <w:sz w:val="32"/>
          <w:szCs w:val="32"/>
        </w:rPr>
        <w:t>公共安全支出（类）法院（款）案件执行（项）</w:t>
      </w:r>
      <w:r>
        <w:rPr>
          <w:rStyle w:val="15"/>
          <w:rFonts w:ascii="仿宋" w:hAnsi="仿宋" w:eastAsia="仿宋"/>
          <w:bCs/>
          <w:sz w:val="32"/>
          <w:szCs w:val="32"/>
        </w:rPr>
        <w:t>:</w:t>
      </w:r>
      <w:r>
        <w:rPr>
          <w:rStyle w:val="15"/>
          <w:rFonts w:hint="eastAsia" w:ascii="仿宋" w:hAnsi="仿宋" w:eastAsia="仿宋"/>
          <w:b w:val="0"/>
          <w:bCs/>
          <w:sz w:val="32"/>
          <w:szCs w:val="32"/>
        </w:rPr>
        <w:t>支出决算为0.67万元，完成预算100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2A74DAA8">
      <w:pPr>
        <w:spacing w:line="600" w:lineRule="exact"/>
        <w:ind w:firstLine="643" w:firstLineChars="200"/>
        <w:rPr>
          <w:rFonts w:ascii="仿宋" w:hAnsi="仿宋" w:eastAsia="仿宋"/>
          <w:b/>
          <w:sz w:val="32"/>
          <w:szCs w:val="32"/>
        </w:rPr>
      </w:pPr>
      <w:r>
        <w:rPr>
          <w:rStyle w:val="15"/>
          <w:rFonts w:ascii="仿宋" w:hAnsi="仿宋" w:eastAsia="仿宋"/>
          <w:bCs/>
          <w:sz w:val="32"/>
          <w:szCs w:val="32"/>
        </w:rPr>
        <w:t>4.</w:t>
      </w:r>
      <w:r>
        <w:rPr>
          <w:rStyle w:val="15"/>
          <w:rFonts w:hint="eastAsia" w:ascii="仿宋" w:hAnsi="仿宋" w:eastAsia="仿宋"/>
          <w:bCs/>
          <w:sz w:val="32"/>
          <w:szCs w:val="32"/>
        </w:rPr>
        <w:t>公共安全支出（类）法院（款）“两庭”建设（项）</w:t>
      </w:r>
      <w:r>
        <w:rPr>
          <w:rStyle w:val="15"/>
          <w:rFonts w:ascii="仿宋" w:hAnsi="仿宋" w:eastAsia="仿宋"/>
          <w:bCs/>
          <w:sz w:val="32"/>
          <w:szCs w:val="32"/>
        </w:rPr>
        <w:t>:</w:t>
      </w:r>
      <w:r>
        <w:rPr>
          <w:rStyle w:val="15"/>
          <w:rFonts w:hint="eastAsia" w:ascii="仿宋" w:hAnsi="仿宋" w:eastAsia="仿宋"/>
          <w:b w:val="0"/>
          <w:bCs/>
          <w:sz w:val="32"/>
          <w:szCs w:val="32"/>
        </w:rPr>
        <w:t>支出决算为266.02万元，完成预算100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79444B17">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5</w:t>
      </w:r>
      <w:r>
        <w:rPr>
          <w:rStyle w:val="15"/>
          <w:rFonts w:ascii="仿宋" w:hAnsi="仿宋" w:eastAsia="仿宋"/>
          <w:bCs/>
          <w:sz w:val="32"/>
          <w:szCs w:val="32"/>
        </w:rPr>
        <w:t>.</w:t>
      </w:r>
      <w:r>
        <w:rPr>
          <w:rStyle w:val="15"/>
          <w:rFonts w:hint="eastAsia" w:ascii="仿宋" w:hAnsi="仿宋" w:eastAsia="仿宋"/>
          <w:bCs/>
          <w:sz w:val="32"/>
          <w:szCs w:val="32"/>
        </w:rPr>
        <w:t>公共安全支出（类）法院（款）其他法院支出（项）</w:t>
      </w:r>
      <w:r>
        <w:rPr>
          <w:rStyle w:val="15"/>
          <w:rFonts w:ascii="仿宋" w:hAnsi="仿宋" w:eastAsia="仿宋"/>
          <w:bCs/>
          <w:sz w:val="32"/>
          <w:szCs w:val="32"/>
        </w:rPr>
        <w:t>:</w:t>
      </w:r>
      <w:r>
        <w:rPr>
          <w:rStyle w:val="15"/>
          <w:rFonts w:hint="eastAsia" w:ascii="仿宋" w:hAnsi="仿宋" w:eastAsia="仿宋"/>
          <w:b w:val="0"/>
          <w:bCs/>
          <w:sz w:val="32"/>
          <w:szCs w:val="32"/>
        </w:rPr>
        <w:t>支出决算为44.34万元，完成预算100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3A0A5295">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6</w:t>
      </w:r>
      <w:r>
        <w:rPr>
          <w:rStyle w:val="15"/>
          <w:rFonts w:ascii="仿宋" w:hAnsi="仿宋" w:eastAsia="仿宋"/>
          <w:bCs/>
          <w:sz w:val="32"/>
          <w:szCs w:val="32"/>
        </w:rPr>
        <w:t>.</w:t>
      </w:r>
      <w:r>
        <w:rPr>
          <w:rStyle w:val="15"/>
          <w:rFonts w:hint="eastAsia" w:ascii="仿宋" w:hAnsi="仿宋" w:eastAsia="仿宋"/>
          <w:bCs/>
          <w:sz w:val="32"/>
          <w:szCs w:val="32"/>
        </w:rPr>
        <w:t>公共安全支出（类）其他公共安全支出（款）其他公共安全支出（项）</w:t>
      </w:r>
      <w:r>
        <w:rPr>
          <w:rStyle w:val="15"/>
          <w:rFonts w:ascii="仿宋" w:hAnsi="仿宋" w:eastAsia="仿宋"/>
          <w:bCs/>
          <w:sz w:val="32"/>
          <w:szCs w:val="32"/>
        </w:rPr>
        <w:t>:</w:t>
      </w:r>
      <w:r>
        <w:rPr>
          <w:rStyle w:val="15"/>
          <w:rFonts w:hint="eastAsia" w:ascii="仿宋" w:hAnsi="仿宋" w:eastAsia="仿宋"/>
          <w:b w:val="0"/>
          <w:bCs/>
          <w:sz w:val="32"/>
          <w:szCs w:val="32"/>
        </w:rPr>
        <w:t>支出决算为24.01万元，完成预算100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7F9A45F3">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7</w:t>
      </w:r>
      <w:r>
        <w:rPr>
          <w:rStyle w:val="15"/>
          <w:rFonts w:ascii="仿宋" w:hAnsi="仿宋" w:eastAsia="仿宋"/>
          <w:bCs/>
          <w:sz w:val="32"/>
          <w:szCs w:val="32"/>
        </w:rPr>
        <w:t>.</w:t>
      </w:r>
      <w:r>
        <w:rPr>
          <w:rFonts w:hint="eastAsia" w:ascii="仿宋" w:hAnsi="仿宋" w:eastAsia="仿宋"/>
          <w:b/>
          <w:bCs/>
          <w:sz w:val="32"/>
          <w:szCs w:val="32"/>
        </w:rPr>
        <w:t>社会保障和就业支出</w:t>
      </w:r>
      <w:r>
        <w:rPr>
          <w:rStyle w:val="15"/>
          <w:rFonts w:hint="eastAsia" w:ascii="仿宋" w:hAnsi="仿宋" w:eastAsia="仿宋"/>
          <w:bCs/>
          <w:sz w:val="32"/>
          <w:szCs w:val="32"/>
        </w:rPr>
        <w:t>（类）行政事业单位养老支出（款）行政单位离退休（项）</w:t>
      </w:r>
      <w:r>
        <w:rPr>
          <w:rStyle w:val="15"/>
          <w:rFonts w:ascii="仿宋" w:hAnsi="仿宋" w:eastAsia="仿宋"/>
          <w:bCs/>
          <w:sz w:val="32"/>
          <w:szCs w:val="32"/>
        </w:rPr>
        <w:t>:</w:t>
      </w:r>
      <w:r>
        <w:rPr>
          <w:rStyle w:val="15"/>
          <w:rFonts w:hint="eastAsia" w:ascii="仿宋" w:hAnsi="仿宋" w:eastAsia="仿宋"/>
          <w:b w:val="0"/>
          <w:bCs/>
          <w:sz w:val="32"/>
          <w:szCs w:val="32"/>
        </w:rPr>
        <w:t>支出决算为52.81万元，完成预算100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013235DE">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8</w:t>
      </w:r>
      <w:r>
        <w:rPr>
          <w:rStyle w:val="15"/>
          <w:rFonts w:ascii="仿宋" w:hAnsi="仿宋" w:eastAsia="仿宋"/>
          <w:bCs/>
          <w:sz w:val="32"/>
          <w:szCs w:val="32"/>
        </w:rPr>
        <w:t>.</w:t>
      </w:r>
      <w:r>
        <w:rPr>
          <w:rFonts w:hint="eastAsia" w:ascii="仿宋" w:hAnsi="仿宋" w:eastAsia="仿宋"/>
          <w:b/>
          <w:bCs/>
          <w:sz w:val="32"/>
          <w:szCs w:val="32"/>
        </w:rPr>
        <w:t>社会保障和就业支出</w:t>
      </w:r>
      <w:r>
        <w:rPr>
          <w:rStyle w:val="15"/>
          <w:rFonts w:hint="eastAsia" w:ascii="仿宋" w:hAnsi="仿宋" w:eastAsia="仿宋"/>
          <w:bCs/>
          <w:sz w:val="32"/>
          <w:szCs w:val="32"/>
        </w:rPr>
        <w:t>（类）行政事业单位养老支出（款）事业单位离退休（项）</w:t>
      </w:r>
      <w:r>
        <w:rPr>
          <w:rStyle w:val="15"/>
          <w:rFonts w:ascii="仿宋" w:hAnsi="仿宋" w:eastAsia="仿宋"/>
          <w:bCs/>
          <w:sz w:val="32"/>
          <w:szCs w:val="32"/>
        </w:rPr>
        <w:t>:</w:t>
      </w:r>
      <w:r>
        <w:rPr>
          <w:rStyle w:val="15"/>
          <w:rFonts w:hint="eastAsia" w:ascii="仿宋" w:hAnsi="仿宋" w:eastAsia="仿宋"/>
          <w:b w:val="0"/>
          <w:bCs/>
          <w:sz w:val="32"/>
          <w:szCs w:val="32"/>
        </w:rPr>
        <w:t>支出决算为1.83万元，完成预算100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2CFE0FF9">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9</w:t>
      </w:r>
      <w:r>
        <w:rPr>
          <w:rStyle w:val="15"/>
          <w:rFonts w:ascii="仿宋" w:hAnsi="仿宋" w:eastAsia="仿宋"/>
          <w:bCs/>
          <w:sz w:val="32"/>
          <w:szCs w:val="32"/>
        </w:rPr>
        <w:t>.</w:t>
      </w:r>
      <w:r>
        <w:rPr>
          <w:rFonts w:hint="eastAsia" w:ascii="仿宋" w:hAnsi="仿宋" w:eastAsia="仿宋"/>
          <w:b/>
          <w:bCs/>
          <w:sz w:val="32"/>
          <w:szCs w:val="32"/>
        </w:rPr>
        <w:t>社会保障和就业支出</w:t>
      </w:r>
      <w:r>
        <w:rPr>
          <w:rStyle w:val="15"/>
          <w:rFonts w:hint="eastAsia" w:ascii="仿宋" w:hAnsi="仿宋" w:eastAsia="仿宋"/>
          <w:bCs/>
          <w:sz w:val="32"/>
          <w:szCs w:val="32"/>
        </w:rPr>
        <w:t>（类）行政事业单位养老支出（款）机关事业单位基本养老保险缴费支出（项）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支出决算为110.81万元，完成预算100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3BB2D317">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10</w:t>
      </w:r>
      <w:r>
        <w:rPr>
          <w:rStyle w:val="15"/>
          <w:rFonts w:ascii="仿宋" w:hAnsi="仿宋" w:eastAsia="仿宋"/>
          <w:bCs/>
          <w:sz w:val="32"/>
          <w:szCs w:val="32"/>
        </w:rPr>
        <w:t>.</w:t>
      </w:r>
      <w:r>
        <w:rPr>
          <w:rFonts w:hint="eastAsia" w:ascii="仿宋" w:hAnsi="仿宋" w:eastAsia="仿宋"/>
          <w:b/>
          <w:bCs/>
          <w:sz w:val="32"/>
          <w:szCs w:val="32"/>
        </w:rPr>
        <w:t>社会保障和就业支出</w:t>
      </w:r>
      <w:r>
        <w:rPr>
          <w:rStyle w:val="15"/>
          <w:rFonts w:hint="eastAsia" w:ascii="仿宋" w:hAnsi="仿宋" w:eastAsia="仿宋"/>
          <w:bCs/>
          <w:sz w:val="32"/>
          <w:szCs w:val="32"/>
        </w:rPr>
        <w:t>（类）行政事业单位养老支出（款）机关事业单位职业年金缴费支出（项）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支出决算为10.63万元，完成预算100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4E4D2097">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11</w:t>
      </w:r>
      <w:r>
        <w:rPr>
          <w:rStyle w:val="15"/>
          <w:rFonts w:ascii="仿宋" w:hAnsi="仿宋" w:eastAsia="仿宋"/>
          <w:bCs/>
          <w:sz w:val="32"/>
          <w:szCs w:val="32"/>
        </w:rPr>
        <w:t>.</w:t>
      </w:r>
      <w:r>
        <w:rPr>
          <w:rFonts w:hint="eastAsia" w:ascii="仿宋" w:hAnsi="仿宋" w:eastAsia="仿宋"/>
          <w:b/>
          <w:bCs/>
          <w:sz w:val="32"/>
          <w:szCs w:val="32"/>
        </w:rPr>
        <w:t>社会保障和就业支出</w:t>
      </w:r>
      <w:r>
        <w:rPr>
          <w:rStyle w:val="15"/>
          <w:rFonts w:hint="eastAsia" w:ascii="仿宋" w:hAnsi="仿宋" w:eastAsia="仿宋"/>
          <w:bCs/>
          <w:sz w:val="32"/>
          <w:szCs w:val="32"/>
        </w:rPr>
        <w:t>（类）抚恤（款）伤残抚恤（项）</w:t>
      </w:r>
      <w:r>
        <w:rPr>
          <w:rStyle w:val="15"/>
          <w:rFonts w:ascii="仿宋" w:hAnsi="仿宋" w:eastAsia="仿宋"/>
          <w:bCs/>
          <w:sz w:val="32"/>
          <w:szCs w:val="32"/>
        </w:rPr>
        <w:t>:</w:t>
      </w:r>
      <w:r>
        <w:rPr>
          <w:rStyle w:val="15"/>
          <w:rFonts w:hint="eastAsia" w:ascii="仿宋" w:hAnsi="仿宋" w:eastAsia="仿宋"/>
          <w:b w:val="0"/>
          <w:bCs/>
          <w:sz w:val="32"/>
          <w:szCs w:val="32"/>
        </w:rPr>
        <w:t>支出决算为1.87万元，完成预算100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75955E68">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12</w:t>
      </w:r>
      <w:r>
        <w:rPr>
          <w:rStyle w:val="15"/>
          <w:rFonts w:ascii="仿宋" w:hAnsi="仿宋" w:eastAsia="仿宋"/>
          <w:bCs/>
          <w:sz w:val="32"/>
          <w:szCs w:val="32"/>
        </w:rPr>
        <w:t>.</w:t>
      </w:r>
      <w:r>
        <w:rPr>
          <w:rFonts w:hint="eastAsia" w:ascii="仿宋" w:hAnsi="仿宋" w:eastAsia="仿宋"/>
          <w:b/>
          <w:bCs/>
          <w:sz w:val="32"/>
          <w:szCs w:val="32"/>
        </w:rPr>
        <w:t>卫生健康支出</w:t>
      </w:r>
      <w:r>
        <w:rPr>
          <w:rStyle w:val="15"/>
          <w:rFonts w:hint="eastAsia" w:ascii="仿宋" w:hAnsi="仿宋" w:eastAsia="仿宋"/>
          <w:bCs/>
          <w:sz w:val="32"/>
          <w:szCs w:val="32"/>
        </w:rPr>
        <w:t>（类）行政事业单位医疗（款）行政单位医疗（项）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支出决算为77.55万元，完成预算100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097FEE6C">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13</w:t>
      </w:r>
      <w:r>
        <w:rPr>
          <w:rStyle w:val="15"/>
          <w:rFonts w:ascii="仿宋" w:hAnsi="仿宋" w:eastAsia="仿宋"/>
          <w:bCs/>
          <w:sz w:val="32"/>
          <w:szCs w:val="32"/>
        </w:rPr>
        <w:t>.</w:t>
      </w:r>
      <w:r>
        <w:rPr>
          <w:rFonts w:hint="eastAsia" w:ascii="仿宋" w:hAnsi="仿宋" w:eastAsia="仿宋"/>
          <w:b/>
          <w:bCs/>
          <w:sz w:val="32"/>
          <w:szCs w:val="32"/>
        </w:rPr>
        <w:t>卫生健康支出</w:t>
      </w:r>
      <w:r>
        <w:rPr>
          <w:rStyle w:val="15"/>
          <w:rFonts w:hint="eastAsia" w:ascii="仿宋" w:hAnsi="仿宋" w:eastAsia="仿宋"/>
          <w:bCs/>
          <w:sz w:val="32"/>
          <w:szCs w:val="32"/>
        </w:rPr>
        <w:t>（类）行政事业单位医疗（款）公务员医疗补助（项）</w:t>
      </w:r>
      <w:r>
        <w:rPr>
          <w:rStyle w:val="15"/>
          <w:rFonts w:ascii="仿宋" w:hAnsi="仿宋" w:eastAsia="仿宋"/>
          <w:bCs/>
          <w:sz w:val="32"/>
          <w:szCs w:val="32"/>
        </w:rPr>
        <w:t>:</w:t>
      </w:r>
      <w:r>
        <w:rPr>
          <w:rStyle w:val="15"/>
          <w:rFonts w:hint="eastAsia" w:ascii="仿宋" w:hAnsi="仿宋" w:eastAsia="仿宋"/>
          <w:b w:val="0"/>
          <w:bCs/>
          <w:sz w:val="32"/>
          <w:szCs w:val="32"/>
        </w:rPr>
        <w:t>支出决算为6.4万元，完成预算100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54361423">
      <w:pPr>
        <w:pStyle w:val="2"/>
        <w:spacing w:before="93"/>
        <w:ind w:firstLine="643" w:firstLineChars="200"/>
        <w:rPr>
          <w:rFonts w:ascii="仿宋" w:hAnsi="仿宋" w:eastAsia="仿宋"/>
          <w:b/>
          <w:sz w:val="32"/>
          <w:szCs w:val="32"/>
        </w:rPr>
      </w:pPr>
      <w:r>
        <w:rPr>
          <w:rStyle w:val="15"/>
          <w:rFonts w:hint="eastAsia" w:ascii="仿宋" w:hAnsi="仿宋" w:eastAsia="仿宋"/>
          <w:bCs/>
          <w:sz w:val="32"/>
          <w:szCs w:val="32"/>
        </w:rPr>
        <w:t>14</w:t>
      </w:r>
      <w:r>
        <w:rPr>
          <w:rStyle w:val="15"/>
          <w:rFonts w:ascii="仿宋" w:hAnsi="仿宋" w:eastAsia="仿宋"/>
          <w:bCs/>
          <w:sz w:val="32"/>
          <w:szCs w:val="32"/>
        </w:rPr>
        <w:t>.</w:t>
      </w:r>
      <w:r>
        <w:rPr>
          <w:rFonts w:hint="eastAsia" w:ascii="仿宋" w:hAnsi="仿宋" w:eastAsia="仿宋"/>
          <w:b/>
          <w:bCs/>
          <w:sz w:val="32"/>
          <w:szCs w:val="32"/>
        </w:rPr>
        <w:t>住房保障支出</w:t>
      </w:r>
      <w:r>
        <w:rPr>
          <w:rStyle w:val="15"/>
          <w:rFonts w:hint="eastAsia" w:ascii="仿宋" w:hAnsi="仿宋" w:eastAsia="仿宋"/>
          <w:bCs/>
          <w:sz w:val="32"/>
          <w:szCs w:val="32"/>
        </w:rPr>
        <w:t>（类）住房改革支出（款）住房公积金（项）</w:t>
      </w:r>
      <w:r>
        <w:rPr>
          <w:rStyle w:val="15"/>
          <w:rFonts w:ascii="仿宋" w:hAnsi="仿宋" w:eastAsia="仿宋"/>
          <w:bCs/>
          <w:sz w:val="32"/>
          <w:szCs w:val="32"/>
        </w:rPr>
        <w:t>:</w:t>
      </w:r>
      <w:r>
        <w:rPr>
          <w:rStyle w:val="15"/>
          <w:rFonts w:hint="eastAsia" w:ascii="仿宋" w:hAnsi="仿宋" w:eastAsia="仿宋"/>
          <w:b w:val="0"/>
          <w:bCs/>
          <w:sz w:val="32"/>
          <w:szCs w:val="32"/>
        </w:rPr>
        <w:t>支出决算为136.55万元，完成预算100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40455346">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14:paraId="0DEA5688">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21年一般公共预算财政拨款基本支出1867.96万元，其中：</w:t>
      </w:r>
    </w:p>
    <w:p w14:paraId="1B1A777F">
      <w:pPr>
        <w:spacing w:line="600" w:lineRule="exact"/>
        <w:ind w:firstLine="645"/>
        <w:rPr>
          <w:rFonts w:ascii="仿宋" w:hAnsi="仿宋" w:eastAsia="仿宋"/>
          <w:b/>
          <w:sz w:val="32"/>
          <w:szCs w:val="32"/>
        </w:rPr>
      </w:pPr>
      <w:r>
        <w:rPr>
          <w:rFonts w:hint="eastAsia" w:ascii="仿宋" w:hAnsi="仿宋" w:eastAsia="仿宋"/>
          <w:sz w:val="32"/>
          <w:szCs w:val="32"/>
        </w:rPr>
        <w:t>人员经费1645.29万元，主要包括：基本工资285.77万元、津贴补贴391.63万元、奖金374.92万元、机关事业单位基本养老保险缴费110.81万元、职业年金缴费10.63万元、职工基本医疗保险缴费77.55万元、公务员医疗补助缴费6.4万元、住房公积金136.55万元、其他工资福利支出194.53万元、抚恤金1.87万元、生活补助54.59万元、奖励金0.05万元。</w:t>
      </w:r>
      <w:r>
        <w:rPr>
          <w:rFonts w:ascii="仿宋" w:hAnsi="仿宋" w:eastAsia="仿宋"/>
          <w:sz w:val="32"/>
          <w:szCs w:val="32"/>
        </w:rPr>
        <w:br w:type="textWrapping"/>
      </w:r>
      <w:r>
        <w:rPr>
          <w:rFonts w:hint="eastAsia" w:ascii="仿宋" w:hAnsi="仿宋" w:eastAsia="仿宋"/>
          <w:sz w:val="32"/>
          <w:szCs w:val="32"/>
        </w:rPr>
        <w:t>　　公用经费222.67万元，主要包括：办公费22.61万元、水费4.8万元、电费11.67万元、邮电费7.24万元、差旅费4.74万元、维修（护）费27.73万元、培训费5.75万元、公务接待费0.69万元、劳务费13.71万元、工会经费14.04万元、福利费11.85万元、公务用车运行维护费25.39万元、其他交通费58.83万元、其他商品和服务支出13.46万元、办公设备购置0.16万元。</w:t>
      </w:r>
    </w:p>
    <w:p w14:paraId="21CA7C35">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14:paraId="660CE870">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14:paraId="345815E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21年“三公”经费财政拨款支出决算为30.88万元，完成预算99.97</w:t>
      </w:r>
      <w:r>
        <w:rPr>
          <w:rFonts w:ascii="仿宋" w:hAnsi="仿宋" w:eastAsia="仿宋"/>
          <w:sz w:val="32"/>
          <w:szCs w:val="32"/>
        </w:rPr>
        <w:t>%</w:t>
      </w:r>
      <w:r>
        <w:rPr>
          <w:rFonts w:hint="eastAsia" w:ascii="仿宋" w:hAnsi="仿宋" w:eastAsia="仿宋"/>
          <w:sz w:val="32"/>
          <w:szCs w:val="32"/>
        </w:rPr>
        <w:t>，决算数小于预算数的主要原因是疫情原因，公务接待次数减少。</w:t>
      </w:r>
    </w:p>
    <w:p w14:paraId="0E6884CE">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14:paraId="138F6AFD">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；公务用车购置及运行维护费支出决算30.19万元，占97.77</w:t>
      </w:r>
      <w:r>
        <w:rPr>
          <w:rFonts w:ascii="仿宋" w:hAnsi="仿宋" w:eastAsia="仿宋"/>
          <w:sz w:val="32"/>
          <w:szCs w:val="32"/>
        </w:rPr>
        <w:t>%</w:t>
      </w:r>
      <w:r>
        <w:rPr>
          <w:rFonts w:hint="eastAsia" w:ascii="仿宋" w:hAnsi="仿宋" w:eastAsia="仿宋"/>
          <w:sz w:val="32"/>
          <w:szCs w:val="32"/>
        </w:rPr>
        <w:t>；公务接待费支出决算0.69万元，占2.23</w:t>
      </w:r>
      <w:r>
        <w:rPr>
          <w:rFonts w:ascii="仿宋" w:hAnsi="仿宋" w:eastAsia="仿宋"/>
          <w:sz w:val="32"/>
          <w:szCs w:val="32"/>
        </w:rPr>
        <w:t>%</w:t>
      </w:r>
      <w:r>
        <w:rPr>
          <w:rFonts w:hint="eastAsia" w:ascii="仿宋" w:hAnsi="仿宋" w:eastAsia="仿宋"/>
          <w:sz w:val="32"/>
          <w:szCs w:val="32"/>
        </w:rPr>
        <w:t>。具体情况如下：</w:t>
      </w:r>
    </w:p>
    <w:p w14:paraId="742538B8">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3D2461C6">
      <w:pPr>
        <w:pStyle w:val="2"/>
        <w:spacing w:before="93"/>
        <w:ind w:firstLine="1257" w:firstLineChars="393"/>
        <w:rPr>
          <w:rFonts w:eastAsia="仿宋"/>
        </w:rPr>
      </w:pPr>
      <w:r>
        <w:rPr>
          <w:rFonts w:hint="eastAsia" w:ascii="仿宋" w:hAnsi="仿宋" w:eastAsia="仿宋"/>
          <w:sz w:val="32"/>
          <w:szCs w:val="32"/>
        </w:rPr>
        <w:t>、</w:t>
      </w:r>
      <w:r>
        <w:rPr>
          <w:rFonts w:hint="eastAsia" w:eastAsia="仿宋"/>
        </w:rPr>
        <w:drawing>
          <wp:inline distT="0" distB="0" distL="114300" distR="114300">
            <wp:extent cx="3898900" cy="2467610"/>
            <wp:effectExtent l="4445" t="4445" r="20955" b="2349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BA32BF">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0万元，完成预算0</w:t>
      </w:r>
      <w:r>
        <w:rPr>
          <w:rFonts w:ascii="仿宋_GB2312" w:eastAsia="仿宋_GB2312"/>
          <w:sz w:val="32"/>
          <w:szCs w:val="32"/>
        </w:rPr>
        <w:t>%</w:t>
      </w:r>
      <w:r>
        <w:rPr>
          <w:rFonts w:hint="eastAsia" w:ascii="仿宋_GB2312" w:eastAsia="仿宋_GB2312"/>
          <w:sz w:val="32"/>
          <w:szCs w:val="32"/>
        </w:rPr>
        <w:t>。全年安排因公出国（境）团组0次，出国（境）0人。</w:t>
      </w:r>
    </w:p>
    <w:p w14:paraId="647E2959">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30.19万元,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20年减少39.67万元，下降56.78</w:t>
      </w:r>
      <w:r>
        <w:rPr>
          <w:rFonts w:ascii="仿宋_GB2312" w:eastAsia="仿宋_GB2312"/>
          <w:sz w:val="32"/>
          <w:szCs w:val="32"/>
        </w:rPr>
        <w:t>%</w:t>
      </w:r>
      <w:r>
        <w:rPr>
          <w:rFonts w:hint="eastAsia" w:ascii="仿宋_GB2312" w:eastAsia="仿宋_GB2312"/>
          <w:sz w:val="32"/>
          <w:szCs w:val="32"/>
        </w:rPr>
        <w:t>。主要原因是2021年未发生公务车购置费。</w:t>
      </w:r>
    </w:p>
    <w:p w14:paraId="6D1ABBEA">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p>
    <w:p w14:paraId="110D0932">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30.19万元。</w:t>
      </w:r>
      <w:r>
        <w:rPr>
          <w:rFonts w:ascii="仿宋_GB2312" w:eastAsia="仿宋_GB2312"/>
          <w:kern w:val="0"/>
          <w:sz w:val="32"/>
          <w:szCs w:val="32"/>
        </w:rPr>
        <w:t>主要用于法院审判、调查、送达文书、执行等所需的公务用车燃料费、维修费、过路过桥费、保险费等支出。</w:t>
      </w:r>
    </w:p>
    <w:p w14:paraId="404A2025">
      <w:pPr>
        <w:spacing w:line="600" w:lineRule="exact"/>
        <w:ind w:firstLine="640"/>
        <w:rPr>
          <w:rFonts w:ascii="仿宋_GB2312" w:eastAsia="仿宋_GB2312"/>
          <w:kern w:val="0"/>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kern w:val="0"/>
          <w:sz w:val="32"/>
          <w:szCs w:val="32"/>
        </w:rPr>
        <w:t>0.69万元，完成预算98.57</w:t>
      </w:r>
      <w:r>
        <w:rPr>
          <w:rFonts w:ascii="仿宋_GB2312" w:eastAsia="仿宋_GB2312"/>
          <w:kern w:val="0"/>
          <w:sz w:val="32"/>
          <w:szCs w:val="32"/>
        </w:rPr>
        <w:t>%</w:t>
      </w:r>
      <w:r>
        <w:rPr>
          <w:rFonts w:hint="eastAsia" w:ascii="仿宋_GB2312" w:eastAsia="仿宋_GB2312"/>
          <w:kern w:val="0"/>
          <w:sz w:val="32"/>
          <w:szCs w:val="32"/>
        </w:rPr>
        <w:t>。公务接待费支出决算比</w:t>
      </w:r>
      <w:r>
        <w:rPr>
          <w:rFonts w:ascii="仿宋_GB2312" w:eastAsia="仿宋_GB2312"/>
          <w:kern w:val="0"/>
          <w:sz w:val="32"/>
          <w:szCs w:val="32"/>
        </w:rPr>
        <w:t>20</w:t>
      </w:r>
      <w:r>
        <w:rPr>
          <w:rFonts w:hint="eastAsia" w:ascii="仿宋_GB2312" w:eastAsia="仿宋_GB2312"/>
          <w:kern w:val="0"/>
          <w:sz w:val="32"/>
          <w:szCs w:val="32"/>
        </w:rPr>
        <w:t>20年减少0.7万元，下降50.36</w:t>
      </w:r>
      <w:r>
        <w:rPr>
          <w:rFonts w:ascii="仿宋_GB2312" w:eastAsia="仿宋_GB2312"/>
          <w:kern w:val="0"/>
          <w:sz w:val="32"/>
          <w:szCs w:val="32"/>
        </w:rPr>
        <w:t>%</w:t>
      </w:r>
      <w:r>
        <w:rPr>
          <w:rFonts w:hint="eastAsia" w:ascii="仿宋_GB2312" w:eastAsia="仿宋_GB2312"/>
          <w:kern w:val="0"/>
          <w:sz w:val="32"/>
          <w:szCs w:val="32"/>
        </w:rPr>
        <w:t>。主要原因是</w:t>
      </w:r>
      <w:r>
        <w:rPr>
          <w:rFonts w:ascii="仿宋_GB2312" w:eastAsia="仿宋_GB2312"/>
          <w:kern w:val="0"/>
          <w:sz w:val="32"/>
          <w:szCs w:val="32"/>
        </w:rPr>
        <w:t>公务接待</w:t>
      </w:r>
      <w:r>
        <w:rPr>
          <w:rFonts w:hint="eastAsia" w:ascii="仿宋_GB2312" w:eastAsia="仿宋_GB2312"/>
          <w:kern w:val="0"/>
          <w:sz w:val="32"/>
          <w:szCs w:val="32"/>
        </w:rPr>
        <w:t>减少。</w:t>
      </w:r>
    </w:p>
    <w:p w14:paraId="651F2CEB">
      <w:pPr>
        <w:spacing w:line="600" w:lineRule="exact"/>
        <w:ind w:firstLine="640"/>
        <w:rPr>
          <w:rFonts w:ascii="仿宋_GB2312" w:eastAsia="仿宋_GB2312"/>
          <w:kern w:val="0"/>
          <w:sz w:val="32"/>
          <w:szCs w:val="32"/>
        </w:rPr>
      </w:pPr>
      <w:r>
        <w:rPr>
          <w:rFonts w:hint="eastAsia" w:ascii="仿宋" w:hAnsi="仿宋" w:eastAsia="仿宋"/>
          <w:b/>
          <w:sz w:val="32"/>
          <w:szCs w:val="32"/>
        </w:rPr>
        <w:t>国内公务接待支出</w:t>
      </w:r>
      <w:r>
        <w:rPr>
          <w:rFonts w:hint="eastAsia" w:ascii="仿宋_GB2312" w:eastAsia="仿宋_GB2312"/>
          <w:kern w:val="0"/>
          <w:sz w:val="32"/>
          <w:szCs w:val="32"/>
        </w:rPr>
        <w:t>0.69万元，主要用于执行公务、</w:t>
      </w:r>
      <w:r>
        <w:rPr>
          <w:rFonts w:ascii="仿宋_GB2312" w:eastAsia="仿宋_GB2312"/>
          <w:kern w:val="0"/>
          <w:sz w:val="32"/>
          <w:szCs w:val="32"/>
        </w:rPr>
        <w:t>开展业务活动开支的用餐费</w:t>
      </w:r>
      <w:r>
        <w:rPr>
          <w:rFonts w:hint="eastAsia" w:ascii="仿宋_GB2312" w:eastAsia="仿宋_GB2312"/>
          <w:kern w:val="0"/>
          <w:sz w:val="32"/>
          <w:szCs w:val="32"/>
        </w:rPr>
        <w:t>等。国内公务接待12批次，198人次（不包括陪同人员），共计支出0.69万元，具体内容包括：接待高院调研督导教育整顿工作、中院调研指导工作、攀枝花广播电视台录制《现在开庭》栏目工作、法警实战化训练考核工作、民商事审判工作等。</w:t>
      </w:r>
    </w:p>
    <w:p w14:paraId="326BDC32">
      <w:pPr>
        <w:spacing w:line="600" w:lineRule="exact"/>
        <w:ind w:firstLine="643" w:firstLineChars="200"/>
        <w:rPr>
          <w:rFonts w:ascii="仿宋_GB2312" w:eastAsia="仿宋_GB2312"/>
          <w:kern w:val="0"/>
          <w:sz w:val="32"/>
          <w:szCs w:val="32"/>
        </w:rPr>
      </w:pPr>
      <w:r>
        <w:rPr>
          <w:rFonts w:hint="eastAsia" w:ascii="仿宋" w:hAnsi="仿宋" w:eastAsia="仿宋"/>
          <w:b/>
          <w:sz w:val="32"/>
          <w:szCs w:val="32"/>
        </w:rPr>
        <w:t>外事接待支出</w:t>
      </w:r>
      <w:r>
        <w:rPr>
          <w:rFonts w:hint="eastAsia" w:ascii="仿宋_GB2312" w:eastAsia="仿宋_GB2312"/>
          <w:kern w:val="0"/>
          <w:sz w:val="32"/>
          <w:szCs w:val="32"/>
        </w:rPr>
        <w:t>0万元，外事接待0批次，0人，共计支出0万元。</w:t>
      </w:r>
    </w:p>
    <w:p w14:paraId="161FECCE">
      <w:pPr>
        <w:spacing w:line="600" w:lineRule="exact"/>
        <w:ind w:firstLine="640"/>
        <w:outlineLvl w:val="1"/>
        <w:rPr>
          <w:rFonts w:ascii="黑体" w:eastAsia="黑体"/>
          <w:sz w:val="32"/>
          <w:szCs w:val="32"/>
        </w:rPr>
      </w:pPr>
      <w:bookmarkStart w:id="46" w:name="_Toc15396610"/>
      <w:bookmarkStart w:id="47" w:name="_Toc15377218"/>
    </w:p>
    <w:p w14:paraId="237DE8FF">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6"/>
      <w:bookmarkEnd w:id="47"/>
    </w:p>
    <w:p w14:paraId="3C0BD9CF">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4B8CE036">
      <w:pPr>
        <w:spacing w:line="600" w:lineRule="exact"/>
        <w:ind w:firstLine="640"/>
        <w:rPr>
          <w:rFonts w:ascii="仿宋_GB2312" w:eastAsia="仿宋_GB2312"/>
          <w:sz w:val="32"/>
          <w:szCs w:val="32"/>
        </w:rPr>
      </w:pPr>
    </w:p>
    <w:p w14:paraId="399B6F4A">
      <w:pPr>
        <w:numPr>
          <w:ilvl w:val="0"/>
          <w:numId w:val="4"/>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14:paraId="5487C58D">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49BB2DCF">
      <w:pPr>
        <w:spacing w:line="580" w:lineRule="exact"/>
        <w:jc w:val="center"/>
        <w:rPr>
          <w:rFonts w:ascii="方正小标宋简体" w:hAnsi="方正小标宋简体" w:eastAsia="方正小标宋简体" w:cs="方正小标宋简体"/>
          <w:sz w:val="44"/>
          <w:szCs w:val="44"/>
        </w:rPr>
      </w:pPr>
    </w:p>
    <w:p w14:paraId="59314D86">
      <w:pPr>
        <w:numPr>
          <w:ilvl w:val="0"/>
          <w:numId w:val="4"/>
        </w:numPr>
        <w:spacing w:line="600" w:lineRule="exact"/>
        <w:ind w:firstLine="640"/>
        <w:outlineLvl w:val="1"/>
        <w:rPr>
          <w:rStyle w:val="26"/>
          <w:rFonts w:ascii="黑体" w:hAnsi="黑体" w:eastAsia="黑体"/>
          <w:b w:val="0"/>
        </w:rPr>
      </w:pPr>
      <w:bookmarkStart w:id="50" w:name="_Toc15377221"/>
      <w:bookmarkStart w:id="51" w:name="_Toc15396612"/>
      <w:r>
        <w:rPr>
          <w:rStyle w:val="26"/>
          <w:rFonts w:hint="eastAsia" w:ascii="黑体" w:hAnsi="黑体" w:eastAsia="黑体"/>
          <w:b w:val="0"/>
        </w:rPr>
        <w:t>其他重要事项的情况说明</w:t>
      </w:r>
      <w:bookmarkEnd w:id="50"/>
      <w:bookmarkEnd w:id="51"/>
    </w:p>
    <w:p w14:paraId="4EFA4198">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14:paraId="657DBDB4">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21年，盐边县人民法院机关运行经费支出222.67万元，比</w:t>
      </w:r>
      <w:r>
        <w:rPr>
          <w:rFonts w:ascii="仿宋_GB2312" w:eastAsia="仿宋_GB2312"/>
          <w:sz w:val="32"/>
          <w:szCs w:val="32"/>
        </w:rPr>
        <w:t>20</w:t>
      </w:r>
      <w:r>
        <w:rPr>
          <w:rFonts w:hint="eastAsia" w:ascii="仿宋_GB2312" w:eastAsia="仿宋_GB2312"/>
          <w:sz w:val="32"/>
          <w:szCs w:val="32"/>
        </w:rPr>
        <w:t>20年195.83万元增加26.84万元，增长13.71</w:t>
      </w:r>
      <w:r>
        <w:rPr>
          <w:rFonts w:ascii="仿宋_GB2312" w:eastAsia="仿宋_GB2312"/>
          <w:sz w:val="32"/>
          <w:szCs w:val="32"/>
        </w:rPr>
        <w:t>%</w:t>
      </w:r>
      <w:r>
        <w:rPr>
          <w:rFonts w:hint="eastAsia" w:ascii="仿宋_GB2312" w:eastAsia="仿宋_GB2312"/>
          <w:sz w:val="32"/>
          <w:szCs w:val="32"/>
        </w:rPr>
        <w:t>。主要原因是正常的增人增资增加了单位行政经费开支。</w:t>
      </w:r>
    </w:p>
    <w:p w14:paraId="2293886D">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14:paraId="2314C555">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盐边县人民法院政府采购支出总额184.72万元，其中：政府采购货物支出184.72万元、政府采购工程支出0万元、政府采购服务支出0万元。主要用于法院审判工作日常所需，审判装备、软件技术、业务等购置。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37B51324">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14:paraId="2DE097E9">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日，盐边县人民法院共有车辆10辆，其中：主要领导干部用车0辆、机要通信用车0辆、应急保障用车0辆、</w:t>
      </w:r>
      <w:r>
        <w:rPr>
          <w:rFonts w:ascii="仿宋_GB2312" w:eastAsia="仿宋_GB2312"/>
          <w:kern w:val="0"/>
          <w:sz w:val="32"/>
          <w:szCs w:val="32"/>
        </w:rPr>
        <w:t>一般执法执勤用车</w:t>
      </w:r>
      <w:r>
        <w:rPr>
          <w:rFonts w:hint="eastAsia" w:ascii="仿宋_GB2312" w:eastAsia="仿宋_GB2312"/>
          <w:kern w:val="0"/>
          <w:sz w:val="32"/>
          <w:szCs w:val="32"/>
        </w:rPr>
        <w:t>10</w:t>
      </w:r>
      <w:r>
        <w:rPr>
          <w:rFonts w:ascii="仿宋_GB2312" w:eastAsia="仿宋_GB2312"/>
          <w:kern w:val="0"/>
          <w:sz w:val="32"/>
          <w:szCs w:val="32"/>
        </w:rPr>
        <w:t>辆、特种专业技术用车</w:t>
      </w:r>
      <w:r>
        <w:rPr>
          <w:rFonts w:hint="eastAsia" w:ascii="仿宋_GB2312" w:eastAsia="仿宋_GB2312"/>
          <w:kern w:val="0"/>
          <w:sz w:val="32"/>
          <w:szCs w:val="32"/>
        </w:rPr>
        <w:t>0</w:t>
      </w:r>
      <w:r>
        <w:rPr>
          <w:rFonts w:ascii="仿宋_GB2312" w:eastAsia="仿宋_GB2312"/>
          <w:kern w:val="0"/>
          <w:sz w:val="32"/>
          <w:szCs w:val="32"/>
        </w:rPr>
        <w:t>辆</w:t>
      </w:r>
      <w:r>
        <w:rPr>
          <w:rFonts w:hint="eastAsia" w:ascii="仿宋_GB2312" w:eastAsia="仿宋_GB2312"/>
          <w:kern w:val="0"/>
          <w:sz w:val="32"/>
          <w:szCs w:val="32"/>
        </w:rPr>
        <w:t>、</w:t>
      </w:r>
      <w:r>
        <w:rPr>
          <w:rFonts w:hint="eastAsia" w:ascii="仿宋_GB2312" w:eastAsia="仿宋_GB2312"/>
          <w:sz w:val="32"/>
          <w:szCs w:val="32"/>
        </w:rPr>
        <w:t>其他用车0辆。单价</w:t>
      </w:r>
      <w:r>
        <w:rPr>
          <w:rFonts w:ascii="仿宋_GB2312" w:eastAsia="仿宋_GB2312"/>
          <w:sz w:val="32"/>
          <w:szCs w:val="32"/>
        </w:rPr>
        <w:t>50</w:t>
      </w:r>
      <w:r>
        <w:rPr>
          <w:rFonts w:hint="eastAsia" w:ascii="仿宋_GB2312" w:eastAsia="仿宋_GB2312"/>
          <w:sz w:val="32"/>
          <w:szCs w:val="32"/>
        </w:rPr>
        <w:t>万元以上通用设备1台（套），单价</w:t>
      </w:r>
      <w:r>
        <w:rPr>
          <w:rFonts w:ascii="仿宋_GB2312" w:eastAsia="仿宋_GB2312"/>
          <w:sz w:val="32"/>
          <w:szCs w:val="32"/>
        </w:rPr>
        <w:t>100</w:t>
      </w:r>
      <w:r>
        <w:rPr>
          <w:rFonts w:hint="eastAsia" w:ascii="仿宋_GB2312" w:eastAsia="仿宋_GB2312"/>
          <w:sz w:val="32"/>
          <w:szCs w:val="32"/>
        </w:rPr>
        <w:t>万元以上专用设备0台（套）。</w:t>
      </w:r>
    </w:p>
    <w:p w14:paraId="0C1ECEE9">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771D25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法院警用装备及“六专四室”采购改造经费”、“空调及办公设备采购资金”、“县法院两庭建设资金”等5个项目开展了预算事前绩效评估，对2个项目编制了绩效目标，预算执行过程中，选取2个项目开展绩效监控，年终执行完毕后，对2个项目开展了绩效自评。同时，本部门对2021年部门整体开展绩效自评，《2021年</w:t>
      </w:r>
      <w:r>
        <w:rPr>
          <w:rFonts w:hint="eastAsia" w:ascii="仿宋_GB2312" w:eastAsia="仿宋_GB2312"/>
          <w:sz w:val="32"/>
          <w:szCs w:val="32"/>
        </w:rPr>
        <w:t>盐边县人民法院</w:t>
      </w:r>
      <w:r>
        <w:rPr>
          <w:rFonts w:hint="eastAsia" w:ascii="仿宋_GB2312" w:hAnsi="仿宋_GB2312" w:eastAsia="仿宋_GB2312" w:cs="仿宋_GB2312"/>
          <w:sz w:val="32"/>
          <w:szCs w:val="32"/>
        </w:rPr>
        <w:t>部门整体绩效评价报告》见附件（第四部分）。</w:t>
      </w:r>
    </w:p>
    <w:p w14:paraId="5EFE95FC">
      <w:pPr>
        <w:widowControl/>
        <w:jc w:val="left"/>
        <w:rPr>
          <w:rFonts w:ascii="仿宋_GB2312" w:eastAsia="仿宋_GB2312"/>
          <w:b/>
          <w:sz w:val="32"/>
          <w:szCs w:val="32"/>
        </w:rPr>
      </w:pPr>
      <w:r>
        <w:rPr>
          <w:rFonts w:ascii="仿宋_GB2312" w:eastAsia="仿宋_GB2312"/>
          <w:b/>
          <w:sz w:val="32"/>
          <w:szCs w:val="32"/>
        </w:rPr>
        <w:br w:type="page"/>
      </w:r>
    </w:p>
    <w:p w14:paraId="76BE7C63">
      <w:pPr>
        <w:numPr>
          <w:ilvl w:val="0"/>
          <w:numId w:val="5"/>
        </w:numPr>
        <w:spacing w:line="600" w:lineRule="exact"/>
        <w:ind w:firstLine="660"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sz w:val="44"/>
          <w:szCs w:val="44"/>
        </w:rPr>
        <w:t>名</w:t>
      </w:r>
      <w:r>
        <w:rPr>
          <w:rStyle w:val="25"/>
          <w:rFonts w:hint="eastAsia" w:ascii="黑体" w:hAnsi="黑体" w:eastAsia="黑体"/>
          <w:b w:val="0"/>
        </w:rPr>
        <w:t>词解释</w:t>
      </w:r>
      <w:bookmarkEnd w:id="55"/>
      <w:bookmarkEnd w:id="56"/>
    </w:p>
    <w:p w14:paraId="2BC20D4E">
      <w:pPr>
        <w:spacing w:line="600" w:lineRule="exact"/>
        <w:jc w:val="left"/>
        <w:rPr>
          <w:rFonts w:ascii="宋体"/>
          <w:b/>
          <w:sz w:val="44"/>
          <w:szCs w:val="44"/>
        </w:rPr>
      </w:pPr>
    </w:p>
    <w:p w14:paraId="57FC27C4">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348CBC8E">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6277F023">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012A8674">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01804F1C">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7353C318">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4702F8C8">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0C6B2C6F">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440A916">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公共安全支出（类）法院（款）行政运行（项）：指反映法院（包括各专门法院）的支出。</w:t>
      </w:r>
    </w:p>
    <w:p w14:paraId="7A71C262">
      <w:pPr>
        <w:pStyle w:val="2"/>
        <w:spacing w:before="93"/>
        <w:ind w:firstLine="640"/>
        <w:rPr>
          <w:sz w:val="32"/>
          <w:szCs w:val="32"/>
        </w:rPr>
      </w:pPr>
      <w:r>
        <w:rPr>
          <w:rFonts w:hint="eastAsia"/>
          <w:sz w:val="32"/>
          <w:szCs w:val="32"/>
        </w:rPr>
        <w:t>10.公共安全支出（类）法院（款）一般行政管理事务（项）：指反映行政单位（包括实行公务员管理的事业单位）未单独设置项级科目的其他项目支出。</w:t>
      </w:r>
    </w:p>
    <w:p w14:paraId="10FBEC70">
      <w:pPr>
        <w:pStyle w:val="2"/>
        <w:spacing w:before="93"/>
        <w:ind w:firstLine="640"/>
        <w:rPr>
          <w:sz w:val="32"/>
          <w:szCs w:val="32"/>
        </w:rPr>
      </w:pPr>
      <w:r>
        <w:rPr>
          <w:rFonts w:hint="eastAsia"/>
          <w:sz w:val="32"/>
          <w:szCs w:val="32"/>
        </w:rPr>
        <w:t>11.公共安全支出（类）法院（款）“两庭”建设（项）：指反映人民法院审判用房、人民法庭用房、刑场建设维修和设备购置，以及审判庭安全监控设备购置及运行管理等支出。</w:t>
      </w:r>
    </w:p>
    <w:p w14:paraId="0341B1DF">
      <w:pPr>
        <w:pStyle w:val="2"/>
        <w:spacing w:before="93"/>
        <w:ind w:firstLine="640"/>
        <w:rPr>
          <w:sz w:val="32"/>
          <w:szCs w:val="32"/>
        </w:rPr>
      </w:pPr>
      <w:r>
        <w:rPr>
          <w:rFonts w:hint="eastAsia"/>
          <w:sz w:val="32"/>
          <w:szCs w:val="32"/>
        </w:rPr>
        <w:t>12.公共安全支出（类）法院（款）其他法院支出（项）：指反映除上述项目以外其他用于法院方面的支出。</w:t>
      </w:r>
    </w:p>
    <w:p w14:paraId="07E0C778">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社会保障和就业（类）行政事业单位养老支出（款）行政单位离退休（项）：指反映行政单位（包括实行公务员管理的事业单位）开支的离退休经费。</w:t>
      </w:r>
    </w:p>
    <w:p w14:paraId="004E9A4C">
      <w:pPr>
        <w:pStyle w:val="2"/>
        <w:spacing w:before="93"/>
        <w:ind w:firstLine="640" w:firstLineChars="200"/>
        <w:rPr>
          <w:sz w:val="32"/>
          <w:szCs w:val="32"/>
        </w:rPr>
      </w:pPr>
      <w:r>
        <w:rPr>
          <w:sz w:val="32"/>
          <w:szCs w:val="32"/>
        </w:rPr>
        <w:t>1</w:t>
      </w:r>
      <w:r>
        <w:rPr>
          <w:rFonts w:hint="eastAsia"/>
          <w:sz w:val="32"/>
          <w:szCs w:val="32"/>
        </w:rPr>
        <w:t>4</w:t>
      </w:r>
      <w:r>
        <w:rPr>
          <w:sz w:val="32"/>
          <w:szCs w:val="32"/>
        </w:rPr>
        <w:t>.</w:t>
      </w:r>
      <w:r>
        <w:rPr>
          <w:rFonts w:hint="eastAsia"/>
          <w:sz w:val="32"/>
          <w:szCs w:val="32"/>
        </w:rPr>
        <w:t>社会保障和就业（类）行政事业单位养老支出（款）事业单位离退休（项）：指反映事业单位开支的离退休经费。</w:t>
      </w:r>
    </w:p>
    <w:p w14:paraId="78354D63">
      <w:pPr>
        <w:pStyle w:val="2"/>
        <w:spacing w:before="93"/>
        <w:ind w:firstLine="640" w:firstLineChars="200"/>
        <w:rPr>
          <w:sz w:val="32"/>
          <w:szCs w:val="32"/>
        </w:rPr>
      </w:pPr>
      <w:r>
        <w:rPr>
          <w:sz w:val="32"/>
          <w:szCs w:val="32"/>
        </w:rPr>
        <w:t>1</w:t>
      </w:r>
      <w:r>
        <w:rPr>
          <w:rFonts w:hint="eastAsia"/>
          <w:sz w:val="32"/>
          <w:szCs w:val="32"/>
        </w:rPr>
        <w:t>5</w:t>
      </w:r>
      <w:r>
        <w:rPr>
          <w:sz w:val="32"/>
          <w:szCs w:val="32"/>
        </w:rPr>
        <w:t>.</w:t>
      </w:r>
      <w:r>
        <w:rPr>
          <w:rFonts w:hint="eastAsia"/>
          <w:sz w:val="32"/>
          <w:szCs w:val="32"/>
        </w:rPr>
        <w:t>社会保障和就业（类）行政事业单位养老支出（款）机关事业单位基本养老保险缴费支出（项）：指反映机关事业单位实施养老保险制度由单位缴纳的基本养老保险费支出。</w:t>
      </w:r>
    </w:p>
    <w:p w14:paraId="3D9CD490">
      <w:pPr>
        <w:pStyle w:val="2"/>
        <w:spacing w:before="93"/>
        <w:ind w:firstLine="640" w:firstLineChars="200"/>
        <w:rPr>
          <w:sz w:val="32"/>
          <w:szCs w:val="32"/>
        </w:rPr>
      </w:pPr>
      <w:r>
        <w:rPr>
          <w:sz w:val="32"/>
          <w:szCs w:val="32"/>
        </w:rPr>
        <w:t>1</w:t>
      </w:r>
      <w:r>
        <w:rPr>
          <w:rFonts w:hint="eastAsia"/>
          <w:sz w:val="32"/>
          <w:szCs w:val="32"/>
        </w:rPr>
        <w:t>6</w:t>
      </w:r>
      <w:r>
        <w:rPr>
          <w:sz w:val="32"/>
          <w:szCs w:val="32"/>
        </w:rPr>
        <w:t>.</w:t>
      </w:r>
      <w:r>
        <w:rPr>
          <w:rFonts w:hint="eastAsia"/>
          <w:sz w:val="32"/>
          <w:szCs w:val="32"/>
        </w:rPr>
        <w:t>社会保障和就业（类）行政事业单位养老支出（款）机关事业单位职业年金缴费支出（项）：指反映机关事业单位实施养老保险制度由单位缴纳的职业年金支出。</w:t>
      </w:r>
    </w:p>
    <w:p w14:paraId="44AB2FEC">
      <w:pPr>
        <w:pStyle w:val="2"/>
        <w:spacing w:before="93"/>
        <w:ind w:firstLine="640" w:firstLineChars="200"/>
        <w:rPr>
          <w:sz w:val="32"/>
          <w:szCs w:val="32"/>
        </w:rPr>
      </w:pPr>
      <w:r>
        <w:rPr>
          <w:sz w:val="32"/>
          <w:szCs w:val="32"/>
        </w:rPr>
        <w:t>1</w:t>
      </w:r>
      <w:r>
        <w:rPr>
          <w:rFonts w:hint="eastAsia"/>
          <w:sz w:val="32"/>
          <w:szCs w:val="32"/>
        </w:rPr>
        <w:t>7</w:t>
      </w:r>
      <w:r>
        <w:rPr>
          <w:sz w:val="32"/>
          <w:szCs w:val="32"/>
        </w:rPr>
        <w:t>.</w:t>
      </w:r>
      <w:r>
        <w:rPr>
          <w:rFonts w:hint="eastAsia"/>
          <w:sz w:val="32"/>
          <w:szCs w:val="32"/>
        </w:rPr>
        <w:t>社会保障和就业（类）抚恤（款）伤残抚恤（项）：指反映按规定用于伤残人员的抚恤金和按规定开支的各种伤残补助费。</w:t>
      </w:r>
    </w:p>
    <w:p w14:paraId="2086AA7F">
      <w:pPr>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卫生健康支出（类）行政事业单位医疗（款）行政单位医疗（项）：指反映财政部门安排的行政单位（包括实行公务员管理的事业单位，下同）基本医疗保险缴费经费，未参加医疗保险的行政单位的公费医疗经费，按国家规定享受离休人员、红军老战士待遇的医疗经费。</w:t>
      </w:r>
    </w:p>
    <w:p w14:paraId="022524C4">
      <w:pPr>
        <w:ind w:firstLine="640" w:firstLineChars="200"/>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卫生健康支出（类）行政事业单位医疗（款）公务员医疗补助（项）：指反映财政部门安排的公务员医疗补助经费。</w:t>
      </w:r>
    </w:p>
    <w:p w14:paraId="16170F87">
      <w:pPr>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住房保障支出（类）住房改革支出（款）住房公积金（项）：指反映行政事业单位按人力资源和社会保障部、财政部规定的基本工资和津贴补贴以及规定比例为职工缴纳的住房公积金。</w:t>
      </w:r>
    </w:p>
    <w:p w14:paraId="722AE9D4">
      <w:pPr>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7715CE4B">
      <w:pPr>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76AD8EC3">
      <w:pPr>
        <w:ind w:firstLine="640" w:firstLineChars="200"/>
        <w:rPr>
          <w:rFonts w:ascii="仿宋_GB2312" w:eastAsia="仿宋_GB2312"/>
          <w:sz w:val="32"/>
          <w:szCs w:val="32"/>
        </w:rPr>
      </w:pPr>
      <w:r>
        <w:rPr>
          <w:rFonts w:hint="eastAsia" w:ascii="仿宋_GB2312" w:eastAsia="仿宋_GB2312"/>
          <w:sz w:val="32"/>
          <w:szCs w:val="32"/>
        </w:rPr>
        <w:t>23</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736681DA">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24</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06F02AC">
      <w:pPr>
        <w:pStyle w:val="23"/>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rPr>
        <w:t>25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ECD3F8A">
      <w:pPr>
        <w:spacing w:line="600" w:lineRule="exact"/>
        <w:jc w:val="center"/>
        <w:outlineLvl w:val="0"/>
        <w:rPr>
          <w:rStyle w:val="25"/>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5"/>
          <w:rFonts w:hint="eastAsia" w:ascii="黑体" w:hAnsi="黑体" w:eastAsia="黑体"/>
          <w:b w:val="0"/>
        </w:rPr>
        <w:t>四部分 附件</w:t>
      </w:r>
      <w:bookmarkEnd w:id="58"/>
    </w:p>
    <w:p w14:paraId="6113FFF7">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14:paraId="7F1C43D8">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2021年盐边县人民政府部门整体绩效评价报告</w:t>
      </w:r>
    </w:p>
    <w:p w14:paraId="00A3AADA">
      <w:pPr>
        <w:widowControl/>
        <w:spacing w:line="572"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14:paraId="3F517A83">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14:paraId="463AF7F9">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14:paraId="75379510">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14:paraId="43C0C959">
      <w:pPr>
        <w:snapToGrid w:val="0"/>
        <w:spacing w:line="360" w:lineRule="exact"/>
        <w:ind w:firstLine="640" w:firstLineChars="200"/>
        <w:rPr>
          <w:rFonts w:eastAsia="仿宋_GB2312"/>
          <w:lang w:val="zh-CN"/>
        </w:rPr>
      </w:pPr>
      <w:r>
        <w:rPr>
          <w:rFonts w:hint="eastAsia" w:ascii="仿宋_GB2312" w:eastAsia="仿宋_GB2312"/>
          <w:kern w:val="0"/>
          <w:sz w:val="32"/>
          <w:szCs w:val="32"/>
        </w:rPr>
        <w:t>我院属基层人民法院，县院设9个内设庭室，分别是综合办公室、政治部（督查室）、立案庭（诉讼服务中心）、民事审判庭、行政审判庭（综合审判庭）、刑事审判庭（未成年人案件审判庭）、执行局、审判管理办公室（研究室）、法警大队；4个派出法庭，分别是红格法庭、渔门法庭、共和法庭、永兴法庭。</w:t>
      </w:r>
    </w:p>
    <w:p w14:paraId="25501F5E">
      <w:pPr>
        <w:widowControl/>
        <w:numPr>
          <w:ilvl w:val="0"/>
          <w:numId w:val="6"/>
        </w:numPr>
        <w:adjustRightInd w:val="0"/>
        <w:snapToGrid w:val="0"/>
        <w:spacing w:line="572" w:lineRule="exact"/>
        <w:ind w:firstLine="640" w:firstLineChars="200"/>
        <w:contextualSpacing/>
        <w:jc w:val="left"/>
        <w:rPr>
          <w:rFonts w:ascii="仿宋_GB2312" w:eastAsia="仿宋_GB2312"/>
          <w:kern w:val="0"/>
          <w:sz w:val="32"/>
          <w:szCs w:val="32"/>
        </w:rPr>
      </w:pPr>
      <w:r>
        <w:rPr>
          <w:rFonts w:hint="eastAsia" w:ascii="仿宋_GB2312" w:eastAsia="仿宋_GB2312"/>
          <w:kern w:val="0"/>
          <w:sz w:val="32"/>
          <w:szCs w:val="32"/>
        </w:rPr>
        <w:t>机构职能。</w:t>
      </w:r>
    </w:p>
    <w:p w14:paraId="4BC0187B">
      <w:pPr>
        <w:spacing w:line="360" w:lineRule="exact"/>
        <w:ind w:firstLine="800" w:firstLineChars="250"/>
        <w:rPr>
          <w:rFonts w:ascii="仿宋_GB2312" w:eastAsia="仿宋_GB2312"/>
          <w:kern w:val="0"/>
          <w:sz w:val="32"/>
          <w:szCs w:val="32"/>
        </w:rPr>
      </w:pPr>
      <w:r>
        <w:rPr>
          <w:rFonts w:hint="eastAsia" w:ascii="仿宋_GB2312" w:eastAsia="仿宋_GB2312"/>
          <w:kern w:val="0"/>
          <w:sz w:val="32"/>
          <w:szCs w:val="32"/>
        </w:rPr>
        <w:t>盐边县人民法院是国家审判机关，依法独立行使审判权，对县人民代表大会及其常务委员会负责并报告工作。其主要职责如下:</w:t>
      </w:r>
    </w:p>
    <w:p w14:paraId="360EEEE6">
      <w:pPr>
        <w:spacing w:line="360" w:lineRule="exact"/>
        <w:ind w:firstLine="800" w:firstLineChars="250"/>
        <w:rPr>
          <w:rFonts w:ascii="仿宋_GB2312" w:eastAsia="仿宋_GB2312"/>
          <w:kern w:val="0"/>
          <w:sz w:val="32"/>
          <w:szCs w:val="32"/>
        </w:rPr>
      </w:pPr>
      <w:r>
        <w:rPr>
          <w:rFonts w:hint="eastAsia" w:ascii="仿宋_GB2312" w:eastAsia="仿宋_GB2312"/>
          <w:kern w:val="0"/>
          <w:sz w:val="32"/>
          <w:szCs w:val="32"/>
        </w:rPr>
        <w:t>1.审理法律规定由本院管辖的刑事、民事、经济、行政等一审案件。</w:t>
      </w:r>
    </w:p>
    <w:p w14:paraId="65B40DBC">
      <w:pPr>
        <w:spacing w:line="360" w:lineRule="exact"/>
        <w:ind w:firstLine="800" w:firstLineChars="250"/>
        <w:rPr>
          <w:rFonts w:ascii="仿宋_GB2312" w:eastAsia="仿宋_GB2312"/>
          <w:kern w:val="0"/>
          <w:sz w:val="32"/>
          <w:szCs w:val="32"/>
        </w:rPr>
      </w:pPr>
      <w:r>
        <w:rPr>
          <w:rFonts w:hint="eastAsia" w:ascii="仿宋_GB2312" w:eastAsia="仿宋_GB2312"/>
          <w:kern w:val="0"/>
          <w:sz w:val="32"/>
          <w:szCs w:val="32"/>
        </w:rPr>
        <w:t>2.审理中级人民法院指令再审和发回重审的案件。</w:t>
      </w:r>
    </w:p>
    <w:p w14:paraId="1173A9D1">
      <w:pPr>
        <w:spacing w:line="360" w:lineRule="exact"/>
        <w:ind w:firstLine="800" w:firstLineChars="250"/>
        <w:rPr>
          <w:rFonts w:ascii="仿宋_GB2312" w:eastAsia="仿宋_GB2312"/>
          <w:kern w:val="0"/>
          <w:sz w:val="32"/>
          <w:szCs w:val="32"/>
        </w:rPr>
      </w:pPr>
      <w:r>
        <w:rPr>
          <w:rFonts w:hint="eastAsia" w:ascii="仿宋_GB2312" w:eastAsia="仿宋_GB2312"/>
          <w:kern w:val="0"/>
          <w:sz w:val="32"/>
          <w:szCs w:val="32"/>
        </w:rPr>
        <w:t>3.受理和审判各类告诉、申诉及再审案件，搞好本院审判监督。</w:t>
      </w:r>
    </w:p>
    <w:p w14:paraId="301C55B7">
      <w:pPr>
        <w:spacing w:line="360" w:lineRule="exact"/>
        <w:ind w:firstLine="800" w:firstLineChars="250"/>
        <w:rPr>
          <w:rFonts w:ascii="仿宋_GB2312" w:eastAsia="仿宋_GB2312"/>
          <w:kern w:val="0"/>
          <w:sz w:val="32"/>
          <w:szCs w:val="32"/>
        </w:rPr>
      </w:pPr>
      <w:r>
        <w:rPr>
          <w:rFonts w:hint="eastAsia" w:ascii="仿宋_GB2312" w:eastAsia="仿宋_GB2312"/>
          <w:kern w:val="0"/>
          <w:sz w:val="32"/>
          <w:szCs w:val="32"/>
        </w:rPr>
        <w:t>4.做好执行工作，保证本院发生法律效力的判决、裁定、调解协议的执行。</w:t>
      </w:r>
    </w:p>
    <w:p w14:paraId="4B932CBA">
      <w:pPr>
        <w:spacing w:line="360" w:lineRule="exact"/>
        <w:ind w:firstLine="800" w:firstLineChars="250"/>
        <w:rPr>
          <w:rFonts w:ascii="仿宋_GB2312" w:eastAsia="仿宋_GB2312"/>
          <w:kern w:val="0"/>
          <w:sz w:val="32"/>
          <w:szCs w:val="32"/>
        </w:rPr>
      </w:pPr>
      <w:r>
        <w:rPr>
          <w:rFonts w:hint="eastAsia" w:ascii="仿宋_GB2312" w:eastAsia="仿宋_GB2312"/>
          <w:kern w:val="0"/>
          <w:sz w:val="32"/>
          <w:szCs w:val="32"/>
        </w:rPr>
        <w:t>5.负责本院执行政策，法律情况的调查研究，总结审判工作经验，做好司法统计与分析工作。</w:t>
      </w:r>
    </w:p>
    <w:p w14:paraId="3A0A4177">
      <w:pPr>
        <w:spacing w:line="360" w:lineRule="exact"/>
        <w:ind w:firstLine="800" w:firstLineChars="250"/>
        <w:rPr>
          <w:rFonts w:ascii="仿宋_GB2312" w:eastAsia="仿宋_GB2312"/>
          <w:kern w:val="0"/>
          <w:sz w:val="32"/>
          <w:szCs w:val="32"/>
        </w:rPr>
      </w:pPr>
      <w:r>
        <w:rPr>
          <w:rFonts w:hint="eastAsia" w:ascii="仿宋_GB2312" w:eastAsia="仿宋_GB2312"/>
          <w:kern w:val="0"/>
          <w:sz w:val="32"/>
          <w:szCs w:val="32"/>
        </w:rPr>
        <w:t>6.管理本院有关经费、物资装备计划、文秘、资料、档案、法庭建设等行政事务和后勤服务。</w:t>
      </w:r>
    </w:p>
    <w:p w14:paraId="226F9A51">
      <w:pPr>
        <w:spacing w:line="360" w:lineRule="exact"/>
        <w:ind w:firstLine="800" w:firstLineChars="250"/>
        <w:rPr>
          <w:rFonts w:ascii="仿宋_GB2312" w:eastAsia="仿宋_GB2312"/>
          <w:kern w:val="0"/>
          <w:sz w:val="32"/>
          <w:szCs w:val="32"/>
        </w:rPr>
      </w:pPr>
      <w:r>
        <w:rPr>
          <w:rFonts w:hint="eastAsia" w:ascii="仿宋_GB2312" w:eastAsia="仿宋_GB2312"/>
          <w:kern w:val="0"/>
          <w:sz w:val="32"/>
          <w:szCs w:val="32"/>
        </w:rPr>
        <w:t>7.加强思想</w:t>
      </w:r>
      <w:r>
        <w:rPr>
          <w:rFonts w:hint="eastAsia" w:ascii="仿宋_GB2312" w:eastAsia="仿宋_GB2312"/>
          <w:kern w:val="0"/>
          <w:sz w:val="32"/>
          <w:szCs w:val="32"/>
          <w:lang w:eastAsia="zh-CN"/>
        </w:rPr>
        <w:t>政治</w:t>
      </w:r>
      <w:r>
        <w:rPr>
          <w:rFonts w:hint="eastAsia" w:ascii="仿宋_GB2312" w:eastAsia="仿宋_GB2312"/>
          <w:kern w:val="0"/>
          <w:sz w:val="32"/>
          <w:szCs w:val="32"/>
        </w:rPr>
        <w:t>工作、抓好干部教育、干部管理、干部培训，提高队伍素质。</w:t>
      </w:r>
    </w:p>
    <w:p w14:paraId="6372E23C">
      <w:pPr>
        <w:spacing w:line="360" w:lineRule="exact"/>
        <w:ind w:firstLine="800" w:firstLineChars="250"/>
        <w:rPr>
          <w:rFonts w:ascii="仿宋_GB2312" w:eastAsia="仿宋_GB2312"/>
          <w:kern w:val="0"/>
          <w:sz w:val="32"/>
          <w:szCs w:val="32"/>
        </w:rPr>
      </w:pPr>
      <w:r>
        <w:rPr>
          <w:rFonts w:hint="eastAsia" w:ascii="仿宋_GB2312" w:eastAsia="仿宋_GB2312"/>
          <w:kern w:val="0"/>
          <w:sz w:val="32"/>
          <w:szCs w:val="32"/>
        </w:rPr>
        <w:t>8.加强廉政建设，抓好对干警的教育、检查、监督、查处、促进严肃执法。</w:t>
      </w:r>
    </w:p>
    <w:p w14:paraId="55C28B7C">
      <w:pPr>
        <w:spacing w:line="360" w:lineRule="exact"/>
        <w:ind w:firstLine="800" w:firstLineChars="250"/>
        <w:rPr>
          <w:rFonts w:ascii="仿宋_GB2312" w:eastAsia="仿宋_GB2312"/>
          <w:kern w:val="0"/>
          <w:sz w:val="32"/>
          <w:szCs w:val="32"/>
        </w:rPr>
      </w:pPr>
      <w:r>
        <w:rPr>
          <w:rFonts w:hint="eastAsia" w:ascii="仿宋_GB2312" w:eastAsia="仿宋_GB2312"/>
          <w:kern w:val="0"/>
          <w:sz w:val="32"/>
          <w:szCs w:val="32"/>
        </w:rPr>
        <w:t>9.参与社会治安综合治理。</w:t>
      </w:r>
    </w:p>
    <w:p w14:paraId="34123E86">
      <w:pPr>
        <w:widowControl/>
        <w:adjustRightInd w:val="0"/>
        <w:snapToGrid w:val="0"/>
        <w:spacing w:line="572" w:lineRule="exact"/>
        <w:ind w:firstLine="640" w:firstLineChars="200"/>
        <w:contextualSpacing/>
        <w:jc w:val="left"/>
        <w:rPr>
          <w:rFonts w:ascii="仿宋_GB2312" w:eastAsia="仿宋_GB2312"/>
          <w:kern w:val="0"/>
          <w:sz w:val="32"/>
          <w:szCs w:val="32"/>
        </w:rPr>
      </w:pPr>
      <w:r>
        <w:rPr>
          <w:rFonts w:hint="eastAsia" w:ascii="仿宋_GB2312" w:eastAsia="仿宋_GB2312"/>
          <w:kern w:val="0"/>
          <w:sz w:val="32"/>
          <w:szCs w:val="32"/>
        </w:rPr>
        <w:t>（三）人员概况。</w:t>
      </w:r>
    </w:p>
    <w:p w14:paraId="5EE2F8CA">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我院有正式干警编制68人，其中政法机关编制66人，工勤编制2人。年末在岗正式干警62人，其中：公务员 61人，工勤人员1 人。</w:t>
      </w:r>
    </w:p>
    <w:p w14:paraId="34326BA1">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14:paraId="03325AC1">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14:paraId="52286405">
      <w:pPr>
        <w:pStyle w:val="2"/>
        <w:spacing w:before="93"/>
      </w:pPr>
      <w:r>
        <w:rPr>
          <w:rFonts w:hint="eastAsia" w:hAnsi="宋体" w:cs="宋体"/>
          <w:sz w:val="32"/>
          <w:szCs w:val="32"/>
          <w:shd w:val="clear" w:color="auto" w:fill="FFFFFF"/>
        </w:rPr>
        <w:t xml:space="preserve">    2021年收入合计2369.19万元，其中：行政运行1469.52万元，占总收入的62.03%；一般行政管理事务215.21万元，占总收入的9.08%；“两庭”建设266.02万元，占总收入的11.23%；其他法院支出20万元，占总收入的0.84%；行政单位离退休支出52.81万元，占总收入的2.23%；事业单位离退休支出1.83万元，占总收入的0.08%；机关事业单位基本养老保险缴费支出110.81万元，占总收入的4.68%；机关事业单位职业年金缴费支出10.63万元，占总收入的0.45%；伤残抚恤1.87万元，占总收入的0.08%；行政单位医疗77.55万元，占总收入的3.27%；公务员医疗补助6.4万元，占总收入的0.27%；住房公积金136.55万元，占总收入的5.76%。</w:t>
      </w:r>
    </w:p>
    <w:p w14:paraId="05E28E78">
      <w:pPr>
        <w:widowControl/>
        <w:numPr>
          <w:ilvl w:val="0"/>
          <w:numId w:val="6"/>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14:paraId="6CEA1B0F">
      <w:pPr>
        <w:pStyle w:val="2"/>
        <w:spacing w:before="93" w:line="580" w:lineRule="exact"/>
        <w:ind w:firstLine="640" w:firstLineChars="200"/>
      </w:pPr>
      <w:r>
        <w:rPr>
          <w:rFonts w:hint="eastAsia" w:hAnsi="宋体" w:cs="宋体"/>
          <w:sz w:val="32"/>
          <w:szCs w:val="32"/>
          <w:shd w:val="clear" w:color="auto" w:fill="FFFFFF"/>
        </w:rPr>
        <w:t xml:space="preserve"> 2021年基本支出1867.97万元，项目支出834.23万元，支出合计2702.2万元。其中：行政运行1469.52万元，占总支出的54.38%；一般行政管理事务499.2万元，占总支出的18.47%；案件执行0.67万元，占总支出的0.02%；“两庭”建设266.02万元，占总支出的9.84%；其他法院支出44.34万元，占总支出的1.64%；其他公共安全支出24.01万元，占总支出的0.89%；行政单位离退休支出52.81万元，占总支出的1.95%；事业单位离退休支出1.83万元，占总支出的0.07%；机关事业单位基本养老保险缴费支出110.81万元，占总支出的4.1%；机关事业单位职业年金缴费支出10.63万元，占总支出的0.39%；伤残抚恤1.87万元，占总支出的0.07%；行政单位医疗77.55万元，占总支出的2.87%；公务员医疗补助6.4万元，占总支出的0.24%；住房公积金136.55万元，占总支出的5.05%。</w:t>
      </w:r>
    </w:p>
    <w:p w14:paraId="6B98B05C">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14:paraId="3DA3B21A">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14:paraId="1F46719F">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盐边县人民法院严格按照财政预算编制规定和要求，结合单位年度工作计划采取人员经费按照县委组织部审核过的工资进行编制，公用经费按定额编制的方法按时完成编制工作，切实做到数据完整和准确无误，预算完成情况良好，无违规记录等。</w:t>
      </w:r>
    </w:p>
    <w:p w14:paraId="3AFB1ADD">
      <w:pPr>
        <w:widowControl/>
        <w:numPr>
          <w:ilvl w:val="0"/>
          <w:numId w:val="7"/>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结果应用情况。</w:t>
      </w:r>
    </w:p>
    <w:p w14:paraId="226F0428">
      <w:pPr>
        <w:pStyle w:val="2"/>
        <w:spacing w:before="93"/>
        <w:rPr>
          <w:rFonts w:hAnsi="宋体" w:cs="宋体"/>
          <w:sz w:val="32"/>
          <w:szCs w:val="32"/>
          <w:shd w:val="clear" w:color="auto" w:fill="FFFFFF"/>
          <w:lang w:val="zh-CN"/>
        </w:rPr>
      </w:pPr>
      <w:r>
        <w:rPr>
          <w:rFonts w:hint="eastAsia" w:hAnsi="宋体" w:cs="宋体"/>
          <w:sz w:val="32"/>
          <w:szCs w:val="32"/>
          <w:shd w:val="clear" w:color="auto" w:fill="FFFFFF"/>
          <w:lang w:val="zh-CN"/>
        </w:rPr>
        <w:t>我院制定了部门绩效管理办法，严格按照规定对全院干警进行绩效考核。</w:t>
      </w:r>
      <w:r>
        <w:rPr>
          <w:rFonts w:hint="eastAsia"/>
          <w:sz w:val="32"/>
          <w:szCs w:val="32"/>
        </w:rPr>
        <w:t>部门自评质量良好、绩效目标公开及时，自评公开、评价结果整改和应用结果反馈等情况良好。</w:t>
      </w:r>
    </w:p>
    <w:p w14:paraId="20E874DC">
      <w:pPr>
        <w:widowControl/>
        <w:numPr>
          <w:ilvl w:val="0"/>
          <w:numId w:val="8"/>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14:paraId="0C7F35D0">
      <w:pPr>
        <w:widowControl/>
        <w:adjustRightInd w:val="0"/>
        <w:snapToGrid w:val="0"/>
        <w:spacing w:line="576" w:lineRule="exact"/>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我院整体支出在年初预算范围内，人员经费、公用经费均严格按照财政下拨数合理安排使用，无超标准、超预算等情况发生，预算完成情况良好。</w:t>
      </w:r>
    </w:p>
    <w:p w14:paraId="45D39503">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14:paraId="76DCF8E2">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14:paraId="63A90B66">
      <w:pPr>
        <w:pStyle w:val="2"/>
        <w:spacing w:before="93"/>
        <w:rPr>
          <w:sz w:val="32"/>
          <w:szCs w:val="32"/>
        </w:rPr>
      </w:pPr>
      <w:r>
        <w:rPr>
          <w:rFonts w:hint="eastAsia" w:hAnsi="宋体" w:cs="宋体"/>
          <w:sz w:val="32"/>
          <w:szCs w:val="32"/>
          <w:shd w:val="clear" w:color="auto" w:fill="FFFFFF"/>
        </w:rPr>
        <w:t xml:space="preserve">    我院在绩效管理工作上不断强化，完善绩效管理制度，内部管理制度的整体水平得到不断提升。资金的支出执行上严格按照预算执行，预算使用方面坚持“反对浪费、节约开支”的原则，专款专用，不拖欠、不挪用。</w:t>
      </w:r>
    </w:p>
    <w:p w14:paraId="11C224A9">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14:paraId="0815A59C">
      <w:pPr>
        <w:pStyle w:val="2"/>
        <w:spacing w:before="93"/>
        <w:ind w:firstLine="600"/>
        <w:rPr>
          <w:sz w:val="32"/>
          <w:szCs w:val="32"/>
        </w:rPr>
      </w:pPr>
      <w:r>
        <w:rPr>
          <w:rFonts w:hint="eastAsia"/>
          <w:sz w:val="32"/>
          <w:szCs w:val="32"/>
        </w:rPr>
        <w:t>1、财务等相关人员的能力精度不够，在整体联动和统筹结合的能力；2、对年初编制部门预算绩效目标的指标内容不够细化。</w:t>
      </w:r>
    </w:p>
    <w:p w14:paraId="0803D57B">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14:paraId="73E08F01">
      <w:pPr>
        <w:pStyle w:val="2"/>
        <w:spacing w:before="93"/>
        <w:ind w:firstLine="640"/>
        <w:rPr>
          <w:rFonts w:hAnsi="宋体" w:cs="宋体"/>
          <w:sz w:val="32"/>
          <w:szCs w:val="32"/>
          <w:shd w:val="clear" w:color="auto" w:fill="FFFFFF"/>
        </w:rPr>
      </w:pPr>
      <w:r>
        <w:rPr>
          <w:rFonts w:hint="eastAsia" w:hAnsi="宋体" w:cs="宋体"/>
          <w:sz w:val="32"/>
          <w:szCs w:val="32"/>
          <w:shd w:val="clear" w:color="auto" w:fill="FFFFFF"/>
        </w:rPr>
        <w:t>1、相关人员加强培训，特别是《预算法》、《行政事业单位会计制度》等学习培训，进一步学习各项财经制度，不断提升财务管理工作能力，替身财务等相关人员自身综合能力。</w:t>
      </w:r>
    </w:p>
    <w:p w14:paraId="1BC54B91">
      <w:pPr>
        <w:pStyle w:val="2"/>
        <w:spacing w:before="93"/>
        <w:ind w:firstLine="640"/>
        <w:rPr>
          <w:rFonts w:hAnsi="宋体" w:cs="宋体"/>
          <w:sz w:val="32"/>
          <w:szCs w:val="32"/>
          <w:shd w:val="clear" w:color="auto" w:fill="FFFFFF"/>
        </w:rPr>
      </w:pPr>
      <w:r>
        <w:rPr>
          <w:rFonts w:hint="eastAsia" w:hAnsi="宋体" w:cs="宋体"/>
          <w:sz w:val="32"/>
          <w:szCs w:val="32"/>
          <w:shd w:val="clear" w:color="auto" w:fill="FFFFFF"/>
        </w:rPr>
        <w:t>2、下一年度，对年初编制部门预算绩效目标的指标内容进行深度细化，全面反映本部门所有财政资金的支出范围。</w:t>
      </w:r>
    </w:p>
    <w:p w14:paraId="5C6D3555">
      <w:pPr>
        <w:pStyle w:val="2"/>
        <w:spacing w:before="93"/>
        <w:ind w:firstLine="640"/>
        <w:rPr>
          <w:rFonts w:hAnsi="宋体" w:cs="宋体"/>
          <w:sz w:val="32"/>
          <w:szCs w:val="32"/>
          <w:shd w:val="clear" w:color="auto" w:fill="FFFFFF"/>
        </w:rPr>
      </w:pPr>
    </w:p>
    <w:p w14:paraId="4D2B6068">
      <w:pPr>
        <w:pStyle w:val="2"/>
        <w:spacing w:before="93"/>
        <w:rPr>
          <w:sz w:val="32"/>
          <w:szCs w:val="32"/>
          <w:lang w:val="zh-CN"/>
        </w:rPr>
      </w:pPr>
      <w:r>
        <w:rPr>
          <w:rFonts w:hint="eastAsia" w:hAnsi="宋体" w:cs="宋体"/>
          <w:sz w:val="32"/>
          <w:szCs w:val="32"/>
          <w:shd w:val="clear" w:color="auto" w:fill="FFFFFF"/>
          <w:lang w:val="zh-CN"/>
        </w:rPr>
        <w:t>附件</w:t>
      </w:r>
    </w:p>
    <w:p w14:paraId="5E4C9E62">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36950F4B">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w:t>
      </w:r>
      <w:r>
        <w:rPr>
          <w:rFonts w:hint="eastAsia" w:ascii="仿宋_GB2312" w:hAnsi="宋体" w:eastAsia="仿宋_GB2312"/>
          <w:sz w:val="32"/>
          <w:szCs w:val="32"/>
        </w:rPr>
        <w:t>盐边县人民</w:t>
      </w:r>
      <w:r>
        <w:rPr>
          <w:rFonts w:hint="eastAsia" w:ascii="仿宋_GB2312" w:hAnsi="宋体" w:eastAsia="仿宋_GB2312"/>
          <w:sz w:val="32"/>
          <w:szCs w:val="32"/>
          <w:lang w:val="zh-CN"/>
        </w:rPr>
        <w:t>法院“两庭”建设资金）</w:t>
      </w:r>
    </w:p>
    <w:p w14:paraId="668B15D7">
      <w:pPr>
        <w:spacing w:line="600" w:lineRule="exact"/>
        <w:ind w:firstLine="640"/>
        <w:jc w:val="center"/>
        <w:rPr>
          <w:rFonts w:ascii="宋体" w:hAnsi="宋体"/>
          <w:sz w:val="32"/>
          <w:szCs w:val="32"/>
          <w:lang w:val="zh-CN"/>
        </w:rPr>
      </w:pPr>
    </w:p>
    <w:p w14:paraId="06C498DC">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2D10697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3137E60A">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14:paraId="45D2F828">
      <w:pPr>
        <w:adjustRightInd w:val="0"/>
        <w:snapToGrid w:val="0"/>
        <w:spacing w:line="600" w:lineRule="exact"/>
        <w:ind w:firstLine="720"/>
        <w:rPr>
          <w:lang w:val="zh-CN"/>
        </w:rPr>
      </w:pPr>
      <w:r>
        <w:rPr>
          <w:rFonts w:hint="eastAsia" w:ascii="仿宋_GB2312" w:hAnsi="宋体" w:eastAsia="仿宋_GB2312"/>
          <w:sz w:val="32"/>
          <w:szCs w:val="32"/>
        </w:rPr>
        <w:t>盐边县人民法院是</w:t>
      </w:r>
      <w:r>
        <w:rPr>
          <w:rFonts w:hint="eastAsia" w:ascii="仿宋_GB2312" w:hAnsi="宋体" w:eastAsia="仿宋_GB2312"/>
          <w:sz w:val="32"/>
          <w:szCs w:val="32"/>
          <w:lang w:val="zh-CN"/>
        </w:rPr>
        <w:t>“两庭”建设资金</w:t>
      </w:r>
      <w:r>
        <w:rPr>
          <w:rFonts w:hint="eastAsia" w:ascii="仿宋_GB2312" w:hAnsi="宋体" w:eastAsia="仿宋_GB2312"/>
          <w:sz w:val="32"/>
          <w:szCs w:val="32"/>
        </w:rPr>
        <w:t>项目监督管理的实施主体，负责项目的实施、监督、管理等工作</w:t>
      </w:r>
      <w:r>
        <w:rPr>
          <w:rFonts w:hint="eastAsia" w:ascii="仿宋_GB2312" w:hAnsi="宋体" w:eastAsia="仿宋_GB2312"/>
          <w:sz w:val="32"/>
          <w:szCs w:val="32"/>
          <w:lang w:val="zh-CN"/>
        </w:rPr>
        <w:t>。</w:t>
      </w:r>
    </w:p>
    <w:p w14:paraId="7EF730FF">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．项目立项、资金申报的依据。</w:t>
      </w:r>
    </w:p>
    <w:p w14:paraId="748A9C3D">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盐边县财政根据盐财资行【2021】47号下达县法院两庭建设资金要求执行。</w:t>
      </w:r>
    </w:p>
    <w:p w14:paraId="47C42E37">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．资金管理办法制定情况，资金支持具体项目的条件、范围与支持方式概况。</w:t>
      </w:r>
    </w:p>
    <w:p w14:paraId="235ED798">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盐边县人民法院制定了财务管理制度并严格执行，该项县级财政资金指标下达后，按预算指标使用相关费用，严格执行专款专用。</w:t>
      </w:r>
    </w:p>
    <w:p w14:paraId="52E2F320">
      <w:pPr>
        <w:numPr>
          <w:ilvl w:val="0"/>
          <w:numId w:val="9"/>
        </w:num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14:paraId="3C94BBEB">
      <w:pPr>
        <w:pStyle w:val="2"/>
        <w:spacing w:before="93"/>
        <w:ind w:firstLine="681" w:firstLineChars="213"/>
        <w:rPr>
          <w:rFonts w:hAnsi="宋体"/>
          <w:kern w:val="2"/>
          <w:sz w:val="32"/>
          <w:szCs w:val="32"/>
        </w:rPr>
      </w:pPr>
      <w:r>
        <w:rPr>
          <w:rFonts w:hint="eastAsia" w:hAnsi="宋体"/>
          <w:kern w:val="2"/>
          <w:sz w:val="32"/>
          <w:szCs w:val="32"/>
        </w:rPr>
        <w:t>根据县审判大楼和永兴法庭的实际建设情况，按照合同要求及政府采购流程，严格审核，报送县财政审批支付，重大项目支出经县法院党委会审议通过。</w:t>
      </w:r>
    </w:p>
    <w:p w14:paraId="64E7738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05C1032F">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14:paraId="3704A4B9">
      <w:pPr>
        <w:adjustRightInd w:val="0"/>
        <w:snapToGrid w:val="0"/>
        <w:spacing w:line="600" w:lineRule="exact"/>
        <w:ind w:firstLine="720"/>
        <w:rPr>
          <w:rFonts w:eastAsia="仿宋_GB2312"/>
          <w:sz w:val="32"/>
          <w:szCs w:val="32"/>
        </w:rPr>
      </w:pPr>
      <w:r>
        <w:rPr>
          <w:rFonts w:hint="eastAsia" w:ascii="仿宋_GB2312" w:hAnsi="宋体" w:eastAsia="仿宋_GB2312"/>
          <w:sz w:val="32"/>
          <w:szCs w:val="32"/>
        </w:rPr>
        <w:t>盐边县人民法院审判大楼和永兴法庭的部分基础工程款、监理费、代理费、代建费、工程监理费等</w:t>
      </w:r>
      <w:r>
        <w:rPr>
          <w:rFonts w:hint="eastAsia" w:ascii="仿宋_GB2312" w:hAnsi="宋体" w:eastAsia="仿宋_GB2312"/>
          <w:sz w:val="32"/>
          <w:szCs w:val="32"/>
          <w:lang w:val="zh-CN"/>
        </w:rPr>
        <w:t>。</w:t>
      </w:r>
    </w:p>
    <w:p w14:paraId="6CAB0E71">
      <w:pPr>
        <w:numPr>
          <w:ilvl w:val="0"/>
          <w:numId w:val="10"/>
        </w:num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项目应实现的具体绩效目标，包括目标的量化、细化情况以及项目实施进度计划等。</w:t>
      </w:r>
    </w:p>
    <w:p w14:paraId="1ACE864E">
      <w:pPr>
        <w:pStyle w:val="2"/>
        <w:spacing w:before="93"/>
        <w:rPr>
          <w:rFonts w:hAnsi="宋体"/>
          <w:kern w:val="2"/>
          <w:sz w:val="32"/>
          <w:szCs w:val="32"/>
        </w:rPr>
      </w:pPr>
      <w:r>
        <w:rPr>
          <w:rFonts w:hint="eastAsia" w:hAnsi="宋体"/>
          <w:kern w:val="2"/>
          <w:sz w:val="32"/>
          <w:szCs w:val="32"/>
        </w:rPr>
        <w:t>根据合同条款，支付县法院审判大楼和永兴法庭的相关款项，保障县审判大楼的正常使用和必要维护，保障永兴法庭按时保量投入使用，保障法院审判工作的正常运行。</w:t>
      </w:r>
    </w:p>
    <w:p w14:paraId="5F0047DC">
      <w:pPr>
        <w:numPr>
          <w:ilvl w:val="0"/>
          <w:numId w:val="10"/>
        </w:num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分析评价申报内容是否与实际相符，申报目标是否合理可行。</w:t>
      </w:r>
    </w:p>
    <w:p w14:paraId="071C1D7C">
      <w:pPr>
        <w:pStyle w:val="2"/>
        <w:spacing w:before="93"/>
        <w:ind w:left="720"/>
        <w:rPr>
          <w:sz w:val="32"/>
          <w:szCs w:val="32"/>
        </w:rPr>
      </w:pPr>
      <w:r>
        <w:rPr>
          <w:rFonts w:hint="eastAsia"/>
          <w:sz w:val="32"/>
          <w:szCs w:val="32"/>
        </w:rPr>
        <w:t>申报内容与实际相符，申报目标合理可行。</w:t>
      </w:r>
    </w:p>
    <w:p w14:paraId="41695A73">
      <w:pPr>
        <w:numPr>
          <w:ilvl w:val="0"/>
          <w:numId w:val="8"/>
        </w:num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项目自评步骤及方法。</w:t>
      </w:r>
    </w:p>
    <w:p w14:paraId="5CFA88A7">
      <w:pPr>
        <w:adjustRightInd w:val="0"/>
        <w:snapToGrid w:val="0"/>
        <w:spacing w:line="600" w:lineRule="exact"/>
        <w:ind w:left="420" w:leftChars="200" w:firstLine="320" w:firstLineChars="100"/>
        <w:rPr>
          <w:rFonts w:ascii="仿宋_GB2312" w:hAnsi="宋体" w:eastAsia="仿宋_GB2312"/>
          <w:sz w:val="32"/>
          <w:szCs w:val="32"/>
          <w:lang w:val="zh-CN"/>
        </w:rPr>
      </w:pPr>
      <w:r>
        <w:rPr>
          <w:rFonts w:hint="eastAsia" w:ascii="仿宋_GB2312" w:hAnsi="宋体" w:eastAsia="仿宋_GB2312"/>
          <w:sz w:val="32"/>
          <w:szCs w:val="32"/>
        </w:rPr>
        <w:t>建立评价工作组，制定评价工作方案，对项目开展综合评分，全面考量项目的实施</w:t>
      </w:r>
      <w:r>
        <w:rPr>
          <w:rFonts w:hint="eastAsia" w:ascii="仿宋_GB2312" w:hAnsi="宋体" w:eastAsia="仿宋_GB2312"/>
          <w:sz w:val="32"/>
          <w:szCs w:val="32"/>
          <w:lang w:val="zh-CN"/>
        </w:rPr>
        <w:t>。</w:t>
      </w:r>
    </w:p>
    <w:p w14:paraId="5F77B68C">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25C43F5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5540B5CB">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本项目由县财政根据盐财资行【2021】47号下达县法院两庭建设资金266.02万元</w:t>
      </w:r>
      <w:r>
        <w:rPr>
          <w:rFonts w:hint="eastAsia" w:ascii="仿宋_GB2312" w:hAnsi="宋体" w:eastAsia="仿宋_GB2312"/>
          <w:sz w:val="32"/>
          <w:szCs w:val="32"/>
          <w:lang w:val="zh-CN"/>
        </w:rPr>
        <w:t>。</w:t>
      </w:r>
    </w:p>
    <w:p w14:paraId="00FA6753">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64A883A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1．资金计划。</w:t>
      </w:r>
      <w:r>
        <w:rPr>
          <w:rFonts w:hint="eastAsia" w:ascii="仿宋_GB2312" w:hAnsi="宋体" w:eastAsia="仿宋_GB2312"/>
          <w:sz w:val="32"/>
          <w:szCs w:val="32"/>
        </w:rPr>
        <w:t>县财政划拨预算资金266.02万元</w:t>
      </w:r>
      <w:r>
        <w:rPr>
          <w:rFonts w:hint="eastAsia" w:ascii="仿宋_GB2312" w:hAnsi="宋体" w:eastAsia="仿宋_GB2312"/>
          <w:sz w:val="32"/>
          <w:szCs w:val="32"/>
          <w:lang w:val="zh-CN"/>
        </w:rPr>
        <w:t>。</w:t>
      </w:r>
    </w:p>
    <w:p w14:paraId="49C262F4">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2．资金到位。</w:t>
      </w:r>
      <w:r>
        <w:rPr>
          <w:rFonts w:hint="eastAsia" w:ascii="仿宋_GB2312" w:hAnsi="宋体" w:eastAsia="仿宋_GB2312"/>
          <w:sz w:val="32"/>
          <w:szCs w:val="32"/>
        </w:rPr>
        <w:t>县财政划拨资金266.02万元全部到位</w:t>
      </w:r>
      <w:r>
        <w:rPr>
          <w:rFonts w:hint="eastAsia" w:ascii="仿宋_GB2312" w:hAnsi="宋体" w:eastAsia="仿宋_GB2312"/>
          <w:sz w:val="32"/>
          <w:szCs w:val="32"/>
          <w:lang w:val="zh-CN"/>
        </w:rPr>
        <w:t>。</w:t>
      </w:r>
    </w:p>
    <w:p w14:paraId="1D6BA55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3．资金使用。</w:t>
      </w:r>
      <w:r>
        <w:rPr>
          <w:rFonts w:hint="eastAsia" w:ascii="仿宋_GB2312" w:hAnsi="宋体" w:eastAsia="仿宋_GB2312"/>
          <w:sz w:val="32"/>
          <w:szCs w:val="32"/>
        </w:rPr>
        <w:t>按预算指标严格使用该专项资金266.02万元</w:t>
      </w:r>
      <w:r>
        <w:rPr>
          <w:rFonts w:hint="eastAsia" w:ascii="仿宋_GB2312" w:hAnsi="宋体" w:eastAsia="仿宋_GB2312"/>
          <w:sz w:val="32"/>
          <w:szCs w:val="32"/>
          <w:lang w:val="zh-CN"/>
        </w:rPr>
        <w:t>。</w:t>
      </w:r>
    </w:p>
    <w:p w14:paraId="2E56028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4ABB9D31">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盐边县人民法院</w:t>
      </w:r>
      <w:r>
        <w:rPr>
          <w:rFonts w:hint="eastAsia" w:ascii="仿宋_GB2312" w:hAnsi="宋体" w:eastAsia="仿宋_GB2312"/>
          <w:sz w:val="32"/>
          <w:szCs w:val="32"/>
          <w:lang w:val="zh-CN"/>
        </w:rPr>
        <w:t>管理制度健全，严格执行财务管理制度，</w:t>
      </w:r>
      <w:r>
        <w:rPr>
          <w:rFonts w:hint="eastAsia" w:ascii="仿宋_GB2312" w:hAnsi="宋体" w:eastAsia="仿宋_GB2312"/>
          <w:sz w:val="32"/>
          <w:szCs w:val="32"/>
        </w:rPr>
        <w:t>及时完成</w:t>
      </w:r>
      <w:r>
        <w:rPr>
          <w:rFonts w:hint="eastAsia" w:ascii="仿宋_GB2312" w:hAnsi="宋体" w:eastAsia="仿宋_GB2312"/>
          <w:sz w:val="32"/>
          <w:szCs w:val="32"/>
          <w:lang w:val="zh-CN"/>
        </w:rPr>
        <w:t>账务处理，会计核算规范。</w:t>
      </w:r>
    </w:p>
    <w:p w14:paraId="58F8909E">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4DBAC1F6">
      <w:pPr>
        <w:adjustRightInd w:val="0"/>
        <w:snapToGrid w:val="0"/>
        <w:spacing w:line="600" w:lineRule="exact"/>
        <w:ind w:firstLine="720"/>
        <w:rPr>
          <w:rFonts w:ascii="楷体_GB2312" w:hAnsi="宋体" w:eastAsia="楷体_GB2312"/>
          <w:b/>
          <w:sz w:val="32"/>
          <w:szCs w:val="32"/>
        </w:rPr>
      </w:pPr>
      <w:r>
        <w:rPr>
          <w:rFonts w:hint="eastAsia" w:ascii="楷体_GB2312" w:hAnsi="宋体" w:eastAsia="楷体_GB2312"/>
          <w:b/>
          <w:sz w:val="32"/>
          <w:szCs w:val="32"/>
          <w:lang w:val="zh-CN"/>
        </w:rPr>
        <w:t>（一）项目组织架构及实施流程。</w:t>
      </w:r>
      <w:r>
        <w:rPr>
          <w:rFonts w:hint="eastAsia" w:ascii="仿宋_GB2312" w:hAnsi="宋体" w:eastAsia="仿宋_GB2312"/>
          <w:sz w:val="32"/>
          <w:szCs w:val="32"/>
        </w:rPr>
        <w:t>严格按照项目目标任务，严格把关，及时报送计划、支付，保障专款专用。</w:t>
      </w:r>
    </w:p>
    <w:p w14:paraId="0A97B150">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rPr>
        <w:t>严格按照</w:t>
      </w:r>
      <w:r>
        <w:rPr>
          <w:rFonts w:hint="eastAsia" w:ascii="仿宋_GB2312" w:hAnsi="宋体" w:eastAsia="仿宋_GB2312"/>
          <w:sz w:val="32"/>
          <w:szCs w:val="32"/>
          <w:lang w:val="zh-CN"/>
        </w:rPr>
        <w:t>相关法律法规及招投标、政府采购、项目公示制等相关规定</w:t>
      </w:r>
      <w:r>
        <w:rPr>
          <w:rFonts w:hint="eastAsia" w:ascii="仿宋_GB2312" w:hAnsi="宋体" w:eastAsia="仿宋_GB2312"/>
          <w:sz w:val="32"/>
          <w:szCs w:val="32"/>
        </w:rPr>
        <w:t>进行管理</w:t>
      </w:r>
      <w:r>
        <w:rPr>
          <w:rFonts w:hint="eastAsia" w:ascii="仿宋_GB2312" w:hAnsi="宋体" w:eastAsia="仿宋_GB2312"/>
          <w:sz w:val="32"/>
          <w:szCs w:val="32"/>
          <w:lang w:val="zh-CN"/>
        </w:rPr>
        <w:t>。</w:t>
      </w:r>
    </w:p>
    <w:p w14:paraId="477E3FBF">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rPr>
        <w:t>严格根据合同条款，执行验收工程，严格按照财务管理制度，进行账务报销。</w:t>
      </w:r>
    </w:p>
    <w:p w14:paraId="336ED444">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4BAEA35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1D143C52">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rPr>
        <w:t>根据对县审判大楼和永兴法庭的严格验收情况，</w:t>
      </w:r>
      <w:r>
        <w:rPr>
          <w:rFonts w:hint="eastAsia" w:ascii="仿宋_GB2312" w:hAnsi="宋体" w:eastAsia="仿宋_GB2312"/>
          <w:sz w:val="32"/>
          <w:szCs w:val="32"/>
          <w:lang w:val="zh-CN"/>
        </w:rPr>
        <w:t>对照项目计划</w:t>
      </w:r>
      <w:r>
        <w:rPr>
          <w:rFonts w:hint="eastAsia" w:ascii="仿宋_GB2312" w:hAnsi="宋体" w:eastAsia="仿宋_GB2312"/>
          <w:sz w:val="32"/>
          <w:szCs w:val="32"/>
        </w:rPr>
        <w:t>进行款项的支付，已按要求支付县财政下拨的266.02万元“两庭”建设资金</w:t>
      </w:r>
      <w:r>
        <w:rPr>
          <w:rFonts w:hint="eastAsia" w:ascii="仿宋_GB2312" w:hAnsi="宋体" w:eastAsia="仿宋_GB2312"/>
          <w:sz w:val="32"/>
          <w:szCs w:val="32"/>
          <w:lang w:val="zh-CN"/>
        </w:rPr>
        <w:t>。</w:t>
      </w:r>
    </w:p>
    <w:p w14:paraId="693D899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18010B64">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确保了县审判大楼的正常使用和必要维护，保障永兴法庭按时保量投入使用，保障法院审判工作的正常运行</w:t>
      </w:r>
      <w:r>
        <w:rPr>
          <w:rFonts w:hint="eastAsia" w:ascii="仿宋_GB2312" w:hAnsi="宋体" w:eastAsia="仿宋_GB2312"/>
          <w:sz w:val="32"/>
          <w:szCs w:val="32"/>
          <w:lang w:val="zh-CN"/>
        </w:rPr>
        <w:t>。</w:t>
      </w:r>
    </w:p>
    <w:p w14:paraId="17043184">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0845DF1D">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590DAF54">
      <w:pPr>
        <w:adjustRightInd w:val="0"/>
        <w:snapToGrid w:val="0"/>
        <w:spacing w:line="600" w:lineRule="exact"/>
        <w:ind w:firstLine="640" w:firstLineChars="200"/>
        <w:rPr>
          <w:rFonts w:ascii="仿宋_GB2312" w:hAnsi="宋体" w:eastAsia="仿宋_GB2312"/>
          <w:sz w:val="32"/>
          <w:szCs w:val="32"/>
          <w:bdr w:val="single" w:color="auto" w:sz="4" w:space="0"/>
        </w:rPr>
      </w:pPr>
      <w:r>
        <w:rPr>
          <w:rFonts w:hint="eastAsia" w:ascii="仿宋_GB2312" w:hAnsi="宋体" w:eastAsia="仿宋_GB2312"/>
          <w:sz w:val="32"/>
          <w:szCs w:val="32"/>
        </w:rPr>
        <w:t>该项目的及时、完整实施，为盐边县人民法院的审判工作提供了有力保障</w:t>
      </w:r>
      <w:r>
        <w:rPr>
          <w:rFonts w:hint="eastAsia" w:ascii="仿宋_GB2312" w:hAnsi="宋体" w:eastAsia="仿宋_GB2312"/>
          <w:sz w:val="32"/>
          <w:szCs w:val="32"/>
          <w:lang w:val="zh-CN"/>
        </w:rPr>
        <w:t>。</w:t>
      </w:r>
      <w:r>
        <w:rPr>
          <w:rFonts w:hint="eastAsia" w:ascii="仿宋_GB2312" w:hAnsi="宋体" w:eastAsia="仿宋_GB2312"/>
          <w:sz w:val="32"/>
          <w:szCs w:val="32"/>
        </w:rPr>
        <w:t>项目执行率100%，满意度100%。</w:t>
      </w:r>
    </w:p>
    <w:p w14:paraId="66399ED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15D9466A">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无。</w:t>
      </w:r>
      <w:r>
        <w:rPr>
          <w:rFonts w:hint="eastAsia" w:ascii="仿宋_GB2312" w:hAnsi="宋体" w:eastAsia="仿宋_GB2312"/>
          <w:sz w:val="32"/>
          <w:szCs w:val="32"/>
          <w:lang w:val="zh-CN"/>
        </w:rPr>
        <w:tab/>
      </w:r>
    </w:p>
    <w:p w14:paraId="1E17162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47ECA564">
      <w:pPr>
        <w:pStyle w:val="2"/>
        <w:spacing w:before="93"/>
        <w:ind w:firstLine="640" w:firstLineChars="200"/>
        <w:rPr>
          <w:rFonts w:hAnsi="宋体"/>
          <w:sz w:val="32"/>
          <w:szCs w:val="32"/>
        </w:rPr>
      </w:pPr>
      <w:r>
        <w:rPr>
          <w:rFonts w:hint="eastAsia" w:hAnsi="宋体"/>
          <w:sz w:val="32"/>
          <w:szCs w:val="32"/>
        </w:rPr>
        <w:t>无。</w:t>
      </w:r>
    </w:p>
    <w:p w14:paraId="66000FC5">
      <w:pPr>
        <w:pStyle w:val="2"/>
        <w:spacing w:before="93"/>
        <w:ind w:firstLine="640" w:firstLineChars="200"/>
        <w:rPr>
          <w:rFonts w:hAnsi="宋体"/>
          <w:sz w:val="32"/>
          <w:szCs w:val="32"/>
        </w:rPr>
      </w:pPr>
    </w:p>
    <w:p w14:paraId="476B338C">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3405032F">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3B74B355">
            <w:pPr>
              <w:widowControl/>
              <w:jc w:val="center"/>
              <w:textAlignment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2021年部门预算项目绩效目标自评</w:t>
            </w:r>
          </w:p>
          <w:p w14:paraId="1A5DA99B">
            <w:pPr>
              <w:pStyle w:val="2"/>
              <w:spacing w:before="93"/>
              <w:jc w:val="center"/>
              <w:rPr>
                <w:rFonts w:eastAsia="宋体"/>
              </w:rPr>
            </w:pPr>
            <w:r>
              <w:rPr>
                <w:rFonts w:hint="eastAsia" w:cs="宋体" w:asciiTheme="minorEastAsia" w:hAnsiTheme="minorEastAsia" w:eastAsiaTheme="minorEastAsia"/>
                <w:b/>
                <w:bCs/>
                <w:sz w:val="32"/>
                <w:szCs w:val="32"/>
              </w:rPr>
              <w:t>盐边县人民</w:t>
            </w:r>
            <w:r>
              <w:rPr>
                <w:rFonts w:hint="eastAsia" w:cs="宋体" w:asciiTheme="minorEastAsia" w:hAnsiTheme="minorEastAsia" w:eastAsiaTheme="minorEastAsia"/>
                <w:b/>
                <w:bCs/>
                <w:sz w:val="32"/>
                <w:szCs w:val="32"/>
                <w:lang w:val="zh-CN"/>
              </w:rPr>
              <w:t>法院“两庭”建设资金</w:t>
            </w:r>
            <w:r>
              <w:rPr>
                <w:rFonts w:hint="eastAsia" w:cs="宋体" w:asciiTheme="minorEastAsia" w:hAnsiTheme="minorEastAsia" w:eastAsiaTheme="minorEastAsia"/>
                <w:b/>
                <w:bCs/>
                <w:sz w:val="32"/>
                <w:szCs w:val="32"/>
              </w:rPr>
              <w:t>项目绩效目标自评</w:t>
            </w:r>
          </w:p>
        </w:tc>
        <w:tc>
          <w:tcPr>
            <w:tcW w:w="234" w:type="dxa"/>
            <w:tcBorders>
              <w:top w:val="nil"/>
              <w:left w:val="nil"/>
              <w:bottom w:val="nil"/>
              <w:right w:val="nil"/>
            </w:tcBorders>
            <w:shd w:val="clear" w:color="auto" w:fill="auto"/>
            <w:vAlign w:val="center"/>
          </w:tcPr>
          <w:p w14:paraId="13295CAD">
            <w:pPr>
              <w:widowControl/>
              <w:jc w:val="center"/>
              <w:textAlignment w:val="center"/>
              <w:rPr>
                <w:rFonts w:ascii="宋体" w:hAnsi="宋体" w:cs="宋体"/>
                <w:b/>
                <w:kern w:val="0"/>
                <w:sz w:val="32"/>
                <w:szCs w:val="32"/>
              </w:rPr>
            </w:pPr>
          </w:p>
        </w:tc>
      </w:tr>
      <w:tr w14:paraId="6ACB0702">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61860">
            <w:pPr>
              <w:widowControl/>
              <w:spacing w:line="320" w:lineRule="exact"/>
              <w:jc w:val="center"/>
              <w:textAlignment w:val="center"/>
              <w:rPr>
                <w:rFonts w:ascii="宋体" w:hAnsi="宋体" w:cs="宋体"/>
                <w:kern w:val="0"/>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42FC7">
            <w:pPr>
              <w:widowControl/>
              <w:spacing w:line="320" w:lineRule="exact"/>
              <w:textAlignment w:val="center"/>
              <w:rPr>
                <w:rFonts w:ascii="宋体" w:hAnsi="宋体" w:cs="宋体"/>
                <w:kern w:val="0"/>
                <w:sz w:val="24"/>
              </w:rPr>
            </w:pPr>
            <w:r>
              <w:rPr>
                <w:rFonts w:hint="eastAsia" w:ascii="宋体" w:hAnsi="宋体" w:cs="宋体"/>
                <w:kern w:val="0"/>
                <w:sz w:val="24"/>
              </w:rPr>
              <w:t>盐边县人民法院225001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DED3">
            <w:pPr>
              <w:widowControl/>
              <w:spacing w:line="320" w:lineRule="exact"/>
              <w:jc w:val="center"/>
              <w:textAlignment w:val="center"/>
              <w:rPr>
                <w:rFonts w:ascii="宋体" w:hAnsi="宋体" w:cs="宋体"/>
                <w:kern w:val="0"/>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0932">
            <w:pPr>
              <w:widowControl/>
              <w:spacing w:line="320" w:lineRule="exact"/>
              <w:jc w:val="center"/>
              <w:textAlignment w:val="center"/>
              <w:rPr>
                <w:rFonts w:ascii="宋体" w:hAnsi="宋体" w:cs="宋体"/>
                <w:kern w:val="0"/>
                <w:sz w:val="24"/>
              </w:rPr>
            </w:pPr>
            <w:r>
              <w:rPr>
                <w:rFonts w:hint="eastAsia" w:ascii="宋体" w:hAnsi="宋体" w:cs="宋体"/>
                <w:kern w:val="0"/>
                <w:sz w:val="24"/>
              </w:rPr>
              <w:t>盐边县人民法院</w:t>
            </w:r>
          </w:p>
        </w:tc>
      </w:tr>
      <w:tr w14:paraId="01CB9782">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F90B3">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CF76">
            <w:pPr>
              <w:widowControl/>
              <w:spacing w:line="320" w:lineRule="exact"/>
              <w:jc w:val="left"/>
              <w:textAlignment w:val="center"/>
              <w:rPr>
                <w:rFonts w:ascii="宋体" w:hAnsi="宋体" w:cs="宋体"/>
                <w:kern w:val="0"/>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75C9">
            <w:pPr>
              <w:widowControl/>
              <w:spacing w:line="320" w:lineRule="exact"/>
              <w:jc w:val="left"/>
              <w:textAlignment w:val="center"/>
              <w:rPr>
                <w:rFonts w:ascii="宋体" w:hAnsi="宋体" w:cs="宋体"/>
                <w:kern w:val="0"/>
                <w:sz w:val="24"/>
              </w:rPr>
            </w:pPr>
            <w:r>
              <w:rPr>
                <w:rFonts w:hint="eastAsia" w:ascii="宋体" w:hAnsi="宋体" w:cs="宋体"/>
                <w:kern w:val="0"/>
                <w:sz w:val="24"/>
              </w:rPr>
              <w:t>266.02万元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DF35">
            <w:pPr>
              <w:widowControl/>
              <w:spacing w:line="320" w:lineRule="exact"/>
              <w:jc w:val="left"/>
              <w:textAlignment w:val="center"/>
              <w:rPr>
                <w:rFonts w:ascii="宋体" w:hAnsi="宋体" w:cs="宋体"/>
                <w:kern w:val="0"/>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4016">
            <w:pPr>
              <w:widowControl/>
              <w:spacing w:line="320" w:lineRule="exact"/>
              <w:jc w:val="right"/>
              <w:textAlignment w:val="center"/>
              <w:rPr>
                <w:rFonts w:ascii="宋体" w:hAnsi="宋体" w:cs="宋体"/>
                <w:kern w:val="0"/>
                <w:sz w:val="24"/>
              </w:rPr>
            </w:pPr>
            <w:r>
              <w:rPr>
                <w:rFonts w:hint="eastAsia" w:ascii="宋体" w:hAnsi="宋体" w:cs="宋体"/>
                <w:kern w:val="0"/>
                <w:sz w:val="24"/>
              </w:rPr>
              <w:t>266.02万元</w:t>
            </w:r>
          </w:p>
        </w:tc>
      </w:tr>
      <w:tr w14:paraId="4777ACB7">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2E374">
            <w:pPr>
              <w:widowControl/>
              <w:spacing w:line="320" w:lineRule="exact"/>
              <w:jc w:val="center"/>
              <w:textAlignment w:val="center"/>
              <w:rPr>
                <w:rFonts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E66E">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41FA3CE8">
            <w:pPr>
              <w:widowControl/>
              <w:spacing w:line="320" w:lineRule="exact"/>
              <w:jc w:val="left"/>
              <w:textAlignment w:val="center"/>
              <w:rPr>
                <w:rFonts w:ascii="宋体" w:hAnsi="宋体" w:cs="宋体"/>
                <w:kern w:val="0"/>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42EE">
            <w:pPr>
              <w:widowControl/>
              <w:spacing w:line="320" w:lineRule="exact"/>
              <w:jc w:val="left"/>
              <w:textAlignment w:val="center"/>
              <w:rPr>
                <w:rFonts w:ascii="宋体" w:hAnsi="宋体" w:cs="宋体"/>
                <w:kern w:val="0"/>
                <w:sz w:val="24"/>
              </w:rPr>
            </w:pPr>
            <w:r>
              <w:rPr>
                <w:rFonts w:hint="eastAsia" w:ascii="宋体" w:hAnsi="宋体" w:cs="宋体"/>
                <w:kern w:val="0"/>
                <w:sz w:val="24"/>
              </w:rPr>
              <w:t>266.02万元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9165">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14960BBF">
            <w:pPr>
              <w:widowControl/>
              <w:spacing w:line="320" w:lineRule="exact"/>
              <w:jc w:val="left"/>
              <w:textAlignment w:val="center"/>
              <w:rPr>
                <w:rFonts w:ascii="宋体" w:hAnsi="宋体" w:cs="宋体"/>
                <w:kern w:val="0"/>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49A1">
            <w:pPr>
              <w:widowControl/>
              <w:spacing w:line="320" w:lineRule="exact"/>
              <w:textAlignment w:val="center"/>
              <w:rPr>
                <w:rFonts w:ascii="宋体" w:hAnsi="宋体" w:cs="宋体"/>
                <w:kern w:val="0"/>
                <w:sz w:val="24"/>
              </w:rPr>
            </w:pPr>
            <w:r>
              <w:rPr>
                <w:rFonts w:hint="eastAsia" w:ascii="宋体" w:hAnsi="宋体" w:cs="宋体"/>
                <w:kern w:val="0"/>
                <w:sz w:val="24"/>
              </w:rPr>
              <w:t>266.02万元</w:t>
            </w:r>
          </w:p>
        </w:tc>
      </w:tr>
      <w:tr w14:paraId="164B480D">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786F">
            <w:pPr>
              <w:widowControl/>
              <w:spacing w:line="320" w:lineRule="exact"/>
              <w:jc w:val="center"/>
              <w:textAlignment w:val="center"/>
              <w:rPr>
                <w:rFonts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147E">
            <w:pPr>
              <w:widowControl/>
              <w:spacing w:line="320" w:lineRule="exact"/>
              <w:jc w:val="left"/>
              <w:textAlignment w:val="center"/>
              <w:rPr>
                <w:rFonts w:ascii="宋体" w:hAnsi="宋体" w:cs="宋体"/>
                <w:kern w:val="0"/>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F53E">
            <w:pPr>
              <w:widowControl/>
              <w:spacing w:line="320" w:lineRule="exact"/>
              <w:jc w:val="left"/>
              <w:textAlignment w:val="center"/>
              <w:rPr>
                <w:rFonts w:ascii="宋体" w:hAnsi="宋体" w:cs="宋体"/>
                <w:kern w:val="0"/>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7DE5">
            <w:pPr>
              <w:widowControl/>
              <w:spacing w:line="320" w:lineRule="exact"/>
              <w:jc w:val="left"/>
              <w:textAlignment w:val="center"/>
              <w:rPr>
                <w:rFonts w:ascii="宋体" w:hAnsi="宋体" w:cs="宋体"/>
                <w:kern w:val="0"/>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DF68">
            <w:pPr>
              <w:widowControl/>
              <w:spacing w:line="320" w:lineRule="exact"/>
              <w:jc w:val="center"/>
              <w:textAlignment w:val="center"/>
              <w:rPr>
                <w:rFonts w:ascii="宋体" w:hAnsi="宋体" w:cs="宋体"/>
                <w:kern w:val="0"/>
                <w:sz w:val="24"/>
              </w:rPr>
            </w:pPr>
          </w:p>
        </w:tc>
      </w:tr>
      <w:tr w14:paraId="08F6BF89">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DA075">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4C3AFED1">
            <w:pPr>
              <w:widowControl/>
              <w:spacing w:line="320" w:lineRule="exact"/>
              <w:jc w:val="center"/>
              <w:textAlignment w:val="center"/>
              <w:rPr>
                <w:rFonts w:ascii="宋体" w:hAnsi="宋体" w:cs="宋体"/>
                <w:kern w:val="0"/>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4A0C01">
            <w:pPr>
              <w:widowControl/>
              <w:spacing w:line="320" w:lineRule="exact"/>
              <w:jc w:val="center"/>
              <w:textAlignment w:val="center"/>
              <w:rPr>
                <w:rFonts w:ascii="宋体" w:hAnsi="宋体" w:cs="宋体"/>
                <w:kern w:val="0"/>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F2A4E">
            <w:pPr>
              <w:widowControl/>
              <w:spacing w:line="320" w:lineRule="exact"/>
              <w:jc w:val="center"/>
              <w:textAlignment w:val="center"/>
              <w:rPr>
                <w:rFonts w:ascii="宋体" w:hAnsi="宋体" w:cs="宋体"/>
                <w:kern w:val="0"/>
                <w:sz w:val="24"/>
              </w:rPr>
            </w:pPr>
            <w:r>
              <w:rPr>
                <w:rFonts w:hint="eastAsia" w:ascii="宋体" w:hAnsi="宋体" w:cs="宋体"/>
                <w:kern w:val="0"/>
                <w:sz w:val="24"/>
              </w:rPr>
              <w:t>目标实际完成情况</w:t>
            </w:r>
          </w:p>
        </w:tc>
      </w:tr>
      <w:tr w14:paraId="747EC3A0">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B45F6">
            <w:pPr>
              <w:widowControl/>
              <w:spacing w:line="320" w:lineRule="exact"/>
              <w:jc w:val="center"/>
              <w:textAlignment w:val="center"/>
              <w:rPr>
                <w:rFonts w:ascii="宋体" w:hAnsi="宋体" w:cs="宋体"/>
                <w:kern w:val="0"/>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52D594ED">
            <w:pPr>
              <w:widowControl/>
              <w:spacing w:line="320" w:lineRule="exact"/>
              <w:jc w:val="left"/>
              <w:textAlignment w:val="center"/>
              <w:rPr>
                <w:rFonts w:ascii="宋体" w:hAnsi="宋体" w:cs="宋体"/>
                <w:kern w:val="0"/>
                <w:sz w:val="24"/>
              </w:rPr>
            </w:pPr>
            <w:r>
              <w:rPr>
                <w:rFonts w:hint="eastAsia" w:ascii="宋体" w:hAnsi="宋体" w:cs="宋体"/>
                <w:kern w:val="0"/>
                <w:sz w:val="24"/>
              </w:rPr>
              <w:t>根据对县审判大楼和永兴法庭的严格验收情况，对照项目计划进行款项的支付。确保了县审判大楼的正常使用和必要维护，保障永兴法庭按时保量投入使用，保障法院审判工作的正常运行</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14:paraId="4363DE56">
            <w:pPr>
              <w:widowControl/>
              <w:spacing w:line="320" w:lineRule="exact"/>
              <w:jc w:val="left"/>
              <w:textAlignment w:val="center"/>
              <w:rPr>
                <w:rFonts w:ascii="宋体" w:hAnsi="宋体" w:cs="宋体"/>
                <w:kern w:val="0"/>
                <w:sz w:val="24"/>
              </w:rPr>
            </w:pPr>
            <w:r>
              <w:rPr>
                <w:rFonts w:hint="eastAsia" w:ascii="宋体" w:hAnsi="宋体" w:cs="宋体"/>
                <w:kern w:val="0"/>
                <w:sz w:val="24"/>
              </w:rPr>
              <w:t>确保了县审判大楼的正常使用和必要维护，保障永兴法庭按时保量投入使用，保障法院审判工作的正常运行</w:t>
            </w:r>
          </w:p>
        </w:tc>
      </w:tr>
      <w:tr w14:paraId="4020CD2A">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63F68E2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7F1F6423">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114514E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1AE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4229F3B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B79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78A65D8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3BC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235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实际完成指标值</w:t>
            </w:r>
          </w:p>
        </w:tc>
      </w:tr>
      <w:tr w14:paraId="5EE5DE6E">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5A5394A0">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F8F3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55C6A86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5527C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0302A4">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1个审判大楼和一个法庭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43AA9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完成验收并支付相关款项</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798B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14:paraId="5053CE3D">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362F5CA4">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0CCCEAF">
            <w:pPr>
              <w:widowControl/>
              <w:spacing w:line="320" w:lineRule="exact"/>
              <w:jc w:val="center"/>
              <w:textAlignment w:val="center"/>
              <w:rPr>
                <w:rFonts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D2B27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D86DC3">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验收标准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0C98B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完全达到验收标准</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362C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14:paraId="400EE79B">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2111D629">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AF301B7">
            <w:pPr>
              <w:widowControl/>
              <w:spacing w:line="320" w:lineRule="exact"/>
              <w:jc w:val="center"/>
              <w:textAlignment w:val="center"/>
              <w:rPr>
                <w:rFonts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41C0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7FB24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按合同时间完成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B59B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已完成</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A796C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14:paraId="5AB14C17">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1A4ED32F">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7000BBA">
            <w:pPr>
              <w:widowControl/>
              <w:spacing w:line="320" w:lineRule="exact"/>
              <w:jc w:val="center"/>
              <w:textAlignment w:val="center"/>
              <w:rPr>
                <w:rFonts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53CF5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FFCDE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业务成本</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B29B2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266.02万元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42163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14:paraId="77BBF125">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180BF308">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E3A38">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8BFD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477B41">
            <w:pPr>
              <w:widowControl/>
              <w:spacing w:line="320" w:lineRule="exact"/>
              <w:jc w:val="center"/>
              <w:textAlignment w:val="center"/>
              <w:rPr>
                <w:rFonts w:ascii="仿宋_GB2312" w:hAnsi="仿宋_GB2312" w:eastAsia="仿宋_GB2312" w:cs="仿宋_GB2312"/>
                <w:kern w:val="0"/>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90DE9">
            <w:pPr>
              <w:widowControl/>
              <w:spacing w:line="320" w:lineRule="exact"/>
              <w:jc w:val="center"/>
              <w:textAlignment w:val="center"/>
              <w:rPr>
                <w:rFonts w:ascii="仿宋_GB2312" w:hAnsi="仿宋_GB2312" w:eastAsia="仿宋_GB2312" w:cs="仿宋_GB2312"/>
                <w:kern w:val="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F4DDEB">
            <w:pPr>
              <w:widowControl/>
              <w:spacing w:line="320" w:lineRule="exact"/>
              <w:jc w:val="center"/>
              <w:textAlignment w:val="center"/>
              <w:rPr>
                <w:rFonts w:ascii="仿宋_GB2312" w:hAnsi="仿宋_GB2312" w:eastAsia="仿宋_GB2312" w:cs="仿宋_GB2312"/>
                <w:kern w:val="0"/>
                <w:sz w:val="28"/>
                <w:szCs w:val="28"/>
              </w:rPr>
            </w:pPr>
          </w:p>
        </w:tc>
      </w:tr>
      <w:tr w14:paraId="5064B45E">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3354589E">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E3D6533">
            <w:pPr>
              <w:widowControl/>
              <w:spacing w:line="320" w:lineRule="exact"/>
              <w:jc w:val="center"/>
              <w:textAlignment w:val="center"/>
              <w:rPr>
                <w:rFonts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3F44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7F7E70">
            <w:pPr>
              <w:widowControl/>
              <w:spacing w:line="320" w:lineRule="exact"/>
              <w:jc w:val="center"/>
              <w:textAlignment w:val="center"/>
              <w:rPr>
                <w:rFonts w:ascii="仿宋_GB2312" w:hAnsi="仿宋_GB2312" w:eastAsia="仿宋_GB2312" w:cs="仿宋_GB2312"/>
                <w:kern w:val="0"/>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6F67A4">
            <w:pPr>
              <w:widowControl/>
              <w:spacing w:line="320" w:lineRule="exact"/>
              <w:jc w:val="center"/>
              <w:textAlignment w:val="center"/>
              <w:rPr>
                <w:rFonts w:ascii="仿宋_GB2312" w:hAnsi="仿宋_GB2312" w:eastAsia="仿宋_GB2312" w:cs="仿宋_GB2312"/>
                <w:kern w:val="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6AECA0">
            <w:pPr>
              <w:widowControl/>
              <w:spacing w:line="320" w:lineRule="exact"/>
              <w:jc w:val="center"/>
              <w:textAlignment w:val="center"/>
              <w:rPr>
                <w:rFonts w:ascii="仿宋_GB2312" w:hAnsi="仿宋_GB2312" w:eastAsia="仿宋_GB2312" w:cs="仿宋_GB2312"/>
                <w:kern w:val="0"/>
                <w:sz w:val="28"/>
                <w:szCs w:val="28"/>
              </w:rPr>
            </w:pPr>
          </w:p>
        </w:tc>
      </w:tr>
      <w:tr w14:paraId="782664AF">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4F7D15DE">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6D0BD12">
            <w:pPr>
              <w:widowControl/>
              <w:spacing w:line="320" w:lineRule="exact"/>
              <w:jc w:val="center"/>
              <w:textAlignment w:val="center"/>
              <w:rPr>
                <w:rFonts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51538A">
            <w:pPr>
              <w:widowControl/>
              <w:spacing w:line="320" w:lineRule="exact"/>
              <w:ind w:left="463" w:leftChars="87" w:hanging="280" w:hangingChars="100"/>
              <w:jc w:val="lef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9715F">
            <w:pPr>
              <w:widowControl/>
              <w:spacing w:line="320" w:lineRule="exact"/>
              <w:jc w:val="center"/>
              <w:textAlignment w:val="center"/>
              <w:rPr>
                <w:rFonts w:ascii="仿宋_GB2312" w:hAnsi="仿宋_GB2312" w:eastAsia="仿宋_GB2312" w:cs="仿宋_GB2312"/>
                <w:kern w:val="0"/>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CC8579">
            <w:pPr>
              <w:widowControl/>
              <w:spacing w:line="320" w:lineRule="exact"/>
              <w:jc w:val="center"/>
              <w:textAlignment w:val="center"/>
              <w:rPr>
                <w:rFonts w:ascii="仿宋_GB2312" w:hAnsi="仿宋_GB2312" w:eastAsia="仿宋_GB2312" w:cs="仿宋_GB2312"/>
                <w:kern w:val="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07D024">
            <w:pPr>
              <w:widowControl/>
              <w:spacing w:line="320" w:lineRule="exact"/>
              <w:jc w:val="center"/>
              <w:textAlignment w:val="center"/>
              <w:rPr>
                <w:rFonts w:ascii="仿宋_GB2312" w:hAnsi="仿宋_GB2312" w:eastAsia="仿宋_GB2312" w:cs="仿宋_GB2312"/>
                <w:kern w:val="0"/>
                <w:sz w:val="28"/>
                <w:szCs w:val="28"/>
              </w:rPr>
            </w:pPr>
          </w:p>
        </w:tc>
      </w:tr>
      <w:tr w14:paraId="56401892">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10D531E5">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F3B30C4">
            <w:pPr>
              <w:widowControl/>
              <w:spacing w:line="320" w:lineRule="exact"/>
              <w:jc w:val="center"/>
              <w:textAlignment w:val="center"/>
              <w:rPr>
                <w:rFonts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5FA2F">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5E555E">
            <w:pPr>
              <w:widowControl/>
              <w:spacing w:line="320" w:lineRule="exact"/>
              <w:jc w:val="center"/>
              <w:textAlignment w:val="center"/>
              <w:rPr>
                <w:rFonts w:ascii="仿宋_GB2312" w:hAnsi="仿宋_GB2312" w:eastAsia="仿宋_GB2312" w:cs="仿宋_GB2312"/>
                <w:kern w:val="0"/>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6E3039">
            <w:pPr>
              <w:widowControl/>
              <w:spacing w:line="320" w:lineRule="exact"/>
              <w:jc w:val="center"/>
              <w:textAlignment w:val="center"/>
              <w:rPr>
                <w:rFonts w:ascii="仿宋_GB2312" w:hAnsi="仿宋_GB2312" w:eastAsia="仿宋_GB2312" w:cs="仿宋_GB2312"/>
                <w:kern w:val="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AE1474">
            <w:pPr>
              <w:widowControl/>
              <w:spacing w:line="320" w:lineRule="exact"/>
              <w:jc w:val="center"/>
              <w:textAlignment w:val="center"/>
              <w:rPr>
                <w:rFonts w:ascii="仿宋_GB2312" w:hAnsi="仿宋_GB2312" w:eastAsia="仿宋_GB2312" w:cs="仿宋_GB2312"/>
                <w:kern w:val="0"/>
                <w:sz w:val="28"/>
                <w:szCs w:val="28"/>
              </w:rPr>
            </w:pPr>
          </w:p>
        </w:tc>
      </w:tr>
      <w:tr w14:paraId="4C40834F">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7BF35887">
            <w:pPr>
              <w:widowControl/>
              <w:spacing w:line="320" w:lineRule="exact"/>
              <w:jc w:val="center"/>
              <w:textAlignment w:val="center"/>
              <w:rPr>
                <w:rFonts w:ascii="仿宋_GB2312" w:hAnsi="仿宋_GB2312" w:eastAsia="仿宋_GB2312" w:cs="仿宋_GB2312"/>
                <w:kern w:val="0"/>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99C5E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96C89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127DBF8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DA613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3A68B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29AC7E">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bl>
    <w:p w14:paraId="55B857F6">
      <w:pPr>
        <w:spacing w:line="580" w:lineRule="exact"/>
        <w:rPr>
          <w:rStyle w:val="25"/>
          <w:rFonts w:ascii="黑体" w:hAnsi="黑体" w:eastAsia="黑体"/>
          <w:b w:val="0"/>
        </w:rPr>
      </w:pPr>
    </w:p>
    <w:p w14:paraId="1AD521E1">
      <w:pPr>
        <w:spacing w:line="600" w:lineRule="exact"/>
        <w:jc w:val="center"/>
        <w:rPr>
          <w:rFonts w:ascii="方正小标宋简体" w:hAnsi="方正小标宋简体" w:eastAsia="方正小标宋简体" w:cs="方正小标宋简体"/>
          <w:sz w:val="40"/>
          <w:szCs w:val="40"/>
          <w:lang w:val="zh-CN"/>
        </w:rPr>
      </w:pPr>
      <w:r>
        <w:rPr>
          <w:rStyle w:val="25"/>
          <w:rFonts w:ascii="黑体" w:hAnsi="黑体" w:eastAsia="黑体"/>
          <w:b w:val="0"/>
        </w:rPr>
        <w:br w:type="page"/>
      </w: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055AB021">
      <w:pPr>
        <w:spacing w:line="600" w:lineRule="exact"/>
        <w:ind w:firstLine="1280" w:firstLineChars="400"/>
        <w:rPr>
          <w:rFonts w:ascii="仿宋_GB2312" w:hAnsi="宋体" w:eastAsia="仿宋_GB2312"/>
          <w:sz w:val="32"/>
          <w:szCs w:val="32"/>
          <w:lang w:val="zh-CN"/>
        </w:rPr>
      </w:pPr>
      <w:r>
        <w:rPr>
          <w:rFonts w:hint="eastAsia" w:ascii="仿宋_GB2312" w:hAnsi="宋体" w:eastAsia="仿宋_GB2312"/>
          <w:sz w:val="32"/>
          <w:szCs w:val="32"/>
          <w:lang w:val="zh-CN"/>
        </w:rPr>
        <w:t>（盐边县人民法院空调及办公设备采购资金）</w:t>
      </w:r>
    </w:p>
    <w:p w14:paraId="0C59F6EC">
      <w:pPr>
        <w:spacing w:line="600" w:lineRule="exact"/>
        <w:ind w:firstLine="640"/>
        <w:jc w:val="center"/>
        <w:rPr>
          <w:rFonts w:ascii="宋体" w:hAnsi="宋体"/>
          <w:sz w:val="32"/>
          <w:szCs w:val="32"/>
          <w:lang w:val="zh-CN"/>
        </w:rPr>
      </w:pPr>
    </w:p>
    <w:p w14:paraId="1D10BF7B">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1886C25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10A199BE">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14:paraId="79278681">
      <w:pPr>
        <w:adjustRightInd w:val="0"/>
        <w:snapToGrid w:val="0"/>
        <w:spacing w:line="600" w:lineRule="exact"/>
        <w:ind w:firstLine="720"/>
        <w:rPr>
          <w:lang w:val="zh-CN"/>
        </w:rPr>
      </w:pPr>
      <w:r>
        <w:rPr>
          <w:rFonts w:hint="eastAsia" w:ascii="仿宋_GB2312" w:hAnsi="宋体" w:eastAsia="仿宋_GB2312"/>
          <w:sz w:val="32"/>
          <w:szCs w:val="32"/>
        </w:rPr>
        <w:t>盐边县人民法院是</w:t>
      </w:r>
      <w:r>
        <w:rPr>
          <w:rFonts w:hint="eastAsia" w:ascii="仿宋_GB2312" w:hAnsi="宋体" w:eastAsia="仿宋_GB2312"/>
          <w:sz w:val="32"/>
          <w:szCs w:val="32"/>
          <w:lang w:val="zh-CN"/>
        </w:rPr>
        <w:t>“空调及办公设备采购资金”</w:t>
      </w:r>
      <w:r>
        <w:rPr>
          <w:rFonts w:hint="eastAsia" w:ascii="仿宋_GB2312" w:hAnsi="宋体" w:eastAsia="仿宋_GB2312"/>
          <w:sz w:val="32"/>
          <w:szCs w:val="32"/>
        </w:rPr>
        <w:t>项目监督管理的实施主体，负责项目的实施、监督、管理等工作</w:t>
      </w:r>
      <w:r>
        <w:rPr>
          <w:rFonts w:hint="eastAsia" w:ascii="仿宋_GB2312" w:hAnsi="宋体" w:eastAsia="仿宋_GB2312"/>
          <w:sz w:val="32"/>
          <w:szCs w:val="32"/>
          <w:lang w:val="zh-CN"/>
        </w:rPr>
        <w:t>。</w:t>
      </w:r>
    </w:p>
    <w:p w14:paraId="4D6D180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．项目立项、资金申报的依据。</w:t>
      </w:r>
    </w:p>
    <w:p w14:paraId="4401CE0A">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盐边县财政根据盐财资行【2021】67号下达法院空调及办公设备采购资金要求执行。</w:t>
      </w:r>
    </w:p>
    <w:p w14:paraId="31B2A35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．资金管理办法制定情况，资金支持具体项目的条件、范围与支持方式概况。</w:t>
      </w:r>
    </w:p>
    <w:p w14:paraId="18315EF8">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盐边县人民法院根据政府采购要求，制定了相关采购制度并严格执行，该项县级财政资金指标下达后，按预算指标使用相关费用，严格执行专款专用。</w:t>
      </w:r>
    </w:p>
    <w:p w14:paraId="1D3174A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4</w:t>
      </w:r>
      <w:r>
        <w:rPr>
          <w:rFonts w:hint="eastAsia" w:ascii="仿宋_GB2312" w:hAnsi="宋体" w:eastAsia="仿宋_GB2312"/>
          <w:sz w:val="32"/>
          <w:szCs w:val="32"/>
          <w:lang w:val="zh-CN"/>
        </w:rPr>
        <w:t>．资金分配的原则及考虑因素。</w:t>
      </w:r>
    </w:p>
    <w:p w14:paraId="1B4F999F">
      <w:pPr>
        <w:pStyle w:val="2"/>
        <w:spacing w:before="93"/>
        <w:ind w:firstLine="681" w:firstLineChars="213"/>
        <w:rPr>
          <w:rFonts w:hAnsi="宋体"/>
          <w:kern w:val="2"/>
          <w:sz w:val="32"/>
          <w:szCs w:val="32"/>
        </w:rPr>
      </w:pPr>
      <w:r>
        <w:rPr>
          <w:rFonts w:hint="eastAsia" w:hAnsi="宋体"/>
          <w:kern w:val="2"/>
          <w:sz w:val="32"/>
          <w:szCs w:val="32"/>
        </w:rPr>
        <w:t>根据单位实际需求采购空调机办公设备，按照政府采购流程，严格审核，报送县财政审批支付，重大采购项目支出经县法院党委会审议通过。</w:t>
      </w:r>
    </w:p>
    <w:p w14:paraId="7D6C35D4">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6B3FA195">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14:paraId="2AAF558C">
      <w:pPr>
        <w:adjustRightInd w:val="0"/>
        <w:snapToGrid w:val="0"/>
        <w:spacing w:line="600" w:lineRule="exact"/>
        <w:ind w:firstLine="720"/>
        <w:rPr>
          <w:rFonts w:eastAsia="仿宋_GB2312"/>
          <w:sz w:val="32"/>
          <w:szCs w:val="32"/>
        </w:rPr>
      </w:pPr>
      <w:r>
        <w:rPr>
          <w:rFonts w:hint="eastAsia" w:ascii="仿宋_GB2312" w:hAnsi="宋体" w:eastAsia="仿宋_GB2312"/>
          <w:sz w:val="32"/>
          <w:szCs w:val="32"/>
        </w:rPr>
        <w:t>盐边县人民法院新审判大楼购买空调、家具、用具、装具、通用设备等</w:t>
      </w:r>
      <w:r>
        <w:rPr>
          <w:rFonts w:hint="eastAsia" w:ascii="仿宋_GB2312" w:hAnsi="宋体" w:eastAsia="仿宋_GB2312"/>
          <w:sz w:val="32"/>
          <w:szCs w:val="32"/>
          <w:lang w:val="zh-CN"/>
        </w:rPr>
        <w:t>。</w:t>
      </w:r>
    </w:p>
    <w:p w14:paraId="28F1295D">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．项目应实现的具体绩效目标，包括目标的量化、细化情况以及项目实施进度计划等。</w:t>
      </w:r>
    </w:p>
    <w:p w14:paraId="06065C6F">
      <w:pPr>
        <w:pStyle w:val="2"/>
        <w:spacing w:before="93"/>
        <w:ind w:firstLine="681" w:firstLineChars="213"/>
        <w:rPr>
          <w:rFonts w:hAnsi="宋体"/>
          <w:kern w:val="2"/>
          <w:sz w:val="32"/>
          <w:szCs w:val="32"/>
        </w:rPr>
      </w:pPr>
      <w:r>
        <w:rPr>
          <w:rFonts w:hint="eastAsia" w:hAnsi="宋体"/>
          <w:kern w:val="2"/>
          <w:sz w:val="32"/>
          <w:szCs w:val="32"/>
        </w:rPr>
        <w:t>购入必备的电器、办公家具、设备等，确保我院审判工作的顺利开展。</w:t>
      </w:r>
    </w:p>
    <w:p w14:paraId="1B2C7F96">
      <w:pPr>
        <w:adjustRightInd w:val="0"/>
        <w:snapToGrid w:val="0"/>
        <w:spacing w:line="600" w:lineRule="exact"/>
        <w:ind w:left="720"/>
        <w:rPr>
          <w:rFonts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．分析评价申报内容是否与实际相符，申报目标是否合理可行。</w:t>
      </w:r>
    </w:p>
    <w:p w14:paraId="7B071B1E">
      <w:pPr>
        <w:pStyle w:val="2"/>
        <w:spacing w:before="93"/>
        <w:ind w:left="720"/>
        <w:rPr>
          <w:sz w:val="32"/>
          <w:szCs w:val="32"/>
        </w:rPr>
      </w:pPr>
      <w:r>
        <w:rPr>
          <w:rFonts w:hint="eastAsia"/>
          <w:sz w:val="32"/>
          <w:szCs w:val="32"/>
        </w:rPr>
        <w:t>申报内容与实际相符，申报目标合理可行。</w:t>
      </w:r>
    </w:p>
    <w:p w14:paraId="544DA5AA">
      <w:pPr>
        <w:numPr>
          <w:ilvl w:val="0"/>
          <w:numId w:val="8"/>
        </w:num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项目自评步骤及方法。</w:t>
      </w:r>
    </w:p>
    <w:p w14:paraId="4B6CAD22">
      <w:pPr>
        <w:adjustRightInd w:val="0"/>
        <w:snapToGrid w:val="0"/>
        <w:spacing w:line="600" w:lineRule="exact"/>
        <w:ind w:left="420" w:leftChars="200" w:firstLine="320" w:firstLineChars="100"/>
        <w:rPr>
          <w:rFonts w:ascii="仿宋_GB2312" w:hAnsi="宋体" w:eastAsia="仿宋_GB2312"/>
          <w:sz w:val="32"/>
          <w:szCs w:val="32"/>
          <w:lang w:val="zh-CN"/>
        </w:rPr>
      </w:pPr>
      <w:r>
        <w:rPr>
          <w:rFonts w:hint="eastAsia" w:ascii="仿宋_GB2312" w:hAnsi="宋体" w:eastAsia="仿宋_GB2312"/>
          <w:sz w:val="32"/>
          <w:szCs w:val="32"/>
        </w:rPr>
        <w:t>建立评价工作组，制定评价工作方案，对项目开展综合评分，全面考量项目的实施</w:t>
      </w:r>
      <w:r>
        <w:rPr>
          <w:rFonts w:hint="eastAsia" w:ascii="仿宋_GB2312" w:hAnsi="宋体" w:eastAsia="仿宋_GB2312"/>
          <w:sz w:val="32"/>
          <w:szCs w:val="32"/>
          <w:lang w:val="zh-CN"/>
        </w:rPr>
        <w:t>。</w:t>
      </w:r>
    </w:p>
    <w:p w14:paraId="00A61C85">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7C2F332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4C65951A">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本项目由县财政根据盐财资行【2021】67号下达法院空调及办公设备采购资金92.26万元</w:t>
      </w:r>
      <w:r>
        <w:rPr>
          <w:rFonts w:hint="eastAsia" w:ascii="仿宋_GB2312" w:hAnsi="宋体" w:eastAsia="仿宋_GB2312"/>
          <w:sz w:val="32"/>
          <w:szCs w:val="32"/>
          <w:lang w:val="zh-CN"/>
        </w:rPr>
        <w:t>。</w:t>
      </w:r>
    </w:p>
    <w:p w14:paraId="41F4504A">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10B47A68">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1．资金计划。县财政划拨预算资金92.26万元。</w:t>
      </w:r>
    </w:p>
    <w:p w14:paraId="7DB49352">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2．资金到位。县财政划拨资金92.26万元全部到位。</w:t>
      </w:r>
    </w:p>
    <w:p w14:paraId="51EBA7F8">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3．资金使用。按预算指标严格使用该专项资金92.26万元。</w:t>
      </w:r>
    </w:p>
    <w:p w14:paraId="2B9A235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2AB5E60E">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盐边县人民法院</w:t>
      </w:r>
      <w:r>
        <w:rPr>
          <w:rFonts w:hint="eastAsia" w:ascii="仿宋_GB2312" w:hAnsi="宋体" w:eastAsia="仿宋_GB2312"/>
          <w:sz w:val="32"/>
          <w:szCs w:val="32"/>
          <w:lang w:val="zh-CN"/>
        </w:rPr>
        <w:t>管理制度健全，严格执行财务管理制度，</w:t>
      </w:r>
      <w:r>
        <w:rPr>
          <w:rFonts w:hint="eastAsia" w:ascii="仿宋_GB2312" w:hAnsi="宋体" w:eastAsia="仿宋_GB2312"/>
          <w:sz w:val="32"/>
          <w:szCs w:val="32"/>
        </w:rPr>
        <w:t>及时完成</w:t>
      </w:r>
      <w:r>
        <w:rPr>
          <w:rFonts w:hint="eastAsia" w:ascii="仿宋_GB2312" w:hAnsi="宋体" w:eastAsia="仿宋_GB2312"/>
          <w:sz w:val="32"/>
          <w:szCs w:val="32"/>
          <w:lang w:val="zh-CN"/>
        </w:rPr>
        <w:t>账务处理，会计核算规范。</w:t>
      </w:r>
    </w:p>
    <w:p w14:paraId="19F8AABE">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4AB9B5B7">
      <w:pPr>
        <w:adjustRightInd w:val="0"/>
        <w:snapToGrid w:val="0"/>
        <w:spacing w:line="600" w:lineRule="exact"/>
        <w:ind w:firstLine="720"/>
        <w:rPr>
          <w:rFonts w:ascii="楷体_GB2312" w:hAnsi="宋体" w:eastAsia="楷体_GB2312"/>
          <w:b/>
          <w:sz w:val="32"/>
          <w:szCs w:val="32"/>
        </w:rPr>
      </w:pPr>
      <w:r>
        <w:rPr>
          <w:rFonts w:hint="eastAsia" w:ascii="楷体_GB2312" w:hAnsi="宋体" w:eastAsia="楷体_GB2312"/>
          <w:b/>
          <w:sz w:val="32"/>
          <w:szCs w:val="32"/>
          <w:lang w:val="zh-CN"/>
        </w:rPr>
        <w:t>（一）项目组织架构及实施流程。</w:t>
      </w:r>
      <w:r>
        <w:rPr>
          <w:rFonts w:hint="eastAsia" w:ascii="仿宋_GB2312" w:hAnsi="宋体" w:eastAsia="仿宋_GB2312"/>
          <w:sz w:val="32"/>
          <w:szCs w:val="32"/>
        </w:rPr>
        <w:t>严格按照项目目标任务，严格把关，及时报送计划、支付，保障专款专用。</w:t>
      </w:r>
    </w:p>
    <w:p w14:paraId="66AAB3F9">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rPr>
        <w:t>严格按照</w:t>
      </w:r>
      <w:r>
        <w:rPr>
          <w:rFonts w:hint="eastAsia" w:ascii="仿宋_GB2312" w:hAnsi="宋体" w:eastAsia="仿宋_GB2312"/>
          <w:sz w:val="32"/>
          <w:szCs w:val="32"/>
          <w:lang w:val="zh-CN"/>
        </w:rPr>
        <w:t>相关法律法规及招投标、政府采购、项目公示制等相关规定</w:t>
      </w:r>
      <w:r>
        <w:rPr>
          <w:rFonts w:hint="eastAsia" w:ascii="仿宋_GB2312" w:hAnsi="宋体" w:eastAsia="仿宋_GB2312"/>
          <w:sz w:val="32"/>
          <w:szCs w:val="32"/>
        </w:rPr>
        <w:t>进行管理</w:t>
      </w:r>
      <w:r>
        <w:rPr>
          <w:rFonts w:hint="eastAsia" w:ascii="仿宋_GB2312" w:hAnsi="宋体" w:eastAsia="仿宋_GB2312"/>
          <w:sz w:val="32"/>
          <w:szCs w:val="32"/>
          <w:lang w:val="zh-CN"/>
        </w:rPr>
        <w:t>。</w:t>
      </w:r>
    </w:p>
    <w:p w14:paraId="5BC7319F">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rPr>
        <w:t>严格根据各庭室、各部门的实际需求，通过公开招标的方式进行政府采购，严格按照财务管理制度，进行账务报销。</w:t>
      </w:r>
    </w:p>
    <w:p w14:paraId="10BAD24F">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5F85C51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466165CF">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rPr>
        <w:t>为我院采购空调107台，家具、用具、装具170件，通用设备3套，已按要求支付县财政下拨的92.26万元空调及办公设备采购资金</w:t>
      </w:r>
      <w:r>
        <w:rPr>
          <w:rFonts w:hint="eastAsia" w:ascii="仿宋_GB2312" w:hAnsi="宋体" w:eastAsia="仿宋_GB2312"/>
          <w:sz w:val="32"/>
          <w:szCs w:val="32"/>
          <w:lang w:val="zh-CN"/>
        </w:rPr>
        <w:t>。</w:t>
      </w:r>
    </w:p>
    <w:p w14:paraId="5A07848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16A35EEE">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确保了县法院审判工作的正常运行</w:t>
      </w:r>
      <w:r>
        <w:rPr>
          <w:rFonts w:hint="eastAsia" w:ascii="仿宋_GB2312" w:hAnsi="宋体" w:eastAsia="仿宋_GB2312"/>
          <w:sz w:val="32"/>
          <w:szCs w:val="32"/>
          <w:lang w:val="zh-CN"/>
        </w:rPr>
        <w:t>。</w:t>
      </w:r>
    </w:p>
    <w:p w14:paraId="3A9D8E85">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1C3F6119">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12D757FF">
      <w:pPr>
        <w:adjustRightInd w:val="0"/>
        <w:snapToGrid w:val="0"/>
        <w:spacing w:line="600" w:lineRule="exact"/>
        <w:ind w:firstLine="640" w:firstLineChars="200"/>
        <w:rPr>
          <w:rFonts w:ascii="仿宋_GB2312" w:hAnsi="宋体" w:eastAsia="仿宋_GB2312"/>
          <w:sz w:val="32"/>
          <w:szCs w:val="32"/>
          <w:bdr w:val="single" w:color="auto" w:sz="4" w:space="0"/>
        </w:rPr>
      </w:pPr>
      <w:r>
        <w:rPr>
          <w:rFonts w:hint="eastAsia" w:ascii="仿宋_GB2312" w:hAnsi="宋体" w:eastAsia="仿宋_GB2312"/>
          <w:sz w:val="32"/>
          <w:szCs w:val="32"/>
        </w:rPr>
        <w:t>该项目的及时、完整实施，为盐边县人民法院的审判工作提供了有力保障</w:t>
      </w:r>
      <w:r>
        <w:rPr>
          <w:rFonts w:hint="eastAsia" w:ascii="仿宋_GB2312" w:hAnsi="宋体" w:eastAsia="仿宋_GB2312"/>
          <w:sz w:val="32"/>
          <w:szCs w:val="32"/>
          <w:lang w:val="zh-CN"/>
        </w:rPr>
        <w:t>。</w:t>
      </w:r>
      <w:r>
        <w:rPr>
          <w:rFonts w:hint="eastAsia" w:ascii="仿宋_GB2312" w:hAnsi="宋体" w:eastAsia="仿宋_GB2312"/>
          <w:sz w:val="32"/>
          <w:szCs w:val="32"/>
        </w:rPr>
        <w:t>项目执行率100%，满意度100%。</w:t>
      </w:r>
    </w:p>
    <w:p w14:paraId="67CC761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4206522D">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无。</w:t>
      </w:r>
      <w:r>
        <w:rPr>
          <w:rFonts w:hint="eastAsia" w:ascii="仿宋_GB2312" w:hAnsi="宋体" w:eastAsia="仿宋_GB2312"/>
          <w:sz w:val="32"/>
          <w:szCs w:val="32"/>
          <w:lang w:val="zh-CN"/>
        </w:rPr>
        <w:tab/>
      </w:r>
    </w:p>
    <w:p w14:paraId="0DAE7B2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2D8968D0">
      <w:pPr>
        <w:pStyle w:val="2"/>
        <w:spacing w:before="93"/>
        <w:ind w:firstLine="640" w:firstLineChars="200"/>
        <w:rPr>
          <w:lang w:val="zh-CN"/>
        </w:rPr>
      </w:pPr>
      <w:r>
        <w:rPr>
          <w:rFonts w:hint="eastAsia" w:hAnsi="宋体"/>
          <w:sz w:val="32"/>
          <w:szCs w:val="32"/>
        </w:rPr>
        <w:t>无。</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3B10C4F2">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3249D835">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14:paraId="00A3978F">
            <w:pPr>
              <w:widowControl/>
              <w:jc w:val="center"/>
              <w:textAlignment w:val="center"/>
            </w:pPr>
            <w:r>
              <w:rPr>
                <w:rFonts w:hint="eastAsia" w:ascii="宋体" w:hAnsi="宋体" w:cs="宋体"/>
                <w:b/>
                <w:sz w:val="32"/>
                <w:szCs w:val="32"/>
              </w:rPr>
              <w:t>盐边县人民法院空调及办公设备采购资金项目绩效目标自评</w:t>
            </w:r>
          </w:p>
        </w:tc>
        <w:tc>
          <w:tcPr>
            <w:tcW w:w="234" w:type="dxa"/>
            <w:tcBorders>
              <w:top w:val="nil"/>
              <w:left w:val="nil"/>
              <w:bottom w:val="nil"/>
              <w:right w:val="nil"/>
            </w:tcBorders>
            <w:shd w:val="clear" w:color="auto" w:fill="auto"/>
            <w:vAlign w:val="center"/>
          </w:tcPr>
          <w:p w14:paraId="146807EA">
            <w:pPr>
              <w:widowControl/>
              <w:jc w:val="center"/>
              <w:textAlignment w:val="center"/>
              <w:rPr>
                <w:rFonts w:ascii="宋体" w:hAnsi="宋体" w:cs="宋体"/>
                <w:b/>
                <w:kern w:val="0"/>
                <w:sz w:val="32"/>
                <w:szCs w:val="32"/>
              </w:rPr>
            </w:pPr>
          </w:p>
        </w:tc>
      </w:tr>
      <w:tr w14:paraId="4E4E5AA5">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DC381">
            <w:pPr>
              <w:widowControl/>
              <w:spacing w:line="320" w:lineRule="exact"/>
              <w:jc w:val="center"/>
              <w:textAlignment w:val="center"/>
              <w:rPr>
                <w:rFonts w:ascii="宋体" w:hAnsi="宋体" w:cs="宋体"/>
                <w:kern w:val="0"/>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2F6B4">
            <w:pPr>
              <w:widowControl/>
              <w:spacing w:line="320" w:lineRule="exact"/>
              <w:textAlignment w:val="center"/>
              <w:rPr>
                <w:rFonts w:ascii="宋体" w:hAnsi="宋体" w:cs="宋体"/>
                <w:kern w:val="0"/>
                <w:sz w:val="24"/>
              </w:rPr>
            </w:pPr>
            <w:r>
              <w:rPr>
                <w:rFonts w:hint="eastAsia" w:ascii="宋体" w:hAnsi="宋体" w:cs="宋体"/>
                <w:kern w:val="0"/>
                <w:sz w:val="24"/>
              </w:rPr>
              <w:t>盐边县人民法院225001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1162">
            <w:pPr>
              <w:widowControl/>
              <w:spacing w:line="320" w:lineRule="exact"/>
              <w:jc w:val="center"/>
              <w:textAlignment w:val="center"/>
              <w:rPr>
                <w:rFonts w:ascii="宋体" w:hAnsi="宋体" w:cs="宋体"/>
                <w:kern w:val="0"/>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B4BA">
            <w:pPr>
              <w:widowControl/>
              <w:spacing w:line="320" w:lineRule="exact"/>
              <w:jc w:val="center"/>
              <w:textAlignment w:val="center"/>
              <w:rPr>
                <w:rFonts w:ascii="宋体" w:hAnsi="宋体" w:cs="宋体"/>
                <w:kern w:val="0"/>
                <w:sz w:val="24"/>
              </w:rPr>
            </w:pPr>
            <w:r>
              <w:rPr>
                <w:rFonts w:hint="eastAsia" w:ascii="宋体" w:hAnsi="宋体" w:cs="宋体"/>
                <w:kern w:val="0"/>
                <w:sz w:val="24"/>
              </w:rPr>
              <w:t>盐边县人民法院</w:t>
            </w:r>
          </w:p>
        </w:tc>
      </w:tr>
      <w:tr w14:paraId="73EEF76B">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EBE78">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D27F">
            <w:pPr>
              <w:widowControl/>
              <w:spacing w:line="320" w:lineRule="exact"/>
              <w:jc w:val="left"/>
              <w:textAlignment w:val="center"/>
              <w:rPr>
                <w:rFonts w:ascii="宋体" w:hAnsi="宋体" w:cs="宋体"/>
                <w:kern w:val="0"/>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CF30">
            <w:pPr>
              <w:widowControl/>
              <w:spacing w:line="320" w:lineRule="exact"/>
              <w:jc w:val="left"/>
              <w:textAlignment w:val="center"/>
              <w:rPr>
                <w:rFonts w:ascii="宋体" w:hAnsi="宋体" w:cs="宋体"/>
                <w:kern w:val="0"/>
                <w:sz w:val="24"/>
              </w:rPr>
            </w:pPr>
            <w:r>
              <w:rPr>
                <w:rFonts w:hint="eastAsia" w:ascii="宋体" w:hAnsi="宋体" w:cs="宋体"/>
                <w:kern w:val="0"/>
                <w:sz w:val="24"/>
              </w:rPr>
              <w:t>92.26万元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0CAC">
            <w:pPr>
              <w:widowControl/>
              <w:spacing w:line="320" w:lineRule="exact"/>
              <w:jc w:val="left"/>
              <w:textAlignment w:val="center"/>
              <w:rPr>
                <w:rFonts w:ascii="宋体" w:hAnsi="宋体" w:cs="宋体"/>
                <w:kern w:val="0"/>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E54B">
            <w:pPr>
              <w:widowControl/>
              <w:spacing w:line="320" w:lineRule="exact"/>
              <w:jc w:val="right"/>
              <w:textAlignment w:val="center"/>
              <w:rPr>
                <w:rFonts w:ascii="宋体" w:hAnsi="宋体" w:cs="宋体"/>
                <w:kern w:val="0"/>
                <w:sz w:val="24"/>
              </w:rPr>
            </w:pPr>
            <w:r>
              <w:rPr>
                <w:rFonts w:hint="eastAsia" w:ascii="宋体" w:hAnsi="宋体" w:cs="宋体"/>
                <w:kern w:val="0"/>
                <w:sz w:val="24"/>
              </w:rPr>
              <w:t>92.26万元</w:t>
            </w:r>
          </w:p>
        </w:tc>
      </w:tr>
      <w:tr w14:paraId="2FEF2024">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93E59">
            <w:pPr>
              <w:widowControl/>
              <w:spacing w:line="320" w:lineRule="exact"/>
              <w:jc w:val="center"/>
              <w:textAlignment w:val="center"/>
              <w:rPr>
                <w:rFonts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858A">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73B10756">
            <w:pPr>
              <w:widowControl/>
              <w:spacing w:line="320" w:lineRule="exact"/>
              <w:jc w:val="left"/>
              <w:textAlignment w:val="center"/>
              <w:rPr>
                <w:rFonts w:ascii="宋体" w:hAnsi="宋体" w:cs="宋体"/>
                <w:kern w:val="0"/>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0253">
            <w:pPr>
              <w:widowControl/>
              <w:spacing w:line="320" w:lineRule="exact"/>
              <w:jc w:val="left"/>
              <w:textAlignment w:val="center"/>
              <w:rPr>
                <w:rFonts w:ascii="宋体" w:hAnsi="宋体" w:cs="宋体"/>
                <w:kern w:val="0"/>
                <w:sz w:val="24"/>
              </w:rPr>
            </w:pPr>
            <w:r>
              <w:rPr>
                <w:rFonts w:hint="eastAsia" w:ascii="宋体" w:hAnsi="宋体" w:cs="宋体"/>
                <w:kern w:val="0"/>
                <w:sz w:val="24"/>
              </w:rPr>
              <w:t>92.26万元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2B97">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7C695E46">
            <w:pPr>
              <w:widowControl/>
              <w:spacing w:line="320" w:lineRule="exact"/>
              <w:jc w:val="left"/>
              <w:textAlignment w:val="center"/>
              <w:rPr>
                <w:rFonts w:ascii="宋体" w:hAnsi="宋体" w:cs="宋体"/>
                <w:kern w:val="0"/>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5A7E">
            <w:pPr>
              <w:widowControl/>
              <w:spacing w:line="320" w:lineRule="exact"/>
              <w:textAlignment w:val="center"/>
              <w:rPr>
                <w:rFonts w:ascii="宋体" w:hAnsi="宋体" w:cs="宋体"/>
                <w:kern w:val="0"/>
                <w:sz w:val="24"/>
              </w:rPr>
            </w:pPr>
            <w:r>
              <w:rPr>
                <w:rFonts w:hint="eastAsia" w:ascii="宋体" w:hAnsi="宋体" w:cs="宋体"/>
                <w:kern w:val="0"/>
                <w:sz w:val="24"/>
              </w:rPr>
              <w:t>92.26万元</w:t>
            </w:r>
          </w:p>
        </w:tc>
      </w:tr>
      <w:tr w14:paraId="0B1EDD7A">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15A3A">
            <w:pPr>
              <w:widowControl/>
              <w:spacing w:line="320" w:lineRule="exact"/>
              <w:jc w:val="center"/>
              <w:textAlignment w:val="center"/>
              <w:rPr>
                <w:rFonts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8E64">
            <w:pPr>
              <w:widowControl/>
              <w:spacing w:line="320" w:lineRule="exact"/>
              <w:jc w:val="left"/>
              <w:textAlignment w:val="center"/>
              <w:rPr>
                <w:rFonts w:ascii="宋体" w:hAnsi="宋体" w:cs="宋体"/>
                <w:kern w:val="0"/>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6BCD">
            <w:pPr>
              <w:widowControl/>
              <w:spacing w:line="320" w:lineRule="exact"/>
              <w:jc w:val="left"/>
              <w:textAlignment w:val="center"/>
              <w:rPr>
                <w:rFonts w:ascii="宋体" w:hAnsi="宋体" w:cs="宋体"/>
                <w:kern w:val="0"/>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7D44">
            <w:pPr>
              <w:widowControl/>
              <w:spacing w:line="320" w:lineRule="exact"/>
              <w:jc w:val="left"/>
              <w:textAlignment w:val="center"/>
              <w:rPr>
                <w:rFonts w:ascii="宋体" w:hAnsi="宋体" w:cs="宋体"/>
                <w:kern w:val="0"/>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70BD">
            <w:pPr>
              <w:widowControl/>
              <w:spacing w:line="320" w:lineRule="exact"/>
              <w:jc w:val="center"/>
              <w:textAlignment w:val="center"/>
              <w:rPr>
                <w:rFonts w:ascii="宋体" w:hAnsi="宋体" w:cs="宋体"/>
                <w:kern w:val="0"/>
                <w:sz w:val="24"/>
              </w:rPr>
            </w:pPr>
          </w:p>
        </w:tc>
      </w:tr>
      <w:tr w14:paraId="359BC9E9">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B85F9">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38FDE53B">
            <w:pPr>
              <w:widowControl/>
              <w:spacing w:line="320" w:lineRule="exact"/>
              <w:jc w:val="center"/>
              <w:textAlignment w:val="center"/>
              <w:rPr>
                <w:rFonts w:ascii="宋体" w:hAnsi="宋体" w:cs="宋体"/>
                <w:kern w:val="0"/>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73F7C3">
            <w:pPr>
              <w:widowControl/>
              <w:spacing w:line="320" w:lineRule="exact"/>
              <w:jc w:val="center"/>
              <w:textAlignment w:val="center"/>
              <w:rPr>
                <w:rFonts w:ascii="宋体" w:hAnsi="宋体" w:cs="宋体"/>
                <w:kern w:val="0"/>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F6A9A">
            <w:pPr>
              <w:widowControl/>
              <w:spacing w:line="320" w:lineRule="exact"/>
              <w:jc w:val="center"/>
              <w:textAlignment w:val="center"/>
              <w:rPr>
                <w:rFonts w:ascii="宋体" w:hAnsi="宋体" w:cs="宋体"/>
                <w:kern w:val="0"/>
                <w:sz w:val="24"/>
              </w:rPr>
            </w:pPr>
            <w:r>
              <w:rPr>
                <w:rFonts w:hint="eastAsia" w:ascii="宋体" w:hAnsi="宋体" w:cs="宋体"/>
                <w:kern w:val="0"/>
                <w:sz w:val="24"/>
              </w:rPr>
              <w:t>目标实际完成情况</w:t>
            </w:r>
          </w:p>
        </w:tc>
      </w:tr>
      <w:tr w14:paraId="28BB1592">
        <w:tblPrEx>
          <w:tblCellMar>
            <w:top w:w="0" w:type="dxa"/>
            <w:left w:w="108" w:type="dxa"/>
            <w:bottom w:w="0" w:type="dxa"/>
            <w:right w:w="108" w:type="dxa"/>
          </w:tblCellMar>
        </w:tblPrEx>
        <w:trPr>
          <w:gridAfter w:val="1"/>
          <w:wAfter w:w="234" w:type="dxa"/>
          <w:trHeight w:val="1775"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3D15A">
            <w:pPr>
              <w:widowControl/>
              <w:spacing w:line="320" w:lineRule="exact"/>
              <w:jc w:val="center"/>
              <w:textAlignment w:val="center"/>
              <w:rPr>
                <w:rFonts w:ascii="宋体" w:hAnsi="宋体" w:cs="宋体"/>
                <w:kern w:val="0"/>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6563D71D">
            <w:pPr>
              <w:widowControl/>
              <w:spacing w:line="320" w:lineRule="exact"/>
              <w:jc w:val="left"/>
              <w:textAlignment w:val="center"/>
              <w:rPr>
                <w:rFonts w:ascii="宋体" w:hAnsi="宋体" w:cs="宋体"/>
                <w:kern w:val="0"/>
                <w:sz w:val="24"/>
              </w:rPr>
            </w:pPr>
            <w:r>
              <w:rPr>
                <w:rFonts w:hint="eastAsia" w:ascii="宋体" w:hAnsi="宋体" w:cs="宋体"/>
                <w:kern w:val="0"/>
                <w:sz w:val="24"/>
              </w:rPr>
              <w:t>根据各部门、各庭室的具体需求情况，对照项目计划进行采购及款项的支付。确保了县法院审判工作的正常运行。</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14:paraId="0E114506">
            <w:pPr>
              <w:widowControl/>
              <w:spacing w:line="320" w:lineRule="exact"/>
              <w:jc w:val="left"/>
              <w:textAlignment w:val="center"/>
              <w:rPr>
                <w:rFonts w:ascii="宋体" w:hAnsi="宋体" w:cs="宋体"/>
                <w:kern w:val="0"/>
                <w:sz w:val="24"/>
              </w:rPr>
            </w:pPr>
            <w:r>
              <w:rPr>
                <w:rFonts w:hint="eastAsia" w:ascii="宋体" w:hAnsi="宋体" w:cs="宋体"/>
                <w:kern w:val="0"/>
                <w:sz w:val="24"/>
              </w:rPr>
              <w:t>确保了县法院审判工作的正常运行</w:t>
            </w:r>
          </w:p>
        </w:tc>
      </w:tr>
      <w:tr w14:paraId="02C24E1D">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3CF9808F">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4B5CDD2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143A7B6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7E84">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521896C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4FB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286C4E1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2F5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43E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实际完成指标值</w:t>
            </w:r>
          </w:p>
        </w:tc>
      </w:tr>
      <w:tr w14:paraId="0280EC3C">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66344D5B">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07BF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624418FF">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F9564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00D7B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采购空调、家具、用具、装具、通用设备等</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207654">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采购200件以上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91395E">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14:paraId="17142480">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29DAD25C">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318F623">
            <w:pPr>
              <w:widowControl/>
              <w:spacing w:line="320" w:lineRule="exact"/>
              <w:jc w:val="center"/>
              <w:textAlignment w:val="center"/>
              <w:rPr>
                <w:rFonts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0FA39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DD713">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验收标准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F32BF">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完全达到验收标准</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E30C8">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14:paraId="1EFD6B94">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5AF63DAB">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821E6CA">
            <w:pPr>
              <w:widowControl/>
              <w:spacing w:line="320" w:lineRule="exact"/>
              <w:jc w:val="center"/>
              <w:textAlignment w:val="center"/>
              <w:rPr>
                <w:rFonts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CAA6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A9F1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按合同时间完成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874C2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已完成</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E2377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14:paraId="509872EC">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559EB7D0">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3C9116D">
            <w:pPr>
              <w:widowControl/>
              <w:spacing w:line="320" w:lineRule="exact"/>
              <w:jc w:val="center"/>
              <w:textAlignment w:val="center"/>
              <w:rPr>
                <w:rFonts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5BF16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475C2F">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业务成本</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430B4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92.26万元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C21DF">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14:paraId="3C68CA4E">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3615856B">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C565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83A47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5F4630">
            <w:pPr>
              <w:widowControl/>
              <w:spacing w:line="320" w:lineRule="exact"/>
              <w:jc w:val="center"/>
              <w:textAlignment w:val="center"/>
              <w:rPr>
                <w:rFonts w:ascii="仿宋_GB2312" w:hAnsi="仿宋_GB2312" w:eastAsia="仿宋_GB2312" w:cs="仿宋_GB2312"/>
                <w:kern w:val="0"/>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109F39">
            <w:pPr>
              <w:widowControl/>
              <w:spacing w:line="320" w:lineRule="exact"/>
              <w:jc w:val="center"/>
              <w:textAlignment w:val="center"/>
              <w:rPr>
                <w:rFonts w:ascii="仿宋_GB2312" w:hAnsi="仿宋_GB2312" w:eastAsia="仿宋_GB2312" w:cs="仿宋_GB2312"/>
                <w:kern w:val="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9F400C">
            <w:pPr>
              <w:widowControl/>
              <w:spacing w:line="320" w:lineRule="exact"/>
              <w:jc w:val="center"/>
              <w:textAlignment w:val="center"/>
              <w:rPr>
                <w:rFonts w:ascii="仿宋_GB2312" w:hAnsi="仿宋_GB2312" w:eastAsia="仿宋_GB2312" w:cs="仿宋_GB2312"/>
                <w:kern w:val="0"/>
                <w:sz w:val="28"/>
                <w:szCs w:val="28"/>
              </w:rPr>
            </w:pPr>
          </w:p>
        </w:tc>
      </w:tr>
      <w:tr w14:paraId="055C70BB">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79EFF9E0">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00C0DE8">
            <w:pPr>
              <w:widowControl/>
              <w:spacing w:line="320" w:lineRule="exact"/>
              <w:jc w:val="center"/>
              <w:textAlignment w:val="center"/>
              <w:rPr>
                <w:rFonts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16714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5AF7B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提升服务能力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DF9A48">
            <w:pPr>
              <w:widowControl/>
              <w:spacing w:line="32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提升干警服务水平和审判工作效率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C9E714">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14:paraId="3BBB5B2A">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113E2923">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46DA1B3">
            <w:pPr>
              <w:widowControl/>
              <w:spacing w:line="320" w:lineRule="exact"/>
              <w:jc w:val="center"/>
              <w:textAlignment w:val="center"/>
              <w:rPr>
                <w:rFonts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CB133">
            <w:pPr>
              <w:widowControl/>
              <w:spacing w:line="320" w:lineRule="exact"/>
              <w:ind w:left="463" w:leftChars="87" w:hanging="280" w:hangingChars="100"/>
              <w:jc w:val="lef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50964">
            <w:pPr>
              <w:widowControl/>
              <w:spacing w:line="320" w:lineRule="exact"/>
              <w:jc w:val="center"/>
              <w:textAlignment w:val="center"/>
              <w:rPr>
                <w:rFonts w:ascii="仿宋_GB2312" w:hAnsi="仿宋_GB2312" w:eastAsia="仿宋_GB2312" w:cs="仿宋_GB2312"/>
                <w:kern w:val="0"/>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C8E812">
            <w:pPr>
              <w:widowControl/>
              <w:spacing w:line="320" w:lineRule="exact"/>
              <w:jc w:val="center"/>
              <w:textAlignment w:val="center"/>
              <w:rPr>
                <w:rFonts w:ascii="仿宋_GB2312" w:hAnsi="仿宋_GB2312" w:eastAsia="仿宋_GB2312" w:cs="仿宋_GB2312"/>
                <w:kern w:val="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315FB">
            <w:pPr>
              <w:widowControl/>
              <w:spacing w:line="320" w:lineRule="exact"/>
              <w:jc w:val="center"/>
              <w:textAlignment w:val="center"/>
              <w:rPr>
                <w:rFonts w:ascii="仿宋_GB2312" w:hAnsi="仿宋_GB2312" w:eastAsia="仿宋_GB2312" w:cs="仿宋_GB2312"/>
                <w:kern w:val="0"/>
                <w:sz w:val="28"/>
                <w:szCs w:val="28"/>
              </w:rPr>
            </w:pPr>
          </w:p>
        </w:tc>
      </w:tr>
      <w:tr w14:paraId="22ECC410">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23AB0A0B">
            <w:pPr>
              <w:widowControl/>
              <w:spacing w:line="320" w:lineRule="exact"/>
              <w:jc w:val="center"/>
              <w:textAlignment w:val="center"/>
              <w:rPr>
                <w:rFonts w:ascii="仿宋_GB2312" w:hAnsi="仿宋_GB2312" w:eastAsia="仿宋_GB2312" w:cs="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57C1868">
            <w:pPr>
              <w:widowControl/>
              <w:spacing w:line="320" w:lineRule="exact"/>
              <w:jc w:val="center"/>
              <w:textAlignment w:val="center"/>
              <w:rPr>
                <w:rFonts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3876A6">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72ED21">
            <w:pPr>
              <w:widowControl/>
              <w:spacing w:line="320" w:lineRule="exact"/>
              <w:jc w:val="center"/>
              <w:textAlignment w:val="center"/>
              <w:rPr>
                <w:rFonts w:ascii="仿宋_GB2312" w:hAnsi="仿宋_GB2312" w:eastAsia="仿宋_GB2312" w:cs="仿宋_GB2312"/>
                <w:kern w:val="0"/>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5D4EB7">
            <w:pPr>
              <w:widowControl/>
              <w:spacing w:line="320" w:lineRule="exact"/>
              <w:jc w:val="center"/>
              <w:textAlignment w:val="center"/>
              <w:rPr>
                <w:rFonts w:ascii="仿宋_GB2312" w:hAnsi="仿宋_GB2312" w:eastAsia="仿宋_GB2312" w:cs="仿宋_GB2312"/>
                <w:kern w:val="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FF023A">
            <w:pPr>
              <w:widowControl/>
              <w:spacing w:line="320" w:lineRule="exact"/>
              <w:jc w:val="center"/>
              <w:textAlignment w:val="center"/>
              <w:rPr>
                <w:rFonts w:ascii="仿宋_GB2312" w:hAnsi="仿宋_GB2312" w:eastAsia="仿宋_GB2312" w:cs="仿宋_GB2312"/>
                <w:kern w:val="0"/>
                <w:sz w:val="28"/>
                <w:szCs w:val="28"/>
              </w:rPr>
            </w:pPr>
          </w:p>
        </w:tc>
      </w:tr>
      <w:tr w14:paraId="545706A0">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4461F137">
            <w:pPr>
              <w:widowControl/>
              <w:spacing w:line="320" w:lineRule="exact"/>
              <w:jc w:val="center"/>
              <w:textAlignment w:val="center"/>
              <w:rPr>
                <w:rFonts w:ascii="仿宋_GB2312" w:hAnsi="仿宋_GB2312" w:eastAsia="仿宋_GB2312" w:cs="仿宋_GB2312"/>
                <w:kern w:val="0"/>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B5F6F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C5D7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759B03E6">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AD22E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89D24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60BFC3">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bl>
    <w:p w14:paraId="21281C5F">
      <w:pPr>
        <w:pStyle w:val="2"/>
        <w:spacing w:before="93"/>
        <w:rPr>
          <w:rStyle w:val="25"/>
          <w:rFonts w:ascii="黑体" w:hAnsi="黑体" w:eastAsia="黑体"/>
          <w:b w:val="0"/>
        </w:rPr>
      </w:pPr>
    </w:p>
    <w:p w14:paraId="6C416D3F">
      <w:pPr>
        <w:spacing w:line="600" w:lineRule="exact"/>
        <w:jc w:val="center"/>
        <w:outlineLvl w:val="0"/>
        <w:rPr>
          <w:rFonts w:ascii="黑体" w:hAnsi="黑体" w:eastAsia="黑体"/>
          <w:sz w:val="44"/>
          <w:szCs w:val="44"/>
        </w:rPr>
      </w:pPr>
      <w:bookmarkStart w:id="59" w:name="_Toc15396618"/>
    </w:p>
    <w:p w14:paraId="349E426A">
      <w:pPr>
        <w:spacing w:line="600" w:lineRule="exact"/>
        <w:jc w:val="center"/>
        <w:outlineLvl w:val="0"/>
        <w:rPr>
          <w:rFonts w:ascii="黑体" w:hAnsi="黑体" w:eastAsia="黑体"/>
          <w:sz w:val="44"/>
          <w:szCs w:val="44"/>
        </w:rPr>
      </w:pPr>
    </w:p>
    <w:p w14:paraId="27A72808">
      <w:pPr>
        <w:spacing w:line="600" w:lineRule="exact"/>
        <w:jc w:val="center"/>
        <w:outlineLvl w:val="0"/>
        <w:rPr>
          <w:rFonts w:ascii="黑体" w:hAnsi="黑体" w:eastAsia="黑体"/>
          <w:sz w:val="44"/>
          <w:szCs w:val="44"/>
        </w:rPr>
      </w:pPr>
    </w:p>
    <w:p w14:paraId="7A7E5203">
      <w:pPr>
        <w:spacing w:line="600" w:lineRule="exact"/>
        <w:jc w:val="center"/>
        <w:outlineLvl w:val="0"/>
        <w:rPr>
          <w:rFonts w:ascii="黑体" w:hAnsi="黑体" w:eastAsia="黑体"/>
          <w:sz w:val="44"/>
          <w:szCs w:val="44"/>
        </w:rPr>
      </w:pPr>
    </w:p>
    <w:p w14:paraId="24E83AC1">
      <w:pPr>
        <w:spacing w:line="600" w:lineRule="exact"/>
        <w:jc w:val="center"/>
        <w:outlineLvl w:val="0"/>
        <w:rPr>
          <w:rFonts w:ascii="黑体" w:hAnsi="黑体" w:eastAsia="黑体"/>
          <w:sz w:val="44"/>
          <w:szCs w:val="44"/>
        </w:rPr>
      </w:pPr>
    </w:p>
    <w:p w14:paraId="3D39D9A1">
      <w:pPr>
        <w:spacing w:line="600" w:lineRule="exact"/>
        <w:jc w:val="center"/>
        <w:outlineLvl w:val="0"/>
        <w:rPr>
          <w:rFonts w:ascii="黑体" w:hAnsi="黑体" w:eastAsia="黑体"/>
          <w:sz w:val="44"/>
          <w:szCs w:val="44"/>
        </w:rPr>
      </w:pPr>
    </w:p>
    <w:bookmarkEnd w:id="57"/>
    <w:bookmarkEnd w:id="59"/>
    <w:p w14:paraId="5333C304">
      <w:pPr>
        <w:spacing w:line="600" w:lineRule="exact"/>
        <w:outlineLvl w:val="0"/>
        <w:rPr>
          <w:rFonts w:ascii="黑体" w:hAnsi="黑体" w:eastAsia="黑体"/>
          <w:sz w:val="44"/>
          <w:szCs w:val="44"/>
        </w:rPr>
      </w:pPr>
    </w:p>
    <w:p w14:paraId="5A3B1016">
      <w:pPr>
        <w:spacing w:line="560" w:lineRule="exact"/>
        <w:jc w:val="center"/>
        <w:outlineLvl w:val="0"/>
        <w:rPr>
          <w:rFonts w:ascii="黑体" w:hAnsi="黑体" w:eastAsia="黑体"/>
          <w:sz w:val="44"/>
          <w:szCs w:val="44"/>
        </w:rPr>
      </w:pPr>
    </w:p>
    <w:p w14:paraId="49FD6806">
      <w:pPr>
        <w:spacing w:line="560" w:lineRule="exact"/>
        <w:jc w:val="center"/>
        <w:outlineLvl w:val="0"/>
        <w:rPr>
          <w:rFonts w:ascii="黑体" w:hAnsi="黑体" w:eastAsia="黑体"/>
          <w:sz w:val="44"/>
          <w:szCs w:val="44"/>
        </w:rPr>
      </w:pPr>
    </w:p>
    <w:p w14:paraId="65788C34">
      <w:pPr>
        <w:spacing w:line="560" w:lineRule="exact"/>
        <w:jc w:val="center"/>
        <w:outlineLvl w:val="0"/>
        <w:rPr>
          <w:rFonts w:ascii="黑体" w:hAnsi="黑体" w:eastAsia="黑体"/>
          <w:sz w:val="44"/>
          <w:szCs w:val="44"/>
        </w:rPr>
      </w:pPr>
    </w:p>
    <w:p w14:paraId="7DFCD7BA">
      <w:pPr>
        <w:spacing w:line="560" w:lineRule="exact"/>
        <w:jc w:val="center"/>
        <w:outlineLvl w:val="0"/>
        <w:rPr>
          <w:rFonts w:ascii="黑体" w:hAnsi="黑体" w:eastAsia="黑体"/>
          <w:sz w:val="44"/>
          <w:szCs w:val="44"/>
        </w:rPr>
      </w:pPr>
    </w:p>
    <w:p w14:paraId="496C70FD">
      <w:pPr>
        <w:spacing w:line="560" w:lineRule="exact"/>
        <w:jc w:val="center"/>
        <w:outlineLvl w:val="0"/>
        <w:rPr>
          <w:rFonts w:ascii="黑体" w:hAnsi="黑体" w:eastAsia="黑体"/>
          <w:sz w:val="44"/>
          <w:szCs w:val="44"/>
        </w:rPr>
      </w:pPr>
    </w:p>
    <w:p w14:paraId="5AF6CD25">
      <w:pPr>
        <w:spacing w:line="560" w:lineRule="exact"/>
        <w:jc w:val="center"/>
        <w:outlineLvl w:val="0"/>
        <w:rPr>
          <w:rFonts w:ascii="黑体" w:hAnsi="黑体" w:eastAsia="黑体"/>
          <w:sz w:val="44"/>
          <w:szCs w:val="44"/>
        </w:rPr>
      </w:pPr>
    </w:p>
    <w:p w14:paraId="05FC952E">
      <w:pPr>
        <w:spacing w:line="560" w:lineRule="exact"/>
        <w:jc w:val="center"/>
        <w:outlineLvl w:val="0"/>
        <w:rPr>
          <w:rFonts w:ascii="黑体" w:hAnsi="黑体" w:eastAsia="黑体"/>
          <w:sz w:val="44"/>
          <w:szCs w:val="44"/>
        </w:rPr>
      </w:pPr>
    </w:p>
    <w:p w14:paraId="74852375">
      <w:pPr>
        <w:spacing w:line="560" w:lineRule="exact"/>
        <w:jc w:val="center"/>
        <w:outlineLvl w:val="0"/>
        <w:rPr>
          <w:rFonts w:ascii="黑体" w:hAnsi="黑体" w:eastAsia="黑体"/>
          <w:sz w:val="44"/>
          <w:szCs w:val="44"/>
        </w:rPr>
      </w:pPr>
    </w:p>
    <w:p w14:paraId="52E125DE">
      <w:pPr>
        <w:spacing w:line="560" w:lineRule="exact"/>
        <w:jc w:val="center"/>
        <w:outlineLvl w:val="0"/>
        <w:rPr>
          <w:rFonts w:ascii="黑体" w:hAnsi="黑体" w:eastAsia="黑体"/>
          <w:sz w:val="44"/>
          <w:szCs w:val="44"/>
        </w:rPr>
      </w:pPr>
    </w:p>
    <w:p w14:paraId="13653B8E">
      <w:pPr>
        <w:spacing w:line="56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rPr>
        <w:t>五部分 附表</w:t>
      </w:r>
      <w:bookmarkStart w:id="60" w:name="_Toc15396619"/>
    </w:p>
    <w:p w14:paraId="5D7B2D69">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60"/>
    </w:p>
    <w:p w14:paraId="6D95854F">
      <w:pPr>
        <w:pStyle w:val="4"/>
        <w:rPr>
          <w:rFonts w:ascii="仿宋" w:hAnsi="仿宋" w:eastAsia="仿宋"/>
        </w:rPr>
      </w:pPr>
      <w:bookmarkStart w:id="61" w:name="_Toc15396620"/>
      <w:r>
        <w:rPr>
          <w:rFonts w:hint="eastAsia" w:ascii="仿宋" w:hAnsi="仿宋" w:eastAsia="仿宋"/>
          <w:b w:val="0"/>
        </w:rPr>
        <w:t>二、收</w:t>
      </w:r>
      <w:r>
        <w:rPr>
          <w:rStyle w:val="26"/>
          <w:rFonts w:hint="eastAsia" w:ascii="仿宋" w:hAnsi="仿宋" w:eastAsia="仿宋"/>
          <w:b w:val="0"/>
          <w:bCs w:val="0"/>
        </w:rPr>
        <w:t>入决算表</w:t>
      </w:r>
      <w:bookmarkEnd w:id="61"/>
    </w:p>
    <w:p w14:paraId="62E56285">
      <w:pPr>
        <w:pStyle w:val="4"/>
        <w:rPr>
          <w:rFonts w:ascii="仿宋" w:hAnsi="仿宋" w:eastAsia="仿宋"/>
        </w:rPr>
      </w:pPr>
      <w:bookmarkStart w:id="62"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62"/>
    </w:p>
    <w:p w14:paraId="58B34841">
      <w:pPr>
        <w:pStyle w:val="4"/>
        <w:rPr>
          <w:rFonts w:ascii="仿宋" w:hAnsi="仿宋" w:eastAsia="仿宋"/>
          <w:b w:val="0"/>
        </w:rPr>
      </w:pPr>
      <w:bookmarkStart w:id="63"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3"/>
    </w:p>
    <w:p w14:paraId="43C2DD0A">
      <w:pPr>
        <w:pStyle w:val="4"/>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4"/>
      <w:bookmarkStart w:id="65" w:name="_Toc15396624"/>
    </w:p>
    <w:p w14:paraId="127DA670">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5"/>
    </w:p>
    <w:p w14:paraId="368A3F2A">
      <w:pPr>
        <w:pStyle w:val="4"/>
        <w:rPr>
          <w:rFonts w:ascii="仿宋" w:hAnsi="仿宋" w:eastAsia="仿宋"/>
        </w:rPr>
      </w:pPr>
      <w:bookmarkStart w:id="66"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6"/>
    </w:p>
    <w:p w14:paraId="553C0A6D">
      <w:pPr>
        <w:pStyle w:val="4"/>
        <w:rPr>
          <w:rFonts w:ascii="仿宋" w:hAnsi="仿宋" w:eastAsia="仿宋"/>
        </w:rPr>
      </w:pPr>
      <w:bookmarkStart w:id="67"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7"/>
    </w:p>
    <w:p w14:paraId="683311A7">
      <w:pPr>
        <w:pStyle w:val="4"/>
        <w:rPr>
          <w:rFonts w:ascii="仿宋" w:hAnsi="仿宋" w:eastAsia="仿宋"/>
        </w:rPr>
      </w:pPr>
      <w:bookmarkStart w:id="68"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8"/>
    </w:p>
    <w:p w14:paraId="6F6AD85D">
      <w:pPr>
        <w:pStyle w:val="4"/>
        <w:rPr>
          <w:rFonts w:ascii="仿宋" w:hAnsi="仿宋" w:eastAsia="仿宋"/>
        </w:rPr>
      </w:pPr>
      <w:bookmarkStart w:id="69"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9"/>
    </w:p>
    <w:p w14:paraId="26958EA6">
      <w:pPr>
        <w:pStyle w:val="4"/>
        <w:rPr>
          <w:rFonts w:ascii="仿宋" w:hAnsi="仿宋" w:eastAsia="仿宋"/>
        </w:rPr>
      </w:pPr>
      <w:bookmarkStart w:id="70"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0"/>
    </w:p>
    <w:p w14:paraId="7DD49691">
      <w:pPr>
        <w:pStyle w:val="4"/>
        <w:rPr>
          <w:rFonts w:ascii="仿宋" w:hAnsi="仿宋" w:eastAsia="仿宋"/>
        </w:rPr>
      </w:pPr>
      <w:bookmarkStart w:id="71"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1"/>
    </w:p>
    <w:p w14:paraId="5F856C45">
      <w:pPr>
        <w:pStyle w:val="4"/>
        <w:rPr>
          <w:rStyle w:val="26"/>
          <w:rFonts w:ascii="仿宋" w:hAnsi="仿宋" w:eastAsia="仿宋"/>
          <w:b w:val="0"/>
          <w:bCs w:val="0"/>
        </w:rPr>
      </w:pPr>
      <w:bookmarkStart w:id="72"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72"/>
    </w:p>
    <w:p w14:paraId="0EC780D3">
      <w:pPr>
        <w:rPr>
          <w:rFonts w:eastAsia="仿宋"/>
        </w:rPr>
      </w:pPr>
      <w:r>
        <w:rPr>
          <w:rStyle w:val="26"/>
          <w:rFonts w:hint="eastAsia" w:ascii="仿宋" w:hAnsi="仿宋" w:eastAsia="仿宋"/>
          <w:b w:val="0"/>
          <w:bCs w:val="0"/>
        </w:rPr>
        <w:t>十四、国有资本经营预算财政拨款支出决算表</w:t>
      </w:r>
    </w:p>
    <w:p w14:paraId="14B96B22">
      <w:pPr>
        <w:spacing w:line="600" w:lineRule="exact"/>
        <w:jc w:val="center"/>
        <w:outlineLvl w:val="0"/>
        <w:rPr>
          <w:rFonts w:asciiTheme="minorEastAsia" w:hAnsiTheme="minorEastAsia" w:eastAsiaTheme="minorEastAsia"/>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43350F0">
        <w:pPr>
          <w:pStyle w:val="9"/>
          <w:jc w:val="center"/>
        </w:pPr>
        <w:r>
          <w:fldChar w:fldCharType="begin"/>
        </w:r>
        <w:r>
          <w:instrText xml:space="preserve">PAGE   \* MERGEFORMAT</w:instrText>
        </w:r>
        <w:r>
          <w:fldChar w:fldCharType="separate"/>
        </w:r>
        <w:r>
          <w:rPr>
            <w:lang w:val="zh-CN"/>
          </w:rPr>
          <w:t>5</w:t>
        </w:r>
        <w:r>
          <w:rPr>
            <w:lang w:val="zh-CN"/>
          </w:rPr>
          <w:fldChar w:fldCharType="end"/>
        </w:r>
      </w:p>
    </w:sdtContent>
  </w:sdt>
  <w:p w14:paraId="08C06D4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708FB">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6C05F"/>
    <w:multiLevelType w:val="singleLevel"/>
    <w:tmpl w:val="82D6C05F"/>
    <w:lvl w:ilvl="0" w:tentative="0">
      <w:start w:val="2"/>
      <w:numFmt w:val="chineseCounting"/>
      <w:suff w:val="nothing"/>
      <w:lvlText w:val="%1、"/>
      <w:lvlJc w:val="left"/>
      <w:rPr>
        <w:rFonts w:hint="eastAsia"/>
      </w:rPr>
    </w:lvl>
  </w:abstractNum>
  <w:abstractNum w:abstractNumId="1">
    <w:nsid w:val="A4EEC1AB"/>
    <w:multiLevelType w:val="singleLevel"/>
    <w:tmpl w:val="A4EEC1AB"/>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34F0C41"/>
    <w:multiLevelType w:val="singleLevel"/>
    <w:tmpl w:val="D34F0C41"/>
    <w:lvl w:ilvl="0" w:tentative="0">
      <w:start w:val="1"/>
      <w:numFmt w:val="decimal"/>
      <w:suff w:val="nothing"/>
      <w:lvlText w:val="%1、"/>
      <w:lvlJc w:val="left"/>
    </w:lvl>
  </w:abstractNum>
  <w:abstractNum w:abstractNumId="4">
    <w:nsid w:val="DAAFB9CE"/>
    <w:multiLevelType w:val="singleLevel"/>
    <w:tmpl w:val="DAAFB9CE"/>
    <w:lvl w:ilvl="0" w:tentative="0">
      <w:start w:val="4"/>
      <w:numFmt w:val="decimal"/>
      <w:suff w:val="nothing"/>
      <w:lvlText w:val="%1．"/>
      <w:lvlJc w:val="left"/>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3AC0472"/>
    <w:multiLevelType w:val="singleLevel"/>
    <w:tmpl w:val="13AC0472"/>
    <w:lvl w:ilvl="0" w:tentative="0">
      <w:start w:val="2"/>
      <w:numFmt w:val="decimal"/>
      <w:suff w:val="nothing"/>
      <w:lvlText w:val="%1．"/>
      <w:lvlJc w:val="left"/>
    </w:lvl>
  </w:abstractNum>
  <w:abstractNum w:abstractNumId="8">
    <w:nsid w:val="15525313"/>
    <w:multiLevelType w:val="singleLevel"/>
    <w:tmpl w:val="15525313"/>
    <w:lvl w:ilvl="0" w:tentative="0">
      <w:start w:val="2"/>
      <w:numFmt w:val="chineseCounting"/>
      <w:suff w:val="nothing"/>
      <w:lvlText w:val="（%1）"/>
      <w:lvlJc w:val="left"/>
      <w:rPr>
        <w:rFonts w:hint="eastAsia"/>
      </w:rPr>
    </w:lvl>
  </w:abstractNum>
  <w:abstractNum w:abstractNumId="9">
    <w:nsid w:val="3E794925"/>
    <w:multiLevelType w:val="singleLevel"/>
    <w:tmpl w:val="3E794925"/>
    <w:lvl w:ilvl="0" w:tentative="0">
      <w:start w:val="3"/>
      <w:numFmt w:val="chineseCounting"/>
      <w:suff w:val="nothing"/>
      <w:lvlText w:val="（%1）"/>
      <w:lvlJc w:val="left"/>
      <w:rPr>
        <w:rFonts w:hint="eastAsia"/>
      </w:rPr>
    </w:lvl>
  </w:abstractNum>
  <w:num w:numId="1">
    <w:abstractNumId w:val="3"/>
  </w:num>
  <w:num w:numId="2">
    <w:abstractNumId w:val="0"/>
  </w:num>
  <w:num w:numId="3">
    <w:abstractNumId w:val="6"/>
  </w:num>
  <w:num w:numId="4">
    <w:abstractNumId w:val="2"/>
  </w:num>
  <w:num w:numId="5">
    <w:abstractNumId w:val="5"/>
  </w:num>
  <w:num w:numId="6">
    <w:abstractNumId w:val="8"/>
  </w:num>
  <w:num w:numId="7">
    <w:abstractNumId w:val="1"/>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TkxYmI3NDM1YjhiMGQ3NjdjYzI2OWY2YWRhYz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25E"/>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1D41"/>
    <w:rsid w:val="001654D1"/>
    <w:rsid w:val="00174518"/>
    <w:rsid w:val="0018106D"/>
    <w:rsid w:val="001877A7"/>
    <w:rsid w:val="00191536"/>
    <w:rsid w:val="00196687"/>
    <w:rsid w:val="001C0962"/>
    <w:rsid w:val="001D7531"/>
    <w:rsid w:val="001E737D"/>
    <w:rsid w:val="001F0592"/>
    <w:rsid w:val="001F7506"/>
    <w:rsid w:val="002006CD"/>
    <w:rsid w:val="00202072"/>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1EBF"/>
    <w:rsid w:val="002F1818"/>
    <w:rsid w:val="002F567B"/>
    <w:rsid w:val="003039CF"/>
    <w:rsid w:val="003216A9"/>
    <w:rsid w:val="00335A74"/>
    <w:rsid w:val="00342885"/>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3900"/>
    <w:rsid w:val="003E6F55"/>
    <w:rsid w:val="00404FDD"/>
    <w:rsid w:val="00406254"/>
    <w:rsid w:val="00411F7A"/>
    <w:rsid w:val="004223DE"/>
    <w:rsid w:val="00434489"/>
    <w:rsid w:val="00437085"/>
    <w:rsid w:val="00443880"/>
    <w:rsid w:val="004464F4"/>
    <w:rsid w:val="00457321"/>
    <w:rsid w:val="00470CB1"/>
    <w:rsid w:val="00471401"/>
    <w:rsid w:val="00473F31"/>
    <w:rsid w:val="0048263A"/>
    <w:rsid w:val="00487E5D"/>
    <w:rsid w:val="004A711F"/>
    <w:rsid w:val="004B199D"/>
    <w:rsid w:val="004B4690"/>
    <w:rsid w:val="004B571E"/>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70325F"/>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5CD6"/>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2E6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D0C2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2158"/>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87FD8"/>
    <w:rsid w:val="00C91381"/>
    <w:rsid w:val="00C91CBB"/>
    <w:rsid w:val="00C930B0"/>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57EFD"/>
    <w:rsid w:val="00E64269"/>
    <w:rsid w:val="00E82267"/>
    <w:rsid w:val="00E853CE"/>
    <w:rsid w:val="00E867B6"/>
    <w:rsid w:val="00EA010F"/>
    <w:rsid w:val="00EA4CB8"/>
    <w:rsid w:val="00ED1B63"/>
    <w:rsid w:val="00ED3C1F"/>
    <w:rsid w:val="00ED4085"/>
    <w:rsid w:val="00ED420E"/>
    <w:rsid w:val="00ED6FBE"/>
    <w:rsid w:val="00EE2F57"/>
    <w:rsid w:val="00EF4C34"/>
    <w:rsid w:val="00EF77C6"/>
    <w:rsid w:val="00EF7A66"/>
    <w:rsid w:val="00F05438"/>
    <w:rsid w:val="00F10A74"/>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166C"/>
    <w:rsid w:val="00FD3CC1"/>
    <w:rsid w:val="00FF1E02"/>
    <w:rsid w:val="00FF30B4"/>
    <w:rsid w:val="04EC3681"/>
    <w:rsid w:val="05CE7F14"/>
    <w:rsid w:val="066E0107"/>
    <w:rsid w:val="07996F6E"/>
    <w:rsid w:val="0A2032A3"/>
    <w:rsid w:val="0C2F2F34"/>
    <w:rsid w:val="101860EC"/>
    <w:rsid w:val="103A4541"/>
    <w:rsid w:val="10C055FF"/>
    <w:rsid w:val="118107EC"/>
    <w:rsid w:val="13D50BC4"/>
    <w:rsid w:val="16BB723D"/>
    <w:rsid w:val="171F14ED"/>
    <w:rsid w:val="17C4240D"/>
    <w:rsid w:val="19EF71EC"/>
    <w:rsid w:val="1BE8440E"/>
    <w:rsid w:val="1D155CEE"/>
    <w:rsid w:val="23860B96"/>
    <w:rsid w:val="240371BF"/>
    <w:rsid w:val="25BF53E7"/>
    <w:rsid w:val="29794181"/>
    <w:rsid w:val="29FD04D3"/>
    <w:rsid w:val="2BE54401"/>
    <w:rsid w:val="2C8A61B5"/>
    <w:rsid w:val="2DF04E50"/>
    <w:rsid w:val="315C7E3B"/>
    <w:rsid w:val="319F7F4E"/>
    <w:rsid w:val="3358664D"/>
    <w:rsid w:val="36AA5135"/>
    <w:rsid w:val="379876F3"/>
    <w:rsid w:val="37E16F03"/>
    <w:rsid w:val="3ABC742B"/>
    <w:rsid w:val="3D98207C"/>
    <w:rsid w:val="3E0174F8"/>
    <w:rsid w:val="3EAD7262"/>
    <w:rsid w:val="42CA3323"/>
    <w:rsid w:val="44E268DA"/>
    <w:rsid w:val="47887F8D"/>
    <w:rsid w:val="47C76E43"/>
    <w:rsid w:val="49427B76"/>
    <w:rsid w:val="4A627F82"/>
    <w:rsid w:val="4B4F25DA"/>
    <w:rsid w:val="4BE068DB"/>
    <w:rsid w:val="4CD85A33"/>
    <w:rsid w:val="4D577224"/>
    <w:rsid w:val="4EAB630A"/>
    <w:rsid w:val="4ECE2238"/>
    <w:rsid w:val="512020C1"/>
    <w:rsid w:val="521074E3"/>
    <w:rsid w:val="5438608E"/>
    <w:rsid w:val="5A316DE9"/>
    <w:rsid w:val="5AF92295"/>
    <w:rsid w:val="5BF63B05"/>
    <w:rsid w:val="5CD71FC4"/>
    <w:rsid w:val="6C4A05C8"/>
    <w:rsid w:val="6E7E3605"/>
    <w:rsid w:val="6EB10173"/>
    <w:rsid w:val="6FF5CC65"/>
    <w:rsid w:val="715C0E4B"/>
    <w:rsid w:val="72734D90"/>
    <w:rsid w:val="73A664A3"/>
    <w:rsid w:val="73AD73D5"/>
    <w:rsid w:val="73B6EB34"/>
    <w:rsid w:val="78FF289A"/>
    <w:rsid w:val="79EE5BA4"/>
    <w:rsid w:val="7A742313"/>
    <w:rsid w:val="7A894339"/>
    <w:rsid w:val="7BCB33EE"/>
    <w:rsid w:val="7EEF11D3"/>
    <w:rsid w:val="7F63114A"/>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annotation text"/>
    <w:basedOn w:val="1"/>
    <w:semiHidden/>
    <w:unhideWhenUsed/>
    <w:qFormat/>
    <w:uiPriority w:val="99"/>
    <w:pPr>
      <w:jc w:val="left"/>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0" i="0" u="none" strike="noStrike" kern="1200" spc="0" baseline="0">
                <a:solidFill>
                  <a:schemeClr val="tx1">
                    <a:lumMod val="65000"/>
                    <a:lumOff val="35000"/>
                  </a:schemeClr>
                </a:solidFill>
                <a:latin typeface="+mn-lt"/>
                <a:ea typeface="+mn-ea"/>
                <a:cs typeface="+mn-cs"/>
              </a:defRPr>
            </a:pPr>
            <a:r>
              <a:rPr sz="1080"/>
              <a:t>收、支决算总计变动情况图</a:t>
            </a:r>
            <a:endParaRPr sz="1080"/>
          </a:p>
        </c:rich>
      </c:tx>
      <c:layout>
        <c:manualLayout>
          <c:xMode val="edge"/>
          <c:yMode val="edge"/>
          <c:x val="0.239581670126138"/>
          <c:y val="0.0450180072028812"/>
        </c:manualLayout>
      </c:layout>
      <c:overlay val="0"/>
      <c:spPr>
        <a:noFill/>
        <a:ln>
          <a:noFill/>
        </a:ln>
        <a:effectLst/>
      </c:spPr>
    </c:title>
    <c:autoTitleDeleted val="0"/>
    <c:plotArea>
      <c:layout>
        <c:manualLayout>
          <c:layoutTarget val="inner"/>
          <c:xMode val="edge"/>
          <c:yMode val="edge"/>
          <c:x val="0.11274848527276"/>
          <c:y val="0.177211493807004"/>
          <c:w val="0.738977584260603"/>
          <c:h val="0.665251276538566"/>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2201.39</c:v>
                </c:pt>
                <c:pt idx="1">
                  <c:v>2182.7</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2369.19</c:v>
                </c:pt>
                <c:pt idx="1">
                  <c:v>2702.2</c:v>
                </c:pt>
              </c:numCache>
            </c:numRef>
          </c:val>
        </c:ser>
        <c:dLbls>
          <c:showLegendKey val="0"/>
          <c:showVal val="1"/>
          <c:showCatName val="0"/>
          <c:showSerName val="0"/>
          <c:showPercent val="0"/>
          <c:showBubbleSize val="0"/>
        </c:dLbls>
        <c:gapWidth val="219"/>
        <c:overlap val="-27"/>
        <c:axId val="59198848"/>
        <c:axId val="116854784"/>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Sheet1!$A$2:$A$5</c15:sqref>
                        </c15:fullRef>
                        <c15:formulaRef>
                          <c15:sqref>Sheet1!$A$2:$A$3</c15:sqref>
                        </c15:formulaRef>
                      </c:ext>
                    </c:extLst>
                    <c:strCache>
                      <c:ptCount val="2"/>
                      <c:pt idx="0">
                        <c:v>收入</c:v>
                      </c:pt>
                      <c:pt idx="1">
                        <c:v>支出</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591988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854784"/>
        <c:crosses val="autoZero"/>
        <c:auto val="1"/>
        <c:lblAlgn val="ctr"/>
        <c:lblOffset val="100"/>
        <c:noMultiLvlLbl val="0"/>
      </c:catAx>
      <c:valAx>
        <c:axId val="1168547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198848"/>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874055056340038"/>
          <c:y val="0.47032640949554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9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2667240884295"/>
          <c:y val="0.0503875968992248"/>
        </c:manualLayout>
      </c:layout>
      <c:overlay val="0"/>
      <c:spPr>
        <a:noFill/>
        <a:ln>
          <a:noFill/>
        </a:ln>
        <a:effectLst/>
      </c:spPr>
      <c:txPr>
        <a:bodyPr rot="0" spcFirstLastPara="0" vertOverflow="ellipsis" vert="horz" wrap="square" anchor="ctr" anchorCtr="1"/>
        <a:lstStyle/>
        <a:p>
          <a:pPr>
            <a:defRPr lang="zh-CN" sz="108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306374154114822"/>
          <c:y val="0.210881078478575"/>
          <c:w val="0.618969657280071"/>
          <c:h val="0.625662012518056"/>
        </c:manualLayout>
      </c:layout>
      <c:pie3DChart>
        <c:varyColors val="1"/>
        <c:ser>
          <c:idx val="0"/>
          <c:order val="0"/>
          <c:tx>
            <c:strRef>
              <c:f>Sheet1!$B$1</c:f>
              <c:strCache>
                <c:ptCount val="1"/>
                <c:pt idx="0">
                  <c:v>收入决算结构图</c:v>
                </c:pt>
              </c:strCache>
            </c:strRef>
          </c:tx>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Pt>
            <c:idx val="7"/>
            <c:bubble3D val="0"/>
            <c:spPr>
              <a:solidFill>
                <a:schemeClr val="accent2">
                  <a:lumMod val="60000"/>
                </a:schemeClr>
              </a:solidFill>
              <a:ln w="25400">
                <a:solidFill>
                  <a:schemeClr val="lt1"/>
                </a:solidFill>
              </a:ln>
              <a:effectLst/>
            </c:spPr>
          </c:dPt>
          <c:dLbls>
            <c:dLbl>
              <c:idx val="0"/>
              <c:layout>
                <c:manualLayout>
                  <c:x val="0.00453998946976754"/>
                  <c:y val="-0.36081598866427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2369.19</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dLbls>
      </c:pie3D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00368731563421829"/>
          <c:y val="0.24423923289105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9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2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支出决算结构图</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1867.97</c:v>
                </c:pt>
                <c:pt idx="1">
                  <c:v>834.23</c:v>
                </c:pt>
                <c:pt idx="2">
                  <c:v>0</c:v>
                </c:pt>
                <c:pt idx="3">
                  <c:v>0</c:v>
                </c:pt>
                <c:pt idx="4">
                  <c:v>0</c:v>
                </c:pt>
              </c:numCache>
            </c:numRef>
          </c:val>
        </c:ser>
        <c:dLbls>
          <c:showLegendKey val="0"/>
          <c:showVal val="1"/>
          <c:showCatName val="0"/>
          <c:showSerName val="0"/>
          <c:showPercent val="0"/>
          <c:showBubbleSize val="0"/>
        </c:dLbls>
      </c:pie3D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cap="none" spc="20" baseline="0">
                <a:solidFill>
                  <a:schemeClr val="tx1">
                    <a:lumMod val="50000"/>
                    <a:lumOff val="50000"/>
                  </a:schemeClr>
                </a:solidFill>
                <a:latin typeface="+mn-lt"/>
                <a:ea typeface="+mn-ea"/>
                <a:cs typeface="+mn-cs"/>
              </a:defRPr>
            </a:pPr>
            <a:r>
              <a:rPr sz="1200" b="1"/>
              <a:t>财政拨款收、支决算总计变动情况</a:t>
            </a:r>
            <a:endParaRPr sz="1200" b="1"/>
          </a:p>
        </c:rich>
      </c:tx>
      <c:layout>
        <c:manualLayout>
          <c:xMode val="edge"/>
          <c:yMode val="edge"/>
          <c:x val="0.192162351294611"/>
          <c:y val="0.026309195690303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2515.39</c:v>
                </c:pt>
                <c:pt idx="1">
                  <c:v>2702.2</c:v>
                </c:pt>
              </c:numCache>
            </c:numRef>
          </c:val>
        </c:ser>
        <c:dLbls>
          <c:showLegendKey val="0"/>
          <c:showVal val="1"/>
          <c:showCatName val="0"/>
          <c:showSerName val="0"/>
          <c:showPercent val="0"/>
          <c:showBubbleSize val="0"/>
        </c:dLbls>
        <c:gapWidth val="100"/>
        <c:overlap val="-24"/>
        <c:axId val="58891648"/>
        <c:axId val="58897536"/>
      </c:barChart>
      <c:catAx>
        <c:axId val="58891648"/>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1" i="0" u="none" strike="noStrike" kern="1200" baseline="0">
                <a:solidFill>
                  <a:schemeClr val="tx1">
                    <a:lumMod val="50000"/>
                    <a:lumOff val="50000"/>
                  </a:schemeClr>
                </a:solidFill>
                <a:latin typeface="+mn-lt"/>
                <a:ea typeface="+mn-ea"/>
                <a:cs typeface="+mn-cs"/>
              </a:defRPr>
            </a:pPr>
          </a:p>
        </c:txPr>
        <c:crossAx val="58897536"/>
        <c:crosses val="autoZero"/>
        <c:auto val="1"/>
        <c:lblAlgn val="ctr"/>
        <c:lblOffset val="100"/>
        <c:noMultiLvlLbl val="0"/>
      </c:catAx>
      <c:valAx>
        <c:axId val="58897536"/>
        <c:scaling>
          <c:orientation val="minMax"/>
          <c:max val="28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00" b="1" i="0" u="none" strike="noStrike" kern="1200" baseline="0">
                <a:solidFill>
                  <a:schemeClr val="tx1">
                    <a:lumMod val="50000"/>
                    <a:lumOff val="50000"/>
                  </a:schemeClr>
                </a:solidFill>
                <a:latin typeface="+mn-lt"/>
                <a:ea typeface="+mn-ea"/>
                <a:cs typeface="+mn-cs"/>
              </a:defRPr>
            </a:pPr>
          </a:p>
        </c:txPr>
        <c:crossAx val="5889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1"/>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200"/>
              <a:t>一般公共预算财政拨款支出决算变动情况</a:t>
            </a:r>
            <a:endParaRPr sz="12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2182.75</c:v>
                </c:pt>
                <c:pt idx="1">
                  <c:v>2702.2</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
                      </c:pt>
                    </c:strCache>
                  </c:strRef>
                </c15:tx>
              </c15:filteredSeriesTitle>
            </c:ext>
          </c:extLst>
        </c:ser>
        <c:dLbls>
          <c:showLegendKey val="0"/>
          <c:showVal val="1"/>
          <c:showCatName val="0"/>
          <c:showSerName val="0"/>
          <c:showPercent val="0"/>
          <c:showBubbleSize val="0"/>
        </c:dLbls>
        <c:gapWidth val="219"/>
        <c:overlap val="-27"/>
        <c:axId val="58913536"/>
        <c:axId val="58915072"/>
      </c:barChart>
      <c:catAx>
        <c:axId val="589135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915072"/>
        <c:crosses val="autoZero"/>
        <c:auto val="1"/>
        <c:lblAlgn val="ctr"/>
        <c:lblOffset val="100"/>
        <c:noMultiLvlLbl val="0"/>
      </c:catAx>
      <c:valAx>
        <c:axId val="58915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91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2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一般公共预算财政拨款支出决算结构</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公共安全（类）</c:v>
                </c:pt>
                <c:pt idx="1">
                  <c:v>社会保障和就业（类）</c:v>
                </c:pt>
                <c:pt idx="2">
                  <c:v>卫生健康（类）</c:v>
                </c:pt>
                <c:pt idx="3">
                  <c:v>住房保障（类）</c:v>
                </c:pt>
              </c:strCache>
            </c:strRef>
          </c:cat>
          <c:val>
            <c:numRef>
              <c:f>Sheet1!$B$2:$B$5</c:f>
              <c:numCache>
                <c:formatCode>0.00%</c:formatCode>
                <c:ptCount val="4"/>
                <c:pt idx="0">
                  <c:v>0.8525</c:v>
                </c:pt>
                <c:pt idx="1">
                  <c:v>0.0659</c:v>
                </c:pt>
                <c:pt idx="2">
                  <c:v>0.0311</c:v>
                </c:pt>
                <c:pt idx="3">
                  <c:v>0.0505</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8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“三公”经费财政拨款支出结构</c:v>
                </c:pt>
              </c:strCache>
            </c:strRef>
          </c:tx>
          <c:spPr>
            <a:scene3d>
              <a:camera prst="orthographicFront"/>
              <a:lightRig rig="threePt" dir="t"/>
            </a:scene3d>
            <a:sp3d contourW="25400"/>
          </c:spPr>
          <c:explosion val="0"/>
          <c:dPt>
            <c:idx val="0"/>
            <c:bubble3D val="0"/>
            <c:spPr>
              <a:solidFill>
                <a:schemeClr val="accent6"/>
              </a:solidFill>
              <a:ln w="25400">
                <a:solidFill>
                  <a:schemeClr val="lt1"/>
                </a:solidFill>
              </a:ln>
              <a:effectLst/>
              <a:scene3d>
                <a:camera prst="orthographicFront"/>
                <a:lightRig rig="threePt" dir="t"/>
              </a:scene3d>
              <a:sp3d contourW="25400"/>
            </c:spPr>
          </c:dPt>
          <c:dPt>
            <c:idx val="1"/>
            <c:bubble3D val="0"/>
            <c:spPr>
              <a:solidFill>
                <a:schemeClr val="accent5"/>
              </a:solidFill>
              <a:ln w="25400">
                <a:solidFill>
                  <a:schemeClr val="lt1"/>
                </a:solidFill>
              </a:ln>
              <a:effectLst/>
              <a:scene3d>
                <a:camera prst="orthographicFront"/>
                <a:lightRig rig="threePt" dir="t"/>
              </a:scene3d>
              <a:sp3d contourW="25400"/>
            </c:spPr>
          </c:dPt>
          <c:dPt>
            <c:idx val="2"/>
            <c:bubble3D val="0"/>
            <c:spPr>
              <a:solidFill>
                <a:schemeClr val="accent4"/>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Sheet1!$A$2:$A$4</c:f>
              <c:strCache>
                <c:ptCount val="3"/>
                <c:pt idx="0">
                  <c:v>因公出国（境）费</c:v>
                </c:pt>
                <c:pt idx="1">
                  <c:v>公务用车购置及运行维护费</c:v>
                </c:pt>
                <c:pt idx="2">
                  <c:v>公务接待费</c:v>
                </c:pt>
              </c:strCache>
            </c:strRef>
          </c:cat>
          <c:val>
            <c:numRef>
              <c:extLst>
                <c:ext xmlns:c15="http://schemas.microsoft.com/office/drawing/2012/chart" uri="{02D57815-91ED-43cb-92C2-25804820EDAC}">
                  <c15:fullRef>
                    <c15:sqref>Sheet1!$B$2:$B$5</c15:sqref>
                  </c15:fullRef>
                </c:ext>
              </c:extLst>
              <c:f>Sheet1!$B$2:$B$4</c:f>
              <c:numCache>
                <c:formatCode>General</c:formatCode>
                <c:ptCount val="3"/>
                <c:pt idx="0">
                  <c:v>0</c:v>
                </c:pt>
                <c:pt idx="1" c:formatCode="0.00%">
                  <c:v>0.9777</c:v>
                </c:pt>
                <c:pt idx="2" c:formatCode="0.00%">
                  <c:v>0.0223</c:v>
                </c:pt>
              </c:numCache>
            </c:numRef>
          </c:val>
        </c:ser>
        <c:dLbls>
          <c:showLegendKey val="0"/>
          <c:showVal val="1"/>
          <c:showCatName val="0"/>
          <c:showSerName val="0"/>
          <c:showPercent val="0"/>
          <c:showBubbleSize val="0"/>
        </c:dLbls>
      </c:pie3D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900"/>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F93DD-71C2-4399-B886-5A4105C4AC0F}">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12346</Words>
  <Characters>13504</Characters>
  <Lines>100</Lines>
  <Paragraphs>28</Paragraphs>
  <TotalTime>86</TotalTime>
  <ScaleCrop>false</ScaleCrop>
  <LinksUpToDate>false</LinksUpToDate>
  <CharactersWithSpaces>13546</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2022-10-11T07:50:00Z</dcterms:created>
  <dc:creator>曹颖</dc:creator>
  <cp:lastModifiedBy>雨点儿</cp:lastModifiedBy>
  <cp:lastPrinted>2022-10-19T01:42:00Z</cp:lastPrinted>
  <dcterms:modified xsi:type="dcterms:W3CDTF">2025-01-13T07:29:27Z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1BB4AA9F42C848EAB61348489E3AED88_13</vt:lpwstr>
  </property>
</Properties>
</file>