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D4" w:rsidRDefault="006C66D4">
      <w:pPr>
        <w:spacing w:line="600" w:lineRule="exact"/>
        <w:jc w:val="center"/>
        <w:outlineLvl w:val="0"/>
        <w:rPr>
          <w:rFonts w:ascii="方正小标宋简体" w:eastAsia="方正小标宋简体" w:hAnsi="宋体"/>
          <w:sz w:val="72"/>
          <w:szCs w:val="72"/>
        </w:rPr>
      </w:pPr>
      <w:bookmarkStart w:id="0" w:name="_Toc15306267"/>
    </w:p>
    <w:p w:rsidR="006C66D4" w:rsidRDefault="006C66D4">
      <w:pPr>
        <w:spacing w:line="600" w:lineRule="exact"/>
        <w:jc w:val="center"/>
        <w:outlineLvl w:val="0"/>
        <w:rPr>
          <w:rFonts w:ascii="方正小标宋简体" w:eastAsia="方正小标宋简体" w:hAnsi="宋体"/>
          <w:sz w:val="72"/>
          <w:szCs w:val="72"/>
        </w:rPr>
      </w:pPr>
    </w:p>
    <w:p w:rsidR="006C66D4" w:rsidRDefault="006C66D4">
      <w:pPr>
        <w:spacing w:line="600" w:lineRule="exact"/>
        <w:jc w:val="center"/>
        <w:outlineLvl w:val="0"/>
        <w:rPr>
          <w:rFonts w:ascii="方正小标宋简体" w:eastAsia="方正小标宋简体" w:hAnsi="宋体"/>
          <w:sz w:val="72"/>
          <w:szCs w:val="72"/>
        </w:rPr>
      </w:pPr>
    </w:p>
    <w:p w:rsidR="006C66D4" w:rsidRDefault="006C66D4">
      <w:pPr>
        <w:spacing w:line="600" w:lineRule="exact"/>
        <w:jc w:val="center"/>
        <w:outlineLvl w:val="0"/>
        <w:rPr>
          <w:rFonts w:ascii="方正小标宋简体" w:eastAsia="方正小标宋简体" w:hAnsi="宋体"/>
          <w:sz w:val="72"/>
          <w:szCs w:val="72"/>
        </w:rPr>
      </w:pPr>
    </w:p>
    <w:p w:rsidR="006C66D4" w:rsidRDefault="00AD3B60">
      <w:pPr>
        <w:adjustRightInd w:val="0"/>
        <w:snapToGrid w:val="0"/>
        <w:spacing w:line="360" w:lineRule="auto"/>
        <w:jc w:val="center"/>
        <w:outlineLvl w:val="0"/>
        <w:rPr>
          <w:rFonts w:ascii="方正小标宋简体" w:eastAsia="方正小标宋简体" w:hAnsi="宋体"/>
          <w:sz w:val="72"/>
          <w:szCs w:val="72"/>
        </w:rPr>
      </w:pPr>
      <w:bookmarkStart w:id="1" w:name="_Toc52180062"/>
      <w:bookmarkStart w:id="2" w:name="_Toc15377193"/>
      <w:bookmarkStart w:id="3" w:name="_Toc15377425"/>
      <w:bookmarkStart w:id="4" w:name="_Toc15378441"/>
      <w:bookmarkStart w:id="5" w:name="_Toc15396475"/>
      <w:bookmarkStart w:id="6" w:name="_Toc15396597"/>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6C66D4" w:rsidRDefault="00AD3B60">
      <w:pPr>
        <w:adjustRightInd w:val="0"/>
        <w:snapToGrid w:val="0"/>
        <w:spacing w:line="360" w:lineRule="auto"/>
        <w:jc w:val="center"/>
        <w:outlineLvl w:val="0"/>
        <w:rPr>
          <w:rFonts w:ascii="方正小标宋简体" w:eastAsia="方正小标宋简体" w:hAnsi="宋体"/>
          <w:sz w:val="72"/>
          <w:szCs w:val="72"/>
        </w:rPr>
      </w:pPr>
      <w:bookmarkStart w:id="7" w:name="_Toc52180063"/>
      <w:bookmarkStart w:id="8" w:name="_Toc15377194"/>
      <w:bookmarkStart w:id="9" w:name="_Toc15377426"/>
      <w:bookmarkStart w:id="10" w:name="_Toc15396598"/>
      <w:bookmarkStart w:id="11" w:name="_Toc15396476"/>
      <w:bookmarkStart w:id="12" w:name="_Toc15378442"/>
      <w:r>
        <w:rPr>
          <w:rFonts w:ascii="方正小标宋简体" w:eastAsia="方正小标宋简体" w:hAnsi="宋体" w:hint="eastAsia"/>
          <w:sz w:val="72"/>
          <w:szCs w:val="72"/>
        </w:rPr>
        <w:t>盐边县</w:t>
      </w:r>
      <w:bookmarkStart w:id="13" w:name="_Toc15306268"/>
      <w:bookmarkEnd w:id="0"/>
      <w:r>
        <w:rPr>
          <w:rFonts w:ascii="方正小标宋简体" w:eastAsia="方正小标宋简体" w:hAnsi="宋体" w:hint="eastAsia"/>
          <w:sz w:val="72"/>
          <w:szCs w:val="72"/>
        </w:rPr>
        <w:t>人大办部门决算</w:t>
      </w:r>
      <w:bookmarkEnd w:id="7"/>
      <w:bookmarkEnd w:id="8"/>
      <w:bookmarkEnd w:id="9"/>
      <w:bookmarkEnd w:id="10"/>
      <w:bookmarkEnd w:id="11"/>
      <w:bookmarkEnd w:id="12"/>
      <w:bookmarkEnd w:id="13"/>
    </w:p>
    <w:p w:rsidR="006C66D4" w:rsidRDefault="00AD3B6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C66D4" w:rsidRDefault="006C66D4">
      <w:pPr>
        <w:widowControl/>
        <w:jc w:val="center"/>
        <w:rPr>
          <w:rFonts w:ascii="黑体" w:eastAsia="黑体" w:hAnsi="黑体" w:cstheme="minorBidi"/>
          <w:sz w:val="28"/>
          <w:szCs w:val="28"/>
        </w:rPr>
      </w:pPr>
      <w:bookmarkStart w:id="14" w:name="_GoBack"/>
      <w:bookmarkEnd w:id="14"/>
    </w:p>
    <w:p w:rsidR="006C66D4" w:rsidRDefault="00AD3B60">
      <w:pPr>
        <w:pStyle w:val="10"/>
      </w:pPr>
      <w:r>
        <w:rPr>
          <w:rFonts w:hint="eastAsia"/>
        </w:rPr>
        <w:t>公开时间：2021年10月20日</w:t>
      </w:r>
    </w:p>
    <w:sdt>
      <w:sdtPr>
        <w:rPr>
          <w:rFonts w:ascii="Times New Roman" w:eastAsia="宋体" w:hAnsi="Times New Roman" w:cs="Times New Roman"/>
          <w:b w:val="0"/>
          <w:bCs w:val="0"/>
          <w:color w:val="auto"/>
          <w:kern w:val="2"/>
          <w:sz w:val="21"/>
          <w:szCs w:val="24"/>
          <w:lang w:val="zh-CN"/>
        </w:rPr>
        <w:id w:val="864955229"/>
        <w:docPartObj>
          <w:docPartGallery w:val="Table of Contents"/>
          <w:docPartUnique/>
        </w:docPartObj>
      </w:sdtPr>
      <w:sdtEndPr>
        <w:rPr>
          <w:lang w:val="en-US"/>
        </w:rPr>
      </w:sdtEndPr>
      <w:sdtContent>
        <w:p w:rsidR="006C66D4" w:rsidRDefault="00AD3B60">
          <w:pPr>
            <w:pStyle w:val="TOC2"/>
            <w:spacing w:before="0" w:line="240" w:lineRule="auto"/>
            <w:rPr>
              <w:color w:val="auto"/>
            </w:rPr>
          </w:pPr>
          <w:r>
            <w:rPr>
              <w:color w:val="auto"/>
            </w:rPr>
            <w:fldChar w:fldCharType="begin"/>
          </w:r>
          <w:r>
            <w:rPr>
              <w:color w:val="auto"/>
            </w:rPr>
            <w:instrText xml:space="preserve"> TOC \o "1-3" \h \z \u </w:instrText>
          </w:r>
          <w:r>
            <w:rPr>
              <w:color w:val="auto"/>
            </w:rPr>
            <w:fldChar w:fldCharType="separate"/>
          </w:r>
        </w:p>
        <w:p w:rsidR="006C66D4" w:rsidRDefault="000A1F35">
          <w:pPr>
            <w:pStyle w:val="10"/>
            <w:rPr>
              <w:rFonts w:cs="仿宋"/>
              <w:sz w:val="21"/>
              <w:szCs w:val="21"/>
            </w:rPr>
          </w:pPr>
          <w:hyperlink w:anchor="_Toc52180065" w:history="1">
            <w:r w:rsidR="00AD3B60">
              <w:rPr>
                <w:rStyle w:val="ab"/>
                <w:rFonts w:cs="仿宋" w:hint="eastAsia"/>
                <w:color w:val="auto"/>
                <w:sz w:val="21"/>
                <w:szCs w:val="21"/>
              </w:rPr>
              <w:t>第一部分部门概况</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_Toc52180065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4</w:t>
            </w:r>
            <w:r w:rsidR="00AD3B60">
              <w:rPr>
                <w:rFonts w:cs="仿宋" w:hint="eastAsia"/>
                <w:sz w:val="21"/>
                <w:szCs w:val="21"/>
              </w:rPr>
              <w:fldChar w:fldCharType="end"/>
            </w:r>
          </w:hyperlink>
        </w:p>
        <w:p w:rsidR="006C66D4" w:rsidRDefault="000A1F35">
          <w:pPr>
            <w:pStyle w:val="20"/>
            <w:rPr>
              <w:rFonts w:ascii="仿宋" w:eastAsia="仿宋" w:hAnsi="仿宋" w:cs="仿宋"/>
              <w:szCs w:val="21"/>
            </w:rPr>
          </w:pPr>
          <w:hyperlink w:anchor="_Toc52180066" w:history="1">
            <w:r w:rsidR="00AD3B60">
              <w:rPr>
                <w:rStyle w:val="ab"/>
                <w:rFonts w:ascii="仿宋" w:eastAsia="仿宋" w:hAnsi="仿宋" w:cs="仿宋" w:hint="eastAsia"/>
                <w:color w:val="auto"/>
                <w:szCs w:val="21"/>
              </w:rPr>
              <w:t>一、基本职能及主要工作</w:t>
            </w:r>
            <w:r w:rsidR="00AD3B60">
              <w:rPr>
                <w:rFonts w:ascii="仿宋" w:eastAsia="仿宋" w:hAnsi="仿宋" w:cs="仿宋" w:hint="eastAsia"/>
                <w:szCs w:val="21"/>
              </w:rPr>
              <w:tab/>
              <w:t>4</w:t>
            </w:r>
          </w:hyperlink>
        </w:p>
        <w:p w:rsidR="006C66D4" w:rsidRDefault="000A1F35">
          <w:pPr>
            <w:pStyle w:val="30"/>
            <w:rPr>
              <w:rFonts w:ascii="仿宋" w:eastAsia="仿宋" w:hAnsi="仿宋" w:cs="仿宋"/>
              <w:szCs w:val="21"/>
            </w:rPr>
          </w:pPr>
          <w:hyperlink w:anchor="_Toc52180067" w:history="1">
            <w:r w:rsidR="00AD3B60">
              <w:rPr>
                <w:rStyle w:val="ab"/>
                <w:rFonts w:ascii="仿宋" w:eastAsia="仿宋" w:hAnsi="仿宋" w:cs="仿宋" w:hint="eastAsia"/>
                <w:bCs/>
                <w:color w:val="auto"/>
                <w:szCs w:val="21"/>
              </w:rPr>
              <w:t>（一）主要职能。（职能参照县政府批准的三定方案）</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_Toc52180067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4</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68" w:history="1">
            <w:r w:rsidR="00AD3B60">
              <w:rPr>
                <w:rStyle w:val="ab"/>
                <w:rFonts w:ascii="仿宋" w:eastAsia="仿宋" w:hAnsi="仿宋" w:cs="仿宋" w:hint="eastAsia"/>
                <w:bCs/>
                <w:color w:val="auto"/>
                <w:szCs w:val="21"/>
              </w:rPr>
              <w:t>（二）2020年重点工作完成情况。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_Toc52180068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5</w:t>
            </w:r>
            <w:r w:rsidR="00AD3B60">
              <w:rPr>
                <w:rFonts w:ascii="仿宋" w:eastAsia="仿宋" w:hAnsi="仿宋" w:cs="仿宋" w:hint="eastAsia"/>
                <w:szCs w:val="21"/>
              </w:rPr>
              <w:fldChar w:fldCharType="end"/>
            </w:r>
          </w:hyperlink>
          <w:r w:rsidR="00AD3B60">
            <w:rPr>
              <w:rFonts w:ascii="仿宋" w:eastAsia="仿宋" w:hAnsi="仿宋" w:cs="仿宋" w:hint="eastAsia"/>
              <w:szCs w:val="21"/>
            </w:rPr>
            <w:t>-13</w:t>
          </w:r>
        </w:p>
        <w:p w:rsidR="006C66D4" w:rsidRDefault="000A1F35">
          <w:pPr>
            <w:pStyle w:val="20"/>
            <w:rPr>
              <w:rFonts w:ascii="仿宋" w:eastAsia="仿宋" w:hAnsi="仿宋" w:cs="仿宋"/>
              <w:szCs w:val="21"/>
            </w:rPr>
          </w:pPr>
          <w:hyperlink w:anchor="_Toc52180069" w:history="1">
            <w:r w:rsidR="00AD3B60">
              <w:rPr>
                <w:rStyle w:val="ab"/>
                <w:rFonts w:ascii="仿宋" w:eastAsia="仿宋" w:hAnsi="仿宋" w:cs="仿宋" w:hint="eastAsia"/>
                <w:color w:val="auto"/>
                <w:szCs w:val="21"/>
              </w:rPr>
              <w:t>二、机构设置</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_Toc52180069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13</w:t>
            </w:r>
            <w:r w:rsidR="00AD3B60">
              <w:rPr>
                <w:rFonts w:ascii="仿宋" w:eastAsia="仿宋" w:hAnsi="仿宋" w:cs="仿宋" w:hint="eastAsia"/>
                <w:szCs w:val="21"/>
              </w:rPr>
              <w:fldChar w:fldCharType="end"/>
            </w:r>
          </w:hyperlink>
        </w:p>
        <w:p w:rsidR="006C66D4" w:rsidRDefault="000A1F35">
          <w:pPr>
            <w:pStyle w:val="20"/>
            <w:rPr>
              <w:rFonts w:ascii="仿宋" w:eastAsia="仿宋" w:hAnsi="仿宋" w:cs="仿宋"/>
              <w:szCs w:val="21"/>
            </w:rPr>
          </w:pPr>
          <w:hyperlink w:anchor="_Toc52180073" w:history="1">
            <w:r w:rsidR="00AD3B60">
              <w:rPr>
                <w:rStyle w:val="ab"/>
                <w:rFonts w:ascii="仿宋" w:eastAsia="仿宋" w:hAnsi="仿宋" w:cs="仿宋" w:hint="eastAsia"/>
                <w:color w:val="auto"/>
                <w:szCs w:val="21"/>
              </w:rPr>
              <w:t>第二部分 2020年度部门决算情况说明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_Toc52180073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13</w:t>
            </w:r>
            <w:r w:rsidR="00AD3B60">
              <w:rPr>
                <w:rFonts w:ascii="仿宋" w:eastAsia="仿宋" w:hAnsi="仿宋" w:cs="仿宋" w:hint="eastAsia"/>
                <w:szCs w:val="21"/>
              </w:rPr>
              <w:fldChar w:fldCharType="end"/>
            </w:r>
          </w:hyperlink>
        </w:p>
        <w:p w:rsidR="006C66D4" w:rsidRDefault="000A1F35">
          <w:pPr>
            <w:pStyle w:val="20"/>
            <w:tabs>
              <w:tab w:val="left" w:pos="1260"/>
            </w:tabs>
            <w:rPr>
              <w:rFonts w:ascii="仿宋" w:eastAsia="仿宋" w:hAnsi="仿宋" w:cs="仿宋"/>
              <w:szCs w:val="21"/>
            </w:rPr>
          </w:pPr>
          <w:hyperlink w:anchor="_Toc52180074" w:history="1">
            <w:r w:rsidR="00AD3B60">
              <w:rPr>
                <w:rStyle w:val="ab"/>
                <w:rFonts w:ascii="仿宋" w:eastAsia="仿宋" w:hAnsi="仿宋" w:cs="仿宋" w:hint="eastAsia"/>
                <w:bCs/>
                <w:color w:val="auto"/>
                <w:szCs w:val="21"/>
              </w:rPr>
              <w:t>一、</w:t>
            </w:r>
            <w:r w:rsidR="00AD3B60">
              <w:rPr>
                <w:rFonts w:ascii="仿宋" w:eastAsia="仿宋" w:hAnsi="仿宋" w:cs="仿宋" w:hint="eastAsia"/>
                <w:szCs w:val="21"/>
              </w:rPr>
              <w:tab/>
            </w:r>
            <w:r w:rsidR="00AD3B60">
              <w:rPr>
                <w:rStyle w:val="ab"/>
                <w:rFonts w:ascii="仿宋" w:eastAsia="仿宋" w:hAnsi="仿宋" w:cs="仿宋" w:hint="eastAsia"/>
                <w:color w:val="auto"/>
                <w:szCs w:val="21"/>
              </w:rPr>
              <w:t>收</w:t>
            </w:r>
            <w:r w:rsidR="00AD3B60">
              <w:rPr>
                <w:rStyle w:val="ab"/>
                <w:rFonts w:ascii="仿宋" w:eastAsia="仿宋" w:hAnsi="仿宋" w:cs="仿宋" w:hint="eastAsia"/>
                <w:bCs/>
                <w:color w:val="auto"/>
                <w:szCs w:val="21"/>
              </w:rPr>
              <w:t>入支出决算总体情况说明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_Toc52180074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13</w:t>
            </w:r>
            <w:r w:rsidR="00AD3B60">
              <w:rPr>
                <w:rFonts w:ascii="仿宋" w:eastAsia="仿宋" w:hAnsi="仿宋" w:cs="仿宋" w:hint="eastAsia"/>
                <w:szCs w:val="21"/>
              </w:rPr>
              <w:fldChar w:fldCharType="end"/>
            </w:r>
          </w:hyperlink>
        </w:p>
        <w:p w:rsidR="006C66D4" w:rsidRDefault="000A1F35">
          <w:pPr>
            <w:pStyle w:val="20"/>
            <w:tabs>
              <w:tab w:val="left" w:pos="1260"/>
            </w:tabs>
            <w:rPr>
              <w:rFonts w:ascii="仿宋" w:eastAsia="仿宋" w:hAnsi="仿宋" w:cs="仿宋"/>
              <w:szCs w:val="21"/>
            </w:rPr>
          </w:pPr>
          <w:hyperlink w:anchor="_Toc52180075" w:history="1">
            <w:r w:rsidR="00AD3B60">
              <w:rPr>
                <w:rStyle w:val="ab"/>
                <w:rFonts w:ascii="仿宋" w:eastAsia="仿宋" w:hAnsi="仿宋" w:cs="仿宋" w:hint="eastAsia"/>
                <w:bCs/>
                <w:color w:val="auto"/>
                <w:szCs w:val="21"/>
              </w:rPr>
              <w:t>二、</w:t>
            </w:r>
            <w:r w:rsidR="00AD3B60">
              <w:rPr>
                <w:rFonts w:ascii="仿宋" w:eastAsia="仿宋" w:hAnsi="仿宋" w:cs="仿宋" w:hint="eastAsia"/>
                <w:szCs w:val="21"/>
              </w:rPr>
              <w:tab/>
            </w:r>
            <w:r w:rsidR="00AD3B60">
              <w:rPr>
                <w:rStyle w:val="ab"/>
                <w:rFonts w:ascii="仿宋" w:eastAsia="仿宋" w:hAnsi="仿宋" w:cs="仿宋" w:hint="eastAsia"/>
                <w:color w:val="auto"/>
                <w:szCs w:val="21"/>
              </w:rPr>
              <w:t>收</w:t>
            </w:r>
            <w:r w:rsidR="00AD3B60">
              <w:rPr>
                <w:rStyle w:val="ab"/>
                <w:rFonts w:ascii="仿宋" w:eastAsia="仿宋" w:hAnsi="仿宋" w:cs="仿宋" w:hint="eastAsia"/>
                <w:bCs/>
                <w:color w:val="auto"/>
                <w:szCs w:val="21"/>
              </w:rPr>
              <w:t>入决算情况说明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_Toc52180075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14</w:t>
            </w:r>
            <w:r w:rsidR="00AD3B60">
              <w:rPr>
                <w:rFonts w:ascii="仿宋" w:eastAsia="仿宋" w:hAnsi="仿宋" w:cs="仿宋" w:hint="eastAsia"/>
                <w:szCs w:val="21"/>
              </w:rPr>
              <w:fldChar w:fldCharType="end"/>
            </w:r>
          </w:hyperlink>
        </w:p>
        <w:p w:rsidR="006C66D4" w:rsidRDefault="000A1F35">
          <w:pPr>
            <w:pStyle w:val="20"/>
            <w:tabs>
              <w:tab w:val="left" w:pos="1260"/>
            </w:tabs>
            <w:rPr>
              <w:rFonts w:ascii="仿宋" w:eastAsia="仿宋" w:hAnsi="仿宋" w:cs="仿宋"/>
              <w:szCs w:val="21"/>
            </w:rPr>
          </w:pPr>
          <w:hyperlink w:anchor="_Toc52180077" w:history="1">
            <w:r w:rsidR="00AD3B60">
              <w:rPr>
                <w:rStyle w:val="ab"/>
                <w:rFonts w:ascii="仿宋" w:eastAsia="仿宋" w:hAnsi="仿宋" w:cs="仿宋" w:hint="eastAsia"/>
                <w:bCs/>
                <w:color w:val="auto"/>
                <w:szCs w:val="21"/>
              </w:rPr>
              <w:t>三、</w:t>
            </w:r>
            <w:r w:rsidR="00AD3B60">
              <w:rPr>
                <w:rFonts w:ascii="仿宋" w:eastAsia="仿宋" w:hAnsi="仿宋" w:cs="仿宋" w:hint="eastAsia"/>
                <w:szCs w:val="21"/>
              </w:rPr>
              <w:tab/>
            </w:r>
            <w:r w:rsidR="00AD3B60">
              <w:rPr>
                <w:rStyle w:val="ab"/>
                <w:rFonts w:ascii="仿宋" w:eastAsia="仿宋" w:hAnsi="仿宋" w:cs="仿宋" w:hint="eastAsia"/>
                <w:color w:val="auto"/>
                <w:szCs w:val="21"/>
              </w:rPr>
              <w:t>支</w:t>
            </w:r>
            <w:r w:rsidR="00AD3B60">
              <w:rPr>
                <w:rStyle w:val="ab"/>
                <w:rFonts w:ascii="仿宋" w:eastAsia="仿宋" w:hAnsi="仿宋" w:cs="仿宋" w:hint="eastAsia"/>
                <w:bCs/>
                <w:color w:val="auto"/>
                <w:szCs w:val="21"/>
              </w:rPr>
              <w:t>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_Toc52180077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14</w:t>
            </w:r>
            <w:r w:rsidR="00AD3B60">
              <w:rPr>
                <w:rFonts w:ascii="仿宋" w:eastAsia="仿宋" w:hAnsi="仿宋" w:cs="仿宋" w:hint="eastAsia"/>
                <w:szCs w:val="21"/>
              </w:rPr>
              <w:fldChar w:fldCharType="end"/>
            </w:r>
          </w:hyperlink>
        </w:p>
        <w:p w:rsidR="006C66D4" w:rsidRDefault="000A1F35">
          <w:pPr>
            <w:pStyle w:val="20"/>
            <w:rPr>
              <w:rFonts w:ascii="仿宋" w:eastAsia="仿宋" w:hAnsi="仿宋" w:cs="仿宋"/>
              <w:szCs w:val="21"/>
            </w:rPr>
          </w:pPr>
          <w:hyperlink w:anchor="_Toc52180079" w:history="1">
            <w:r w:rsidR="00AD3B60">
              <w:rPr>
                <w:rStyle w:val="ab"/>
                <w:rFonts w:ascii="仿宋" w:eastAsia="仿宋" w:hAnsi="仿宋" w:cs="仿宋" w:hint="eastAsia"/>
                <w:color w:val="auto"/>
                <w:szCs w:val="21"/>
              </w:rPr>
              <w:t>四、财</w:t>
            </w:r>
            <w:r w:rsidR="00AD3B60">
              <w:rPr>
                <w:rStyle w:val="ab"/>
                <w:rFonts w:ascii="仿宋" w:eastAsia="仿宋" w:hAnsi="仿宋" w:cs="仿宋" w:hint="eastAsia"/>
                <w:bCs/>
                <w:color w:val="auto"/>
                <w:szCs w:val="21"/>
              </w:rPr>
              <w:t>政拨款收入支出决算总体情况说明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_Toc52180079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15</w:t>
            </w:r>
            <w:r w:rsidR="00AD3B60">
              <w:rPr>
                <w:rFonts w:ascii="仿宋" w:eastAsia="仿宋" w:hAnsi="仿宋" w:cs="仿宋" w:hint="eastAsia"/>
                <w:szCs w:val="21"/>
              </w:rPr>
              <w:fldChar w:fldCharType="end"/>
            </w:r>
          </w:hyperlink>
        </w:p>
        <w:p w:rsidR="006C66D4" w:rsidRDefault="000A1F35">
          <w:pPr>
            <w:pStyle w:val="20"/>
            <w:rPr>
              <w:rFonts w:ascii="仿宋" w:eastAsia="仿宋" w:hAnsi="仿宋" w:cs="仿宋"/>
              <w:szCs w:val="21"/>
            </w:rPr>
          </w:pPr>
          <w:hyperlink w:anchor="_Toc52180080" w:history="1">
            <w:r w:rsidR="00AD3B60">
              <w:rPr>
                <w:rStyle w:val="ab"/>
                <w:rFonts w:ascii="仿宋" w:eastAsia="仿宋" w:hAnsi="仿宋" w:cs="仿宋" w:hint="eastAsia"/>
                <w:color w:val="auto"/>
                <w:szCs w:val="21"/>
              </w:rPr>
              <w:t>五、</w:t>
            </w:r>
            <w:r w:rsidR="00AD3B60">
              <w:rPr>
                <w:rStyle w:val="ab"/>
                <w:rFonts w:ascii="仿宋" w:eastAsia="仿宋" w:hAnsi="仿宋" w:cs="仿宋" w:hint="eastAsia"/>
                <w:b/>
                <w:color w:val="auto"/>
                <w:szCs w:val="21"/>
              </w:rPr>
              <w:t>一</w:t>
            </w:r>
            <w:r w:rsidR="00AD3B60">
              <w:rPr>
                <w:rStyle w:val="ab"/>
                <w:rFonts w:ascii="仿宋" w:eastAsia="仿宋" w:hAnsi="仿宋" w:cs="仿宋" w:hint="eastAsia"/>
                <w:bCs/>
                <w:color w:val="auto"/>
                <w:szCs w:val="21"/>
              </w:rPr>
              <w:t>般公共预算财政拨款支出决算情况说明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_Toc52180080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15</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81" w:history="1">
            <w:r w:rsidR="00AD3B60">
              <w:rPr>
                <w:rStyle w:val="ab"/>
                <w:rFonts w:ascii="仿宋" w:eastAsia="仿宋" w:hAnsi="仿宋" w:cs="仿宋" w:hint="eastAsia"/>
                <w:b/>
                <w:color w:val="auto"/>
                <w:szCs w:val="21"/>
              </w:rPr>
              <w:t>（一）一般公共预算财政拨款支出决算总体情况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_Toc52180081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15</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82" w:history="1">
            <w:r w:rsidR="00AD3B60">
              <w:rPr>
                <w:rStyle w:val="ab"/>
                <w:rFonts w:ascii="仿宋" w:eastAsia="仿宋" w:hAnsi="仿宋" w:cs="仿宋" w:hint="eastAsia"/>
                <w:b/>
                <w:color w:val="auto"/>
                <w:szCs w:val="21"/>
              </w:rPr>
              <w:t>（二）一般公共预算财政拨款支出决算结构情况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_Toc52180082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16</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83" w:history="1">
            <w:r w:rsidR="00AD3B60">
              <w:rPr>
                <w:rStyle w:val="ab"/>
                <w:rFonts w:ascii="仿宋" w:eastAsia="仿宋" w:hAnsi="仿宋" w:cs="仿宋" w:hint="eastAsia"/>
                <w:b/>
                <w:color w:val="auto"/>
                <w:szCs w:val="21"/>
              </w:rPr>
              <w:t>（三）一般公共预算财政拨款支出决算具体情况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_Toc52180083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17</w:t>
            </w:r>
            <w:r w:rsidR="00AD3B60">
              <w:rPr>
                <w:rFonts w:ascii="仿宋" w:eastAsia="仿宋" w:hAnsi="仿宋" w:cs="仿宋" w:hint="eastAsia"/>
                <w:szCs w:val="21"/>
              </w:rPr>
              <w:fldChar w:fldCharType="end"/>
            </w:r>
          </w:hyperlink>
        </w:p>
        <w:p w:rsidR="006C66D4" w:rsidRDefault="000A1F35">
          <w:pPr>
            <w:pStyle w:val="20"/>
            <w:ind w:leftChars="0" w:left="0" w:firstLineChars="200" w:firstLine="420"/>
            <w:rPr>
              <w:rFonts w:ascii="仿宋" w:eastAsia="仿宋" w:hAnsi="仿宋" w:cs="仿宋"/>
              <w:szCs w:val="21"/>
            </w:rPr>
          </w:pPr>
          <w:hyperlink w:anchor="_Toc52180085" w:history="1">
            <w:r w:rsidR="00AD3B60">
              <w:rPr>
                <w:rStyle w:val="ab"/>
                <w:rFonts w:ascii="仿宋" w:eastAsia="仿宋" w:hAnsi="仿宋" w:cs="仿宋" w:hint="eastAsia"/>
                <w:color w:val="auto"/>
                <w:szCs w:val="21"/>
              </w:rPr>
              <w:t>六</w:t>
            </w:r>
            <w:r w:rsidR="00AD3B60">
              <w:rPr>
                <w:rStyle w:val="ab"/>
                <w:rFonts w:ascii="仿宋" w:eastAsia="仿宋" w:hAnsi="仿宋" w:cs="仿宋" w:hint="eastAsia"/>
                <w:b/>
                <w:color w:val="auto"/>
                <w:szCs w:val="21"/>
              </w:rPr>
              <w:t>、一</w:t>
            </w:r>
            <w:r w:rsidR="00AD3B60">
              <w:rPr>
                <w:rStyle w:val="ab"/>
                <w:rFonts w:ascii="仿宋" w:eastAsia="仿宋" w:hAnsi="仿宋" w:cs="仿宋" w:hint="eastAsia"/>
                <w:bCs/>
                <w:color w:val="auto"/>
                <w:szCs w:val="21"/>
              </w:rPr>
              <w:t>般公共预算财政拨款基本支出决算情况说明</w:t>
            </w:r>
            <w:r w:rsidR="00AD3B60">
              <w:rPr>
                <w:rFonts w:ascii="仿宋" w:eastAsia="仿宋" w:hAnsi="仿宋" w:cs="仿宋" w:hint="eastAsia"/>
                <w:szCs w:val="21"/>
              </w:rPr>
              <w:tab/>
              <w:t>1</w:t>
            </w:r>
          </w:hyperlink>
          <w:r w:rsidR="00AD3B60">
            <w:rPr>
              <w:rFonts w:ascii="仿宋" w:eastAsia="仿宋" w:hAnsi="仿宋" w:cs="仿宋" w:hint="eastAsia"/>
              <w:szCs w:val="21"/>
            </w:rPr>
            <w:t>7</w:t>
          </w:r>
        </w:p>
        <w:p w:rsidR="006C66D4" w:rsidRDefault="000A1F35">
          <w:pPr>
            <w:pStyle w:val="20"/>
            <w:rPr>
              <w:rFonts w:ascii="仿宋" w:eastAsia="仿宋" w:hAnsi="仿宋" w:cs="仿宋"/>
              <w:szCs w:val="21"/>
            </w:rPr>
          </w:pPr>
          <w:hyperlink w:anchor="_Toc52180086" w:history="1">
            <w:r w:rsidR="00AD3B60">
              <w:rPr>
                <w:rStyle w:val="ab"/>
                <w:rFonts w:ascii="仿宋" w:eastAsia="仿宋" w:hAnsi="仿宋" w:cs="仿宋" w:hint="eastAsia"/>
                <w:color w:val="auto"/>
                <w:szCs w:val="21"/>
              </w:rPr>
              <w:t>七、</w:t>
            </w:r>
            <w:r w:rsidR="00AD3B60">
              <w:rPr>
                <w:rStyle w:val="ab"/>
                <w:rFonts w:ascii="仿宋" w:eastAsia="仿宋" w:hAnsi="仿宋" w:cs="仿宋" w:hint="eastAsia"/>
                <w:b/>
                <w:bCs/>
                <w:color w:val="auto"/>
                <w:szCs w:val="21"/>
              </w:rPr>
              <w:t>“</w:t>
            </w:r>
            <w:r w:rsidR="00AD3B60">
              <w:rPr>
                <w:rStyle w:val="ab"/>
                <w:rFonts w:ascii="仿宋" w:eastAsia="仿宋" w:hAnsi="仿宋" w:cs="仿宋" w:hint="eastAsia"/>
                <w:bCs/>
                <w:color w:val="auto"/>
                <w:szCs w:val="21"/>
              </w:rPr>
              <w:t>三公”经费财政拨款支出决算情况说明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_Toc52180086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87" w:history="1">
            <w:r w:rsidR="00AD3B60">
              <w:rPr>
                <w:rStyle w:val="ab"/>
                <w:rFonts w:ascii="仿宋" w:eastAsia="仿宋" w:hAnsi="仿宋" w:cs="仿宋" w:hint="eastAsia"/>
                <w:b/>
                <w:color w:val="auto"/>
                <w:szCs w:val="21"/>
              </w:rPr>
              <w:t>（一）“三公”经费财政拨款支出决算总体情况说明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_Toc52180087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88" w:history="1">
            <w:r w:rsidR="00AD3B60">
              <w:rPr>
                <w:rStyle w:val="ab"/>
                <w:rFonts w:ascii="仿宋" w:eastAsia="仿宋" w:hAnsi="仿宋" w:cs="仿宋" w:hint="eastAsia"/>
                <w:b/>
                <w:color w:val="auto"/>
                <w:szCs w:val="21"/>
              </w:rPr>
              <w:t>（二）“三公”经费财政拨款支出决算具体情况说明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_Toc52180088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0A1F35">
          <w:pPr>
            <w:pStyle w:val="20"/>
            <w:rPr>
              <w:rFonts w:ascii="仿宋" w:eastAsia="仿宋" w:hAnsi="仿宋" w:cs="仿宋"/>
              <w:szCs w:val="21"/>
            </w:rPr>
          </w:pPr>
          <w:hyperlink w:anchor="_Toc52180089" w:history="1">
            <w:r w:rsidR="00AD3B60">
              <w:rPr>
                <w:rStyle w:val="ab"/>
                <w:rFonts w:ascii="仿宋" w:eastAsia="仿宋" w:hAnsi="仿宋" w:cs="仿宋" w:hint="eastAsia"/>
                <w:color w:val="auto"/>
                <w:szCs w:val="21"/>
              </w:rPr>
              <w:t>八、</w:t>
            </w:r>
            <w:r w:rsidR="00AD3B60">
              <w:rPr>
                <w:rStyle w:val="ab"/>
                <w:rFonts w:ascii="仿宋" w:eastAsia="仿宋" w:hAnsi="仿宋" w:cs="仿宋" w:hint="eastAsia"/>
                <w:bCs/>
                <w:color w:val="auto"/>
                <w:szCs w:val="21"/>
              </w:rPr>
              <w:t>政府性基金预算支出决算情况说明</w:t>
            </w:r>
            <w:r w:rsidR="00AD3B60">
              <w:rPr>
                <w:rFonts w:ascii="仿宋" w:eastAsia="仿宋" w:hAnsi="仿宋" w:cs="仿宋" w:hint="eastAsia"/>
                <w:szCs w:val="21"/>
              </w:rPr>
              <w:tab/>
              <w:t>1</w:t>
            </w:r>
          </w:hyperlink>
          <w:r w:rsidR="00AD3B60">
            <w:rPr>
              <w:rFonts w:ascii="仿宋" w:eastAsia="仿宋" w:hAnsi="仿宋" w:cs="仿宋" w:hint="eastAsia"/>
              <w:szCs w:val="21"/>
            </w:rPr>
            <w:t>8</w:t>
          </w:r>
        </w:p>
        <w:p w:rsidR="006C66D4" w:rsidRDefault="000A1F35">
          <w:pPr>
            <w:pStyle w:val="20"/>
            <w:rPr>
              <w:rFonts w:ascii="仿宋" w:eastAsia="仿宋" w:hAnsi="仿宋" w:cs="仿宋"/>
              <w:szCs w:val="21"/>
            </w:rPr>
          </w:pPr>
          <w:hyperlink w:anchor="_Toc52180090" w:history="1">
            <w:r w:rsidR="00AD3B60">
              <w:rPr>
                <w:rStyle w:val="ab"/>
                <w:rFonts w:ascii="仿宋" w:eastAsia="仿宋" w:hAnsi="仿宋" w:cs="仿宋" w:hint="eastAsia"/>
                <w:bCs/>
                <w:color w:val="auto"/>
                <w:szCs w:val="21"/>
              </w:rPr>
              <w:t>九、 国有资本经营预算支出决算情况说明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_Toc52180090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0A1F35">
          <w:pPr>
            <w:pStyle w:val="20"/>
            <w:rPr>
              <w:rFonts w:ascii="仿宋" w:eastAsia="仿宋" w:hAnsi="仿宋" w:cs="仿宋"/>
              <w:szCs w:val="21"/>
            </w:rPr>
          </w:pPr>
          <w:hyperlink w:anchor="_Toc52180091" w:history="1">
            <w:r w:rsidR="00AD3B60">
              <w:rPr>
                <w:rStyle w:val="ab"/>
                <w:rFonts w:ascii="仿宋" w:eastAsia="仿宋" w:hAnsi="仿宋" w:cs="仿宋" w:hint="eastAsia"/>
                <w:color w:val="auto"/>
                <w:szCs w:val="21"/>
              </w:rPr>
              <w:t>十</w:t>
            </w:r>
            <w:r w:rsidR="00AD3B60">
              <w:rPr>
                <w:rStyle w:val="ab"/>
                <w:rFonts w:ascii="仿宋" w:eastAsia="仿宋" w:hAnsi="仿宋" w:cs="仿宋" w:hint="eastAsia"/>
                <w:b/>
                <w:bCs/>
                <w:color w:val="auto"/>
                <w:szCs w:val="21"/>
              </w:rPr>
              <w:t>、</w:t>
            </w:r>
            <w:r w:rsidR="00AD3B60">
              <w:rPr>
                <w:rStyle w:val="ab"/>
                <w:rFonts w:ascii="仿宋" w:eastAsia="仿宋" w:hAnsi="仿宋" w:cs="仿宋" w:hint="eastAsia"/>
                <w:bCs/>
                <w:color w:val="auto"/>
                <w:szCs w:val="21"/>
              </w:rPr>
              <w:t>其他重要事项的情况说明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_Toc52180091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92" w:history="1">
            <w:r w:rsidR="00AD3B60">
              <w:rPr>
                <w:rStyle w:val="ab"/>
                <w:rFonts w:ascii="仿宋" w:eastAsia="仿宋" w:hAnsi="仿宋" w:cs="仿宋" w:hint="eastAsia"/>
                <w:b/>
                <w:color w:val="auto"/>
                <w:szCs w:val="21"/>
              </w:rPr>
              <w:t>（一）机关运行经费支出情况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_Toc52180092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93" w:history="1">
            <w:r w:rsidR="00AD3B60">
              <w:rPr>
                <w:rStyle w:val="ab"/>
                <w:rFonts w:ascii="仿宋" w:eastAsia="仿宋" w:hAnsi="仿宋" w:cs="仿宋" w:hint="eastAsia"/>
                <w:b/>
                <w:color w:val="auto"/>
                <w:szCs w:val="21"/>
              </w:rPr>
              <w:t>（二）政府采购支出情况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_Toc52180093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94" w:history="1">
            <w:r w:rsidR="00AD3B60">
              <w:rPr>
                <w:rStyle w:val="ab"/>
                <w:rFonts w:ascii="仿宋" w:eastAsia="仿宋" w:hAnsi="仿宋" w:cs="仿宋" w:hint="eastAsia"/>
                <w:b/>
                <w:color w:val="auto"/>
                <w:szCs w:val="21"/>
              </w:rPr>
              <w:t>（三）国有资产占有使用情况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_Toc52180094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0A1F35">
          <w:pPr>
            <w:pStyle w:val="30"/>
            <w:rPr>
              <w:rFonts w:ascii="仿宋" w:eastAsia="仿宋" w:hAnsi="仿宋" w:cs="仿宋"/>
              <w:szCs w:val="21"/>
            </w:rPr>
          </w:pPr>
          <w:hyperlink w:anchor="_Toc52180095" w:history="1">
            <w:r w:rsidR="00AD3B60">
              <w:rPr>
                <w:rStyle w:val="ab"/>
                <w:rFonts w:ascii="仿宋" w:eastAsia="仿宋" w:hAnsi="仿宋" w:cs="仿宋" w:hint="eastAsia"/>
                <w:b/>
                <w:color w:val="auto"/>
                <w:szCs w:val="21"/>
              </w:rPr>
              <w:t>（四）预算绩效管理情况。</w:t>
            </w:r>
            <w:r w:rsidR="00AD3B60">
              <w:rPr>
                <w:rFonts w:ascii="仿宋" w:eastAsia="仿宋" w:hAnsi="仿宋" w:cs="仿宋" w:hint="eastAsia"/>
                <w:szCs w:val="21"/>
              </w:rPr>
              <w:tab/>
              <w:t>1</w:t>
            </w:r>
          </w:hyperlink>
          <w:r w:rsidR="00AD3B60">
            <w:rPr>
              <w:rFonts w:ascii="仿宋" w:eastAsia="仿宋" w:hAnsi="仿宋" w:cs="仿宋" w:hint="eastAsia"/>
              <w:szCs w:val="21"/>
            </w:rPr>
            <w:t>9-23</w:t>
          </w:r>
        </w:p>
        <w:p w:rsidR="006C66D4" w:rsidRDefault="000A1F35">
          <w:pPr>
            <w:pStyle w:val="10"/>
            <w:rPr>
              <w:rFonts w:cs="仿宋"/>
              <w:sz w:val="21"/>
              <w:szCs w:val="21"/>
            </w:rPr>
          </w:pPr>
          <w:hyperlink w:anchor="_Toc52180096" w:history="1">
            <w:r w:rsidR="00AD3B60">
              <w:rPr>
                <w:rStyle w:val="ab"/>
                <w:rFonts w:cs="仿宋" w:hint="eastAsia"/>
                <w:bCs/>
                <w:color w:val="auto"/>
                <w:kern w:val="44"/>
                <w:sz w:val="21"/>
                <w:szCs w:val="21"/>
              </w:rPr>
              <w:t>第三部分</w:t>
            </w:r>
            <w:r w:rsidR="00AD3B60">
              <w:rPr>
                <w:rStyle w:val="ab"/>
                <w:rFonts w:cs="仿宋" w:hint="eastAsia"/>
                <w:color w:val="auto"/>
                <w:sz w:val="21"/>
                <w:szCs w:val="21"/>
              </w:rPr>
              <w:t xml:space="preserve"> 名</w:t>
            </w:r>
            <w:r w:rsidR="00AD3B60">
              <w:rPr>
                <w:rStyle w:val="ab"/>
                <w:rFonts w:cs="仿宋" w:hint="eastAsia"/>
                <w:bCs/>
                <w:color w:val="auto"/>
                <w:kern w:val="44"/>
                <w:sz w:val="21"/>
                <w:szCs w:val="21"/>
              </w:rPr>
              <w:t>词解释</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_Toc52180096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23</w:t>
            </w:r>
            <w:r w:rsidR="00AD3B60">
              <w:rPr>
                <w:rFonts w:cs="仿宋" w:hint="eastAsia"/>
                <w:sz w:val="21"/>
                <w:szCs w:val="21"/>
              </w:rPr>
              <w:fldChar w:fldCharType="end"/>
            </w:r>
          </w:hyperlink>
          <w:r w:rsidR="00AD3B60">
            <w:rPr>
              <w:rFonts w:cs="仿宋" w:hint="eastAsia"/>
              <w:sz w:val="21"/>
              <w:szCs w:val="21"/>
            </w:rPr>
            <w:t>-25</w:t>
          </w:r>
        </w:p>
        <w:p w:rsidR="006C66D4" w:rsidRDefault="000A1F35">
          <w:pPr>
            <w:pStyle w:val="10"/>
            <w:rPr>
              <w:rFonts w:cs="仿宋"/>
              <w:sz w:val="21"/>
              <w:szCs w:val="21"/>
            </w:rPr>
          </w:pPr>
          <w:hyperlink w:anchor="_Toc52180097" w:history="1">
            <w:r w:rsidR="00AD3B60">
              <w:rPr>
                <w:rStyle w:val="ab"/>
                <w:rFonts w:cs="仿宋" w:hint="eastAsia"/>
                <w:color w:val="auto"/>
                <w:sz w:val="21"/>
                <w:szCs w:val="21"/>
              </w:rPr>
              <w:t>第</w:t>
            </w:r>
            <w:r w:rsidR="00AD3B60">
              <w:rPr>
                <w:rStyle w:val="ab"/>
                <w:rFonts w:cs="仿宋" w:hint="eastAsia"/>
                <w:bCs/>
                <w:color w:val="auto"/>
                <w:kern w:val="44"/>
                <w:sz w:val="21"/>
                <w:szCs w:val="21"/>
              </w:rPr>
              <w:t>四部分附件</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_Toc52180097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26</w:t>
            </w:r>
            <w:r w:rsidR="00AD3B60">
              <w:rPr>
                <w:rFonts w:cs="仿宋" w:hint="eastAsia"/>
                <w:sz w:val="21"/>
                <w:szCs w:val="21"/>
              </w:rPr>
              <w:fldChar w:fldCharType="end"/>
            </w:r>
          </w:hyperlink>
          <w:r w:rsidR="00AD3B60">
            <w:rPr>
              <w:rFonts w:cs="仿宋" w:hint="eastAsia"/>
              <w:sz w:val="21"/>
              <w:szCs w:val="21"/>
            </w:rPr>
            <w:t>-40</w:t>
          </w:r>
        </w:p>
        <w:p w:rsidR="006C66D4" w:rsidRDefault="000A1F35">
          <w:pPr>
            <w:pStyle w:val="10"/>
            <w:rPr>
              <w:rFonts w:cs="仿宋"/>
              <w:sz w:val="21"/>
              <w:szCs w:val="21"/>
            </w:rPr>
          </w:pPr>
          <w:hyperlink w:anchor="_Toc52180099" w:history="1">
            <w:r w:rsidR="00AD3B60">
              <w:rPr>
                <w:rStyle w:val="ab"/>
                <w:rFonts w:cs="仿宋" w:hint="eastAsia"/>
                <w:color w:val="auto"/>
                <w:sz w:val="21"/>
                <w:szCs w:val="21"/>
              </w:rPr>
              <w:t>第</w:t>
            </w:r>
            <w:r w:rsidR="00AD3B60">
              <w:rPr>
                <w:rStyle w:val="ab"/>
                <w:rFonts w:cs="仿宋" w:hint="eastAsia"/>
                <w:bCs/>
                <w:color w:val="auto"/>
                <w:kern w:val="44"/>
                <w:sz w:val="21"/>
                <w:szCs w:val="21"/>
              </w:rPr>
              <w:t>五部分附表</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_Toc52180099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40</w:t>
            </w:r>
            <w:r w:rsidR="00AD3B60">
              <w:rPr>
                <w:rFonts w:cs="仿宋" w:hint="eastAsia"/>
                <w:sz w:val="21"/>
                <w:szCs w:val="21"/>
              </w:rPr>
              <w:fldChar w:fldCharType="end"/>
            </w:r>
          </w:hyperlink>
          <w:r w:rsidR="00AD3B60">
            <w:rPr>
              <w:rFonts w:cs="仿宋" w:hint="eastAsia"/>
              <w:sz w:val="21"/>
              <w:szCs w:val="21"/>
            </w:rPr>
            <w:t>-41</w:t>
          </w:r>
        </w:p>
        <w:p w:rsidR="006C66D4" w:rsidRDefault="000A1F35">
          <w:pPr>
            <w:pStyle w:val="20"/>
            <w:rPr>
              <w:rFonts w:ascii="仿宋" w:eastAsia="仿宋" w:hAnsi="仿宋" w:cs="仿宋"/>
              <w:szCs w:val="21"/>
            </w:rPr>
          </w:pPr>
          <w:hyperlink w:anchor="_Toc52180100" w:history="1">
            <w:r w:rsidR="00AD3B60">
              <w:rPr>
                <w:rStyle w:val="ab"/>
                <w:rFonts w:ascii="仿宋" w:eastAsia="仿宋" w:hAnsi="仿宋" w:cs="仿宋" w:hint="eastAsia"/>
                <w:color w:val="auto"/>
                <w:szCs w:val="21"/>
              </w:rPr>
              <w:t>一、收入支出决算总表</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_Toc52180100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40</w:t>
            </w:r>
            <w:r w:rsidR="00AD3B60">
              <w:rPr>
                <w:rFonts w:ascii="仿宋" w:eastAsia="仿宋" w:hAnsi="仿宋" w:cs="仿宋" w:hint="eastAsia"/>
                <w:szCs w:val="21"/>
              </w:rPr>
              <w:fldChar w:fldCharType="end"/>
            </w:r>
          </w:hyperlink>
        </w:p>
        <w:p w:rsidR="006C66D4" w:rsidRDefault="000A1F35">
          <w:pPr>
            <w:pStyle w:val="20"/>
            <w:rPr>
              <w:rFonts w:ascii="仿宋" w:eastAsia="仿宋" w:hAnsi="仿宋" w:cs="仿宋"/>
              <w:szCs w:val="21"/>
            </w:rPr>
          </w:pPr>
          <w:hyperlink w:anchor="_Toc52180101" w:history="1">
            <w:r w:rsidR="00AD3B60">
              <w:rPr>
                <w:rStyle w:val="ab"/>
                <w:rFonts w:ascii="仿宋" w:eastAsia="仿宋" w:hAnsi="仿宋" w:cs="仿宋" w:hint="eastAsia"/>
                <w:color w:val="auto"/>
                <w:szCs w:val="21"/>
              </w:rPr>
              <w:t>二、收入决算表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2" w:history="1">
            <w:r w:rsidR="00AD3B60">
              <w:rPr>
                <w:rStyle w:val="ab"/>
                <w:rFonts w:ascii="仿宋" w:eastAsia="仿宋" w:hAnsi="仿宋" w:cs="仿宋" w:hint="eastAsia"/>
                <w:color w:val="auto"/>
                <w:szCs w:val="21"/>
              </w:rPr>
              <w:t>三、支出决算表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3" w:history="1">
            <w:r w:rsidR="00AD3B60">
              <w:rPr>
                <w:rStyle w:val="ab"/>
                <w:rFonts w:ascii="仿宋" w:eastAsia="仿宋" w:hAnsi="仿宋" w:cs="仿宋" w:hint="eastAsia"/>
                <w:color w:val="auto"/>
                <w:szCs w:val="21"/>
              </w:rPr>
              <w:t>四、财政拨款收入支出决算总表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4" w:history="1">
            <w:r w:rsidR="00AD3B60">
              <w:rPr>
                <w:rStyle w:val="ab"/>
                <w:rFonts w:ascii="仿宋" w:eastAsia="仿宋" w:hAnsi="仿宋" w:cs="仿宋" w:hint="eastAsia"/>
                <w:color w:val="auto"/>
                <w:szCs w:val="21"/>
              </w:rPr>
              <w:t>五、财政拨款支出决算明细表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5" w:history="1">
            <w:r w:rsidR="00AD3B60">
              <w:rPr>
                <w:rStyle w:val="ab"/>
                <w:rFonts w:ascii="仿宋" w:eastAsia="仿宋" w:hAnsi="仿宋" w:cs="仿宋" w:hint="eastAsia"/>
                <w:color w:val="auto"/>
                <w:szCs w:val="21"/>
              </w:rPr>
              <w:t>六、一般公共预算财政拨款支出决算表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6" w:history="1">
            <w:r w:rsidR="00AD3B60">
              <w:rPr>
                <w:rStyle w:val="ab"/>
                <w:rFonts w:ascii="仿宋" w:eastAsia="仿宋" w:hAnsi="仿宋" w:cs="仿宋" w:hint="eastAsia"/>
                <w:color w:val="auto"/>
                <w:szCs w:val="21"/>
              </w:rPr>
              <w:t>七、一般公共预算财政拨款支出决算明细表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7" w:history="1">
            <w:r w:rsidR="00AD3B60">
              <w:rPr>
                <w:rStyle w:val="ab"/>
                <w:rFonts w:ascii="仿宋" w:eastAsia="仿宋" w:hAnsi="仿宋" w:cs="仿宋" w:hint="eastAsia"/>
                <w:color w:val="auto"/>
                <w:szCs w:val="21"/>
              </w:rPr>
              <w:t>八、一般公共预算财政拨款基本支出决算表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8" w:history="1">
            <w:r w:rsidR="00AD3B60">
              <w:rPr>
                <w:rStyle w:val="ab"/>
                <w:rFonts w:ascii="仿宋" w:eastAsia="仿宋" w:hAnsi="仿宋" w:cs="仿宋" w:hint="eastAsia"/>
                <w:color w:val="auto"/>
                <w:szCs w:val="21"/>
              </w:rPr>
              <w:t>九、一般公共预算财政拨款项目支出决算表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09" w:history="1">
            <w:r w:rsidR="00AD3B60">
              <w:rPr>
                <w:rStyle w:val="ab"/>
                <w:rFonts w:ascii="仿宋" w:eastAsia="仿宋" w:hAnsi="仿宋" w:cs="仿宋" w:hint="eastAsia"/>
                <w:color w:val="auto"/>
                <w:szCs w:val="21"/>
              </w:rPr>
              <w:t>十、一般公共预算财政拨款“三公”经费支出决算表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10" w:history="1">
            <w:r w:rsidR="00AD3B60">
              <w:rPr>
                <w:rStyle w:val="ab"/>
                <w:rFonts w:ascii="仿宋" w:eastAsia="仿宋" w:hAnsi="仿宋" w:cs="仿宋" w:hint="eastAsia"/>
                <w:color w:val="auto"/>
                <w:szCs w:val="21"/>
              </w:rPr>
              <w:t>十一、政府性基金预算财政拨款收入支出决算表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0A1F35">
          <w:pPr>
            <w:pStyle w:val="20"/>
            <w:rPr>
              <w:rFonts w:ascii="仿宋" w:eastAsia="仿宋" w:hAnsi="仿宋" w:cs="仿宋"/>
              <w:szCs w:val="21"/>
            </w:rPr>
          </w:pPr>
          <w:hyperlink w:anchor="_Toc52180111" w:history="1">
            <w:r w:rsidR="00AD3B60">
              <w:rPr>
                <w:rStyle w:val="ab"/>
                <w:rFonts w:ascii="仿宋" w:eastAsia="仿宋" w:hAnsi="仿宋" w:cs="仿宋" w:hint="eastAsia"/>
                <w:color w:val="auto"/>
                <w:szCs w:val="21"/>
              </w:rPr>
              <w:t>十二、政府性基金预算财政拨款“三公”经费支出决算表</w:t>
            </w:r>
            <w:r w:rsidR="00AD3B60">
              <w:rPr>
                <w:rFonts w:ascii="仿宋" w:eastAsia="仿宋" w:hAnsi="仿宋" w:cs="仿宋" w:hint="eastAsia"/>
                <w:szCs w:val="21"/>
              </w:rPr>
              <w:tab/>
              <w:t>4</w:t>
            </w:r>
          </w:hyperlink>
          <w:r w:rsidR="00AD3B60">
            <w:rPr>
              <w:rFonts w:ascii="仿宋" w:eastAsia="仿宋" w:hAnsi="仿宋" w:cs="仿宋" w:hint="eastAsia"/>
              <w:szCs w:val="21"/>
            </w:rPr>
            <w:t>1</w:t>
          </w:r>
        </w:p>
        <w:p w:rsidR="006C66D4" w:rsidRDefault="000A1F35">
          <w:pPr>
            <w:pStyle w:val="20"/>
            <w:rPr>
              <w:rFonts w:ascii="仿宋" w:eastAsia="仿宋" w:hAnsi="仿宋" w:cs="仿宋"/>
              <w:szCs w:val="21"/>
            </w:rPr>
          </w:pPr>
          <w:hyperlink w:anchor="_Toc52180112" w:history="1">
            <w:r w:rsidR="00AD3B60">
              <w:rPr>
                <w:rStyle w:val="ab"/>
                <w:rFonts w:ascii="仿宋" w:eastAsia="仿宋" w:hAnsi="仿宋" w:cs="仿宋" w:hint="eastAsia"/>
                <w:color w:val="auto"/>
                <w:szCs w:val="21"/>
              </w:rPr>
              <w:t>十三、国有资本经营预算财政拨款收入支出决算表</w:t>
            </w:r>
            <w:r w:rsidR="00AD3B60">
              <w:rPr>
                <w:rFonts w:ascii="仿宋" w:eastAsia="仿宋" w:hAnsi="仿宋" w:cs="仿宋" w:hint="eastAsia"/>
                <w:szCs w:val="21"/>
              </w:rPr>
              <w:tab/>
              <w:t>4</w:t>
            </w:r>
          </w:hyperlink>
          <w:r w:rsidR="00AD3B60">
            <w:rPr>
              <w:rFonts w:ascii="仿宋" w:eastAsia="仿宋" w:hAnsi="仿宋" w:cs="仿宋" w:hint="eastAsia"/>
              <w:szCs w:val="21"/>
            </w:rPr>
            <w:t>1</w:t>
          </w:r>
        </w:p>
        <w:p w:rsidR="006C66D4" w:rsidRDefault="000A1F35">
          <w:pPr>
            <w:pStyle w:val="20"/>
            <w:rPr>
              <w:rFonts w:eastAsia="仿宋"/>
            </w:rPr>
          </w:pPr>
          <w:hyperlink w:anchor="_Toc52180112" w:history="1">
            <w:r w:rsidR="00AD3B60">
              <w:rPr>
                <w:rStyle w:val="ab"/>
                <w:rFonts w:ascii="仿宋" w:eastAsia="仿宋" w:hAnsi="仿宋" w:cs="仿宋" w:hint="eastAsia"/>
                <w:color w:val="auto"/>
                <w:szCs w:val="21"/>
              </w:rPr>
              <w:t>十四、国有资本经营预算财政拨款支出决算表</w:t>
            </w:r>
            <w:r w:rsidR="00AD3B60">
              <w:rPr>
                <w:rFonts w:ascii="仿宋" w:eastAsia="仿宋" w:hAnsi="仿宋" w:cs="仿宋" w:hint="eastAsia"/>
                <w:szCs w:val="21"/>
              </w:rPr>
              <w:tab/>
              <w:t>4</w:t>
            </w:r>
          </w:hyperlink>
          <w:r w:rsidR="00AD3B60">
            <w:rPr>
              <w:rFonts w:eastAsia="仿宋" w:hint="eastAsia"/>
            </w:rPr>
            <w:t>1</w:t>
          </w:r>
        </w:p>
        <w:p w:rsidR="006C66D4" w:rsidRDefault="00AD3B60">
          <w:r>
            <w:fldChar w:fldCharType="end"/>
          </w:r>
        </w:p>
      </w:sdtContent>
    </w:sdt>
    <w:p w:rsidR="006C66D4" w:rsidRDefault="00AD3B60">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 xml:space="preserve"> (注：</w:t>
      </w:r>
      <w:proofErr w:type="gramStart"/>
      <w:r>
        <w:rPr>
          <w:rFonts w:ascii="仿宋" w:eastAsia="仿宋" w:hAnsi="仿宋" w:hint="eastAsia"/>
          <w:sz w:val="24"/>
        </w:rPr>
        <w:t>请部门</w:t>
      </w:r>
      <w:proofErr w:type="gramEnd"/>
      <w:r>
        <w:rPr>
          <w:rFonts w:ascii="仿宋" w:eastAsia="仿宋" w:hAnsi="仿宋" w:hint="eastAsia"/>
          <w:sz w:val="24"/>
        </w:rPr>
        <w:t>根据实际注明页码</w:t>
      </w:r>
      <w:r>
        <w:rPr>
          <w:rFonts w:ascii="仿宋" w:eastAsia="仿宋" w:hAnsi="仿宋"/>
          <w:sz w:val="24"/>
        </w:rPr>
        <w:t>)</w:t>
      </w:r>
    </w:p>
    <w:p w:rsidR="006C66D4" w:rsidRDefault="00AD3B60">
      <w:pPr>
        <w:widowControl/>
        <w:spacing w:line="440" w:lineRule="exact"/>
        <w:jc w:val="left"/>
        <w:rPr>
          <w:rFonts w:ascii="仿宋" w:eastAsia="仿宋" w:hAnsi="仿宋"/>
          <w:bCs/>
          <w:kern w:val="44"/>
          <w:sz w:val="24"/>
        </w:rPr>
      </w:pPr>
      <w:bookmarkStart w:id="15" w:name="_Toc15396599"/>
      <w:bookmarkStart w:id="16" w:name="_Toc15377196"/>
      <w:r>
        <w:rPr>
          <w:rFonts w:ascii="仿宋" w:eastAsia="仿宋" w:hAnsi="仿宋"/>
          <w:b/>
          <w:sz w:val="24"/>
        </w:rPr>
        <w:br w:type="page"/>
      </w:r>
    </w:p>
    <w:p w:rsidR="006C66D4" w:rsidRDefault="00AD3B60">
      <w:pPr>
        <w:pStyle w:val="1"/>
        <w:jc w:val="center"/>
        <w:rPr>
          <w:rStyle w:val="1Char"/>
          <w:rFonts w:ascii="黑体" w:eastAsia="黑体" w:hAnsi="黑体"/>
          <w:b/>
        </w:rPr>
      </w:pPr>
      <w:bookmarkStart w:id="17" w:name="_Toc52180065"/>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5"/>
      <w:bookmarkEnd w:id="16"/>
      <w:bookmarkEnd w:id="17"/>
    </w:p>
    <w:p w:rsidR="006C66D4" w:rsidRDefault="006C66D4">
      <w:pPr>
        <w:widowControl/>
        <w:jc w:val="left"/>
        <w:rPr>
          <w:rFonts w:ascii="黑体" w:eastAsia="黑体"/>
          <w:sz w:val="32"/>
          <w:szCs w:val="32"/>
        </w:rPr>
      </w:pPr>
    </w:p>
    <w:p w:rsidR="006C66D4" w:rsidRDefault="00AD3B60">
      <w:pPr>
        <w:pStyle w:val="2"/>
        <w:rPr>
          <w:rStyle w:val="2Char"/>
          <w:rFonts w:ascii="仿宋" w:eastAsia="仿宋" w:hAnsi="仿宋"/>
        </w:rPr>
      </w:pPr>
      <w:bookmarkStart w:id="18" w:name="_Toc52180066"/>
      <w:bookmarkStart w:id="19" w:name="_Toc15377197"/>
      <w:bookmarkStart w:id="20" w:name="_Toc15396600"/>
      <w:r>
        <w:rPr>
          <w:rFonts w:ascii="黑体" w:eastAsia="黑体" w:hAnsi="黑体" w:hint="eastAsia"/>
          <w:b w:val="0"/>
        </w:rPr>
        <w:t>一、基</w:t>
      </w:r>
      <w:r>
        <w:rPr>
          <w:rStyle w:val="2Char"/>
          <w:rFonts w:ascii="黑体" w:eastAsia="黑体" w:hAnsi="黑体" w:hint="eastAsia"/>
        </w:rPr>
        <w:t>本职能及主要工作</w:t>
      </w:r>
      <w:bookmarkEnd w:id="18"/>
      <w:bookmarkEnd w:id="19"/>
      <w:bookmarkEnd w:id="20"/>
    </w:p>
    <w:p w:rsidR="006C66D4" w:rsidRDefault="00AD3B60">
      <w:pPr>
        <w:pStyle w:val="a4"/>
        <w:adjustRightInd w:val="0"/>
        <w:snapToGrid w:val="0"/>
        <w:spacing w:before="93" w:line="600" w:lineRule="exact"/>
        <w:ind w:firstLineChars="210" w:firstLine="672"/>
        <w:outlineLvl w:val="2"/>
        <w:rPr>
          <w:rFonts w:ascii="仿宋" w:eastAsia="仿宋" w:hAnsi="仿宋"/>
          <w:bCs/>
          <w:sz w:val="32"/>
          <w:szCs w:val="32"/>
        </w:rPr>
      </w:pPr>
      <w:bookmarkStart w:id="21" w:name="_Toc15377198"/>
      <w:bookmarkStart w:id="22" w:name="_Toc15378445"/>
      <w:bookmarkStart w:id="23" w:name="_Toc52180067"/>
      <w:r>
        <w:rPr>
          <w:rFonts w:ascii="仿宋" w:eastAsia="仿宋" w:hAnsi="仿宋" w:hint="eastAsia"/>
          <w:bCs/>
          <w:sz w:val="32"/>
          <w:szCs w:val="32"/>
        </w:rPr>
        <w:t>（一）主要职能。</w:t>
      </w:r>
      <w:bookmarkEnd w:id="21"/>
      <w:bookmarkEnd w:id="22"/>
      <w:bookmarkEnd w:id="23"/>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1.</w:t>
      </w:r>
      <w:proofErr w:type="gramStart"/>
      <w:r>
        <w:rPr>
          <w:rFonts w:ascii="仿宋_GB2312" w:eastAsia="仿宋_GB2312" w:hAnsi="仿宋_GB2312" w:cs="宋体" w:hint="eastAsia"/>
          <w:kern w:val="0"/>
          <w:sz w:val="32"/>
          <w:szCs w:val="32"/>
        </w:rPr>
        <w:t>承办县</w:t>
      </w:r>
      <w:proofErr w:type="gramEnd"/>
      <w:r>
        <w:rPr>
          <w:rFonts w:ascii="仿宋_GB2312" w:eastAsia="仿宋_GB2312" w:hAnsi="仿宋_GB2312" w:cs="宋体" w:hint="eastAsia"/>
          <w:kern w:val="0"/>
          <w:sz w:val="32"/>
          <w:szCs w:val="32"/>
        </w:rPr>
        <w:t>人民代表大会、县人大常委会会议、主任会议的筹备与会务工作；负责机关机要保密、文件文印、档案管理、内外协调、后勤服务等工作。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2.负责县人大常委会工作报告、有关文件的起草工作，负责常委会会议、主任会议有关决议、决定（草案）的起草工作，负责县人大常委会审议意见的转送和经办工作，负责编写县人大常委会工作通讯和会刊。</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3．负责县人大及其常委会的宣传报道工作，总结县人大及其常委会的法律监督、工作监督和执法检查中的经验和做法。</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4.人事任免、任命干部述职工作的准备工作。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5.组织人大代表的视察和其他活动，催办、</w:t>
      </w:r>
      <w:proofErr w:type="gramStart"/>
      <w:r>
        <w:rPr>
          <w:rFonts w:ascii="仿宋_GB2312" w:eastAsia="仿宋_GB2312" w:hAnsi="仿宋_GB2312" w:cs="宋体" w:hint="eastAsia"/>
          <w:kern w:val="0"/>
          <w:sz w:val="32"/>
          <w:szCs w:val="32"/>
        </w:rPr>
        <w:t>督办县</w:t>
      </w:r>
      <w:proofErr w:type="gramEnd"/>
      <w:r>
        <w:rPr>
          <w:rFonts w:ascii="仿宋_GB2312" w:eastAsia="仿宋_GB2312" w:hAnsi="仿宋_GB2312" w:cs="宋体" w:hint="eastAsia"/>
          <w:kern w:val="0"/>
          <w:sz w:val="32"/>
          <w:szCs w:val="32"/>
        </w:rPr>
        <w:t>人大代表的批评、建议和意见。</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6.协助县人大常委会组织评议“一府两院”工作。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7.指导各乡镇人大主席团工作。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8.其他工作。</w:t>
      </w:r>
    </w:p>
    <w:p w:rsidR="006C66D4" w:rsidRDefault="00AD3B60">
      <w:pPr>
        <w:pStyle w:val="a4"/>
        <w:adjustRightInd w:val="0"/>
        <w:snapToGrid w:val="0"/>
        <w:spacing w:before="93" w:line="600" w:lineRule="exact"/>
        <w:ind w:firstLineChars="210" w:firstLine="672"/>
        <w:outlineLvl w:val="2"/>
        <w:rPr>
          <w:rFonts w:ascii="仿宋" w:eastAsia="仿宋" w:hAnsi="仿宋"/>
          <w:bCs/>
          <w:sz w:val="32"/>
          <w:szCs w:val="32"/>
        </w:rPr>
      </w:pPr>
      <w:bookmarkStart w:id="24" w:name="_Toc15378446"/>
      <w:bookmarkStart w:id="25" w:name="_Toc15377199"/>
      <w:bookmarkStart w:id="26" w:name="_Toc52180068"/>
      <w:r>
        <w:rPr>
          <w:rFonts w:ascii="仿宋" w:eastAsia="仿宋" w:hAnsi="仿宋" w:hint="eastAsia"/>
          <w:bCs/>
          <w:sz w:val="32"/>
          <w:szCs w:val="32"/>
        </w:rPr>
        <w:lastRenderedPageBreak/>
        <w:t>（二）</w:t>
      </w:r>
      <w:r>
        <w:rPr>
          <w:rFonts w:ascii="仿宋" w:eastAsia="仿宋" w:hAnsi="仿宋"/>
          <w:bCs/>
          <w:sz w:val="32"/>
          <w:szCs w:val="32"/>
        </w:rPr>
        <w:t>20</w:t>
      </w:r>
      <w:r>
        <w:rPr>
          <w:rFonts w:ascii="仿宋" w:eastAsia="仿宋" w:hAnsi="仿宋" w:hint="eastAsia"/>
          <w:bCs/>
          <w:sz w:val="32"/>
          <w:szCs w:val="32"/>
        </w:rPr>
        <w:t>20年重点工作完成情况。</w:t>
      </w:r>
      <w:bookmarkEnd w:id="24"/>
      <w:bookmarkEnd w:id="25"/>
      <w:bookmarkEnd w:id="26"/>
    </w:p>
    <w:p w:rsidR="006C66D4" w:rsidRDefault="00AD3B60">
      <w:pPr>
        <w:widowControl/>
        <w:shd w:val="clear" w:color="auto" w:fill="FFFFFF"/>
        <w:spacing w:line="580" w:lineRule="exact"/>
        <w:ind w:firstLine="660"/>
        <w:rPr>
          <w:rFonts w:ascii="仿宋" w:eastAsia="仿宋" w:hAnsi="仿宋" w:cs="仿宋"/>
          <w:sz w:val="32"/>
          <w:szCs w:val="32"/>
        </w:rPr>
      </w:pPr>
      <w:r>
        <w:rPr>
          <w:rFonts w:ascii="仿宋" w:eastAsia="仿宋" w:hAnsi="仿宋" w:cs="仿宋" w:hint="eastAsia"/>
          <w:color w:val="000000"/>
          <w:sz w:val="32"/>
          <w:szCs w:val="32"/>
        </w:rPr>
        <w:t>2020年既是全面建成小康社会和“十三五”规划收官之年，又是新冠肺炎疫情防控特殊之年。</w:t>
      </w:r>
      <w:r>
        <w:rPr>
          <w:rFonts w:ascii="仿宋" w:eastAsia="仿宋" w:hAnsi="仿宋" w:cs="仿宋" w:hint="eastAsia"/>
          <w:sz w:val="32"/>
          <w:szCs w:val="32"/>
        </w:rPr>
        <w:t>一年来，县人大常委会在县委的正确领导下，坚定以习近平新时代中国特色社会主义思想为指导，深入学习贯彻党的十九届四中五中全会精神，主动担当，积极作为，围绕深入推进工业强县、农业活县、康养名县、生态立县四项行动，依法行使宪法和法律赋予的职权，为我县改革发展稳定和民主法治建设</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了积极的贡献。</w:t>
      </w:r>
    </w:p>
    <w:p w:rsidR="006C66D4" w:rsidRDefault="00AD3B60">
      <w:pPr>
        <w:spacing w:line="580" w:lineRule="exact"/>
        <w:ind w:firstLine="660"/>
        <w:rPr>
          <w:rFonts w:ascii="仿宋" w:eastAsia="仿宋" w:hAnsi="仿宋" w:cs="仿宋"/>
          <w:sz w:val="32"/>
          <w:szCs w:val="32"/>
        </w:rPr>
      </w:pPr>
      <w:r>
        <w:rPr>
          <w:rFonts w:ascii="仿宋" w:eastAsia="仿宋" w:hAnsi="仿宋" w:cs="仿宋" w:hint="eastAsia"/>
          <w:sz w:val="32"/>
          <w:szCs w:val="32"/>
        </w:rPr>
        <w:t>全年共召开人民代表大会1次、常委会会议11次、主任会议18次，听取审议“一府两院”专项工作报告25个，</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决议决定16项，提出审议意见2件，依法任免国家机关工作人员30人次</w:t>
      </w:r>
      <w:bookmarkStart w:id="27" w:name="OLE_LINK2"/>
      <w:r>
        <w:rPr>
          <w:rFonts w:ascii="仿宋" w:eastAsia="仿宋" w:hAnsi="仿宋" w:cs="仿宋" w:hint="eastAsia"/>
          <w:sz w:val="32"/>
          <w:szCs w:val="32"/>
        </w:rPr>
        <w:t>，组织视察、执法检查、专题调研18次，专题询问1次，评议政府工作部门1个，督办代表建议、批评、意见68件</w:t>
      </w:r>
      <w:bookmarkEnd w:id="27"/>
      <w:r>
        <w:rPr>
          <w:rFonts w:ascii="仿宋" w:eastAsia="仿宋" w:hAnsi="仿宋" w:cs="仿宋" w:hint="eastAsia"/>
          <w:sz w:val="32"/>
          <w:szCs w:val="32"/>
        </w:rPr>
        <w:t>。在视察调研和听取审议工作中涉及经济领域11项、社会领域9项、生态环保领域2项。对已</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的4件评议和审议意见进行跟踪监督。</w:t>
      </w:r>
    </w:p>
    <w:p w:rsidR="006C66D4" w:rsidRDefault="00AD3B60">
      <w:pPr>
        <w:widowControl/>
        <w:shd w:val="clear" w:color="auto" w:fill="FFFFFF"/>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一、坚持党对人大工作的领导，展现政治担当</w:t>
      </w:r>
    </w:p>
    <w:p w:rsidR="006C66D4" w:rsidRDefault="00AD3B60">
      <w:pPr>
        <w:widowControl/>
        <w:shd w:val="clear" w:color="auto" w:fill="FFFFFF"/>
        <w:spacing w:line="580" w:lineRule="exact"/>
        <w:ind w:firstLine="663"/>
        <w:rPr>
          <w:rFonts w:ascii="仿宋" w:eastAsia="仿宋" w:hAnsi="仿宋" w:cs="仿宋"/>
          <w:sz w:val="32"/>
          <w:szCs w:val="32"/>
        </w:rPr>
      </w:pPr>
      <w:r>
        <w:rPr>
          <w:rFonts w:ascii="仿宋" w:eastAsia="仿宋" w:hAnsi="仿宋" w:cs="仿宋" w:hint="eastAsia"/>
          <w:b/>
          <w:bCs/>
          <w:sz w:val="32"/>
          <w:szCs w:val="32"/>
        </w:rPr>
        <w:t>始终坚持党的领导。</w:t>
      </w:r>
      <w:r>
        <w:rPr>
          <w:rFonts w:ascii="仿宋" w:eastAsia="仿宋" w:hAnsi="仿宋" w:cs="仿宋" w:hint="eastAsia"/>
          <w:sz w:val="32"/>
          <w:szCs w:val="32"/>
        </w:rPr>
        <w:t>切实加强县人大常委会党的组织建设，严守党的政治纪律和政治规矩，始终在政治上思想上行动上同以习近平同志为核心的党中央保持高度一致，树牢“四个意识”，坚定“四个自信”，做到“两个维护”；坚决执行重点工作、重大事项及时向县委请示报告制度，严格按照县委的指示要求，使县委的主张和意愿依法变为全县人</w:t>
      </w:r>
      <w:r>
        <w:rPr>
          <w:rFonts w:ascii="仿宋" w:eastAsia="仿宋" w:hAnsi="仿宋" w:cs="仿宋" w:hint="eastAsia"/>
          <w:sz w:val="32"/>
          <w:szCs w:val="32"/>
        </w:rPr>
        <w:lastRenderedPageBreak/>
        <w:t>民的共同意志。县委高度重视人大工作，积极支持人大履职，切实关心人大建设。</w:t>
      </w:r>
    </w:p>
    <w:p w:rsidR="006C66D4" w:rsidRDefault="00AD3B60">
      <w:pPr>
        <w:widowControl/>
        <w:shd w:val="clear" w:color="auto" w:fill="FFFFFF"/>
        <w:spacing w:line="580" w:lineRule="exact"/>
        <w:ind w:firstLine="663"/>
        <w:rPr>
          <w:rFonts w:ascii="仿宋" w:eastAsia="仿宋" w:hAnsi="仿宋" w:cs="仿宋"/>
          <w:sz w:val="32"/>
          <w:szCs w:val="32"/>
        </w:rPr>
      </w:pPr>
      <w:r>
        <w:rPr>
          <w:rFonts w:ascii="仿宋" w:eastAsia="仿宋" w:hAnsi="仿宋" w:cs="仿宋" w:hint="eastAsia"/>
          <w:b/>
          <w:bCs/>
          <w:sz w:val="32"/>
          <w:szCs w:val="32"/>
        </w:rPr>
        <w:t>认真落实县委部署。</w:t>
      </w:r>
      <w:r>
        <w:rPr>
          <w:rFonts w:ascii="仿宋" w:eastAsia="仿宋" w:hAnsi="仿宋" w:cs="仿宋" w:hint="eastAsia"/>
          <w:sz w:val="32"/>
          <w:szCs w:val="32"/>
        </w:rPr>
        <w:t>充分发挥人民代表大会制度优势，围绕中心、服务大局，明确方向、找准定位，聚焦脱贫攻坚、乡村振兴、工业经济发展、生态环境保护、民生保障、康养旅游等重点工作精准发力，更好地发挥地方国家权力机关作用。常委会组成人员带头投身全县中心工作，承担脱贫攻坚、疫情防控、村级建制调整改革、村（社区）“两委”换届、森林草原防灭火专项整治、河长制、乡村振兴、民族团结进步示范县创建、</w:t>
      </w:r>
      <w:proofErr w:type="gramStart"/>
      <w:r>
        <w:rPr>
          <w:rFonts w:ascii="仿宋" w:eastAsia="仿宋" w:hAnsi="仿宋" w:cs="仿宋" w:hint="eastAsia"/>
          <w:sz w:val="32"/>
          <w:szCs w:val="32"/>
        </w:rPr>
        <w:t>信访维稳等</w:t>
      </w:r>
      <w:proofErr w:type="gramEnd"/>
      <w:r>
        <w:rPr>
          <w:rFonts w:ascii="仿宋" w:eastAsia="仿宋" w:hAnsi="仿宋" w:cs="仿宋" w:hint="eastAsia"/>
          <w:sz w:val="32"/>
          <w:szCs w:val="32"/>
        </w:rPr>
        <w:t>工作，积极主动完成了县委交办的各项工作任务。</w:t>
      </w:r>
    </w:p>
    <w:p w:rsidR="006C66D4" w:rsidRDefault="00AD3B60">
      <w:pPr>
        <w:pStyle w:val="a8"/>
        <w:shd w:val="clear" w:color="auto" w:fill="FFFFFF"/>
        <w:spacing w:line="580" w:lineRule="exact"/>
        <w:ind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二、扎实做好新冠肺炎疫情防控，彰</w:t>
      </w:r>
      <w:proofErr w:type="gramStart"/>
      <w:r>
        <w:rPr>
          <w:rFonts w:ascii="仿宋" w:eastAsia="仿宋" w:hAnsi="仿宋" w:cs="仿宋" w:hint="eastAsia"/>
          <w:color w:val="000000"/>
          <w:kern w:val="2"/>
          <w:sz w:val="32"/>
          <w:szCs w:val="32"/>
        </w:rPr>
        <w:t>显责任</w:t>
      </w:r>
      <w:proofErr w:type="gramEnd"/>
      <w:r>
        <w:rPr>
          <w:rFonts w:ascii="仿宋" w:eastAsia="仿宋" w:hAnsi="仿宋" w:cs="仿宋" w:hint="eastAsia"/>
          <w:color w:val="000000"/>
          <w:kern w:val="2"/>
          <w:sz w:val="32"/>
          <w:szCs w:val="32"/>
        </w:rPr>
        <w:t>担当</w:t>
      </w:r>
    </w:p>
    <w:p w:rsidR="006C66D4" w:rsidRDefault="00AD3B60">
      <w:pPr>
        <w:pStyle w:val="a8"/>
        <w:shd w:val="clear" w:color="auto" w:fill="FFFFFF"/>
        <w:spacing w:line="580" w:lineRule="exact"/>
        <w:ind w:firstLineChars="200" w:firstLine="643"/>
        <w:jc w:val="both"/>
        <w:rPr>
          <w:rStyle w:val="NormalCharacter"/>
          <w:rFonts w:ascii="仿宋" w:eastAsia="仿宋" w:hAnsi="仿宋" w:cs="仿宋"/>
          <w:sz w:val="32"/>
          <w:szCs w:val="32"/>
        </w:rPr>
      </w:pPr>
      <w:r>
        <w:rPr>
          <w:rFonts w:ascii="仿宋" w:eastAsia="仿宋" w:hAnsi="仿宋" w:cs="仿宋" w:hint="eastAsia"/>
          <w:b/>
          <w:bCs/>
          <w:sz w:val="32"/>
          <w:szCs w:val="32"/>
        </w:rPr>
        <w:t>积极开展疫情防控。</w:t>
      </w:r>
      <w:r>
        <w:rPr>
          <w:rFonts w:ascii="仿宋" w:eastAsia="仿宋" w:hAnsi="仿宋" w:cs="仿宋" w:hint="eastAsia"/>
          <w:kern w:val="2"/>
          <w:sz w:val="32"/>
          <w:szCs w:val="32"/>
        </w:rPr>
        <w:t>面对严峻的新冠肺炎疫情，常委会领导率先垂范，下沉基层，分赴所联系的乡镇，恪守应尽之责，为坚决打赢疫情防控人民战、总体战、阻击战付出了艰辛努力。动员机关全部力量，承担联防联控责任</w:t>
      </w:r>
      <w:r>
        <w:rPr>
          <w:rFonts w:ascii="仿宋" w:eastAsia="仿宋" w:hAnsi="仿宋" w:cs="仿宋" w:hint="eastAsia"/>
          <w:sz w:val="32"/>
          <w:szCs w:val="32"/>
        </w:rPr>
        <w:t>，参与肺炎疫情防控卡点值守工作，为坚决防止疫情扩散，维护人民群众身体健康和生命安全，贡献了人大机关干部的力量。</w:t>
      </w:r>
      <w:r>
        <w:rPr>
          <w:rStyle w:val="NormalCharacter"/>
          <w:rFonts w:ascii="仿宋" w:eastAsia="仿宋" w:hAnsi="仿宋" w:cs="仿宋" w:hint="eastAsia"/>
          <w:kern w:val="2"/>
          <w:sz w:val="32"/>
          <w:szCs w:val="32"/>
        </w:rPr>
        <w:t>2020年1月及时暂停全县各级“人大代表之家”“代表工作站”“代表工作室”服务接待选民工作。</w:t>
      </w:r>
    </w:p>
    <w:p w:rsidR="006C66D4" w:rsidRDefault="00AD3B60">
      <w:pPr>
        <w:spacing w:line="580" w:lineRule="exact"/>
        <w:ind w:firstLine="663"/>
        <w:rPr>
          <w:rFonts w:ascii="仿宋" w:eastAsia="仿宋" w:hAnsi="仿宋" w:cs="仿宋"/>
          <w:kern w:val="0"/>
          <w:sz w:val="32"/>
          <w:szCs w:val="32"/>
        </w:rPr>
      </w:pPr>
      <w:r>
        <w:rPr>
          <w:rFonts w:ascii="仿宋" w:eastAsia="仿宋" w:hAnsi="仿宋" w:cs="仿宋" w:hint="eastAsia"/>
          <w:b/>
          <w:bCs/>
          <w:sz w:val="32"/>
          <w:szCs w:val="32"/>
        </w:rPr>
        <w:t>汇聚代表抗</w:t>
      </w:r>
      <w:proofErr w:type="gramStart"/>
      <w:r>
        <w:rPr>
          <w:rFonts w:ascii="仿宋" w:eastAsia="仿宋" w:hAnsi="仿宋" w:cs="仿宋" w:hint="eastAsia"/>
          <w:b/>
          <w:bCs/>
          <w:sz w:val="32"/>
          <w:szCs w:val="32"/>
        </w:rPr>
        <w:t>疫</w:t>
      </w:r>
      <w:proofErr w:type="gramEnd"/>
      <w:r>
        <w:rPr>
          <w:rFonts w:ascii="仿宋" w:eastAsia="仿宋" w:hAnsi="仿宋" w:cs="仿宋" w:hint="eastAsia"/>
          <w:b/>
          <w:bCs/>
          <w:sz w:val="32"/>
          <w:szCs w:val="32"/>
        </w:rPr>
        <w:t>力量。</w:t>
      </w:r>
      <w:r>
        <w:rPr>
          <w:rStyle w:val="NormalCharacter"/>
          <w:rFonts w:ascii="仿宋" w:eastAsia="仿宋" w:hAnsi="仿宋" w:cs="仿宋" w:hint="eastAsia"/>
          <w:sz w:val="32"/>
          <w:szCs w:val="32"/>
        </w:rPr>
        <w:t>在人大代表中率先发出《致全县各级人大代表的倡议书》，倡议全县各级人大代表充分发挥密</w:t>
      </w:r>
      <w:r>
        <w:rPr>
          <w:rStyle w:val="NormalCharacter"/>
          <w:rFonts w:ascii="仿宋" w:eastAsia="仿宋" w:hAnsi="仿宋" w:cs="仿宋" w:hint="eastAsia"/>
          <w:sz w:val="32"/>
          <w:szCs w:val="32"/>
        </w:rPr>
        <w:lastRenderedPageBreak/>
        <w:t>切联系人民群众的优势，强化担当、做好表率，当好疫情防控战斗员、监督员、宣传员和示范员，在基层疫情防控一线展示代表风采，有力地支持了全县疫情防控阻击战。全县各级人大代表充分利用不同行业、不同职责的优势，认真履行好人大代表职责，在主动建言献策的同时，积极组织、参与所在单位、选区开展的疫情防控和应急响应保障工作，在坚决打赢疫情防控阻击战中以实际行动</w:t>
      </w:r>
      <w:proofErr w:type="gramStart"/>
      <w:r>
        <w:rPr>
          <w:rStyle w:val="NormalCharacter"/>
          <w:rFonts w:ascii="仿宋" w:eastAsia="仿宋" w:hAnsi="仿宋" w:cs="仿宋" w:hint="eastAsia"/>
          <w:sz w:val="32"/>
          <w:szCs w:val="32"/>
        </w:rPr>
        <w:t>践行</w:t>
      </w:r>
      <w:proofErr w:type="gramEnd"/>
      <w:r>
        <w:rPr>
          <w:rStyle w:val="NormalCharacter"/>
          <w:rFonts w:ascii="仿宋" w:eastAsia="仿宋" w:hAnsi="仿宋" w:cs="仿宋" w:hint="eastAsia"/>
          <w:sz w:val="32"/>
          <w:szCs w:val="32"/>
        </w:rPr>
        <w:t>初心使命，体现了人大代表的责任担当。</w:t>
      </w:r>
    </w:p>
    <w:p w:rsidR="006C66D4" w:rsidRDefault="00AD3B60">
      <w:pPr>
        <w:overflowPunct w:val="0"/>
        <w:topLinePunct/>
        <w:spacing w:line="580" w:lineRule="exact"/>
        <w:ind w:firstLineChars="206" w:firstLine="662"/>
        <w:rPr>
          <w:rStyle w:val="NormalCharacter"/>
          <w:rFonts w:ascii="仿宋" w:eastAsia="仿宋" w:hAnsi="仿宋" w:cs="仿宋"/>
          <w:sz w:val="32"/>
          <w:szCs w:val="32"/>
        </w:rPr>
      </w:pPr>
      <w:r>
        <w:rPr>
          <w:rFonts w:ascii="仿宋" w:eastAsia="仿宋" w:hAnsi="仿宋" w:cs="仿宋" w:hint="eastAsia"/>
          <w:b/>
          <w:bCs/>
          <w:sz w:val="32"/>
          <w:szCs w:val="32"/>
        </w:rPr>
        <w:t>切实做好舆论引导。</w:t>
      </w:r>
      <w:r>
        <w:rPr>
          <w:rStyle w:val="NormalCharacter"/>
          <w:rFonts w:ascii="仿宋" w:eastAsia="仿宋" w:hAnsi="仿宋" w:cs="仿宋" w:hint="eastAsia"/>
          <w:sz w:val="32"/>
          <w:szCs w:val="32"/>
        </w:rPr>
        <w:t>及时下发《关于依法做好新型冠状病毒感染肺炎疫情防控工作的通知》，要求各乡（镇）人大主席团和各级人大代表按照相关法律法规的规定，做好疫情防控工作，加强疫情防控法治宣传，引导公众正确理解、积极配合、科学参与疫情防控。积极收集整理人大代表和人大干部参与疫情防控的先进事迹，编印《疫情防控工作专报》18期。</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197" w:firstLine="633"/>
        <w:rPr>
          <w:rStyle w:val="NormalCharacter"/>
          <w:rFonts w:ascii="仿宋" w:eastAsia="仿宋" w:hAnsi="仿宋" w:cs="仿宋"/>
          <w:sz w:val="32"/>
          <w:szCs w:val="32"/>
        </w:rPr>
      </w:pPr>
      <w:r>
        <w:rPr>
          <w:rFonts w:ascii="仿宋" w:eastAsia="仿宋" w:hAnsi="仿宋" w:cs="仿宋" w:hint="eastAsia"/>
          <w:b/>
          <w:bCs/>
          <w:sz w:val="32"/>
          <w:szCs w:val="32"/>
        </w:rPr>
        <w:t>充分发挥监督作用。</w:t>
      </w:r>
      <w:r>
        <w:rPr>
          <w:rStyle w:val="NormalCharacter"/>
          <w:rFonts w:ascii="仿宋" w:eastAsia="仿宋" w:hAnsi="仿宋" w:cs="仿宋" w:hint="eastAsia"/>
          <w:sz w:val="32"/>
          <w:szCs w:val="32"/>
        </w:rPr>
        <w:t>常委会积极发挥监督职能，组织人大机关干部和常委会组成人员采取明察与暗访相结合的方式，深入到各乡（镇）、高速公路出入口、火车站、村（社区）卡点、集贸市场、隔离留观点、工业企业指导调研、督导检查疫情防控工作40余次，督导检查发现问题20余个，充分发挥了人大监督作用。专题听取了县人民政府关于新型冠状病毒肺炎疫情防控工作情况的报告，在充分肯定疫情防控工作取得成效的同时，指出了薄弱环节，提出常态化疫情防控建议3条，有力地支持了全县的疫情防控工作。</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lastRenderedPageBreak/>
        <w:t>积极踊跃捐款捐物。</w:t>
      </w:r>
      <w:r>
        <w:rPr>
          <w:rFonts w:ascii="仿宋" w:eastAsia="仿宋" w:hAnsi="仿宋" w:cs="仿宋" w:hint="eastAsia"/>
          <w:sz w:val="32"/>
          <w:szCs w:val="32"/>
        </w:rPr>
        <w:t>全县各级人大干部和人大代表以不同方式支持疫情防控，踊跃捐款捐物，积极主动缴纳抗击新冠肺炎疫情特殊党费，积极主动向盐边县慈善会捐款等，以实际行动为抗击疫情奉献爱心、贡献力量。据不完全统计，全县各级人大代表和人大机关干部捐款捐物总计132597元。</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三、全面履行监督职责，增强实干担当</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加强经济运行监督。</w:t>
      </w:r>
      <w:r>
        <w:rPr>
          <w:rFonts w:ascii="仿宋" w:eastAsia="仿宋" w:hAnsi="仿宋" w:cs="仿宋" w:hint="eastAsia"/>
          <w:sz w:val="32"/>
          <w:szCs w:val="32"/>
        </w:rPr>
        <w:t>针对新冠肺炎疫情影响，紧紧围绕“六稳”“六保”，听取和审议县政府关于国民经济和社会发展计划、财政预算执行、财政决算、审计工作情况报告，促进政府部门认真落实经济社会发展的一系列政策措施，统筹推进疫情防控和经济社会发展。对全县工业经济运行情况进行视察调研，了解掌握我县工业经济运行和发展情况，提出意见建议，进一步助推全县工业经济平稳健康发展。坚决打好防范化解重大风险攻坚战，积极推进县级财政预算联网监督系统建设。加大对预算编制、政府债务、国有资产管理的监督力度，跟踪监督审计查出问题的整改，有效发挥监督作用。</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加强教育医疗监督。</w:t>
      </w:r>
      <w:r>
        <w:rPr>
          <w:rFonts w:ascii="仿宋" w:eastAsia="仿宋" w:hAnsi="仿宋" w:cs="仿宋" w:hint="eastAsia"/>
          <w:sz w:val="32"/>
          <w:szCs w:val="32"/>
        </w:rPr>
        <w:t>围绕民生改善这一课题，始终把关注和改善民生作为重要职责。高度关注办好人民满意的教育，通过实地走访相关部门、乡（镇）及幼儿园，召开座谈会，听取群众意见和基层工作汇报，收集意见建议等形式，对我县学前教育工作情况进行了调研，提出了提高学前教育质量、建好省级示范幼儿园、优化集团幼儿园管理、推动民办幼儿园发展等建议4条。跟踪监督医疗保障工作专题询问</w:t>
      </w:r>
      <w:r>
        <w:rPr>
          <w:rFonts w:ascii="仿宋" w:eastAsia="仿宋" w:hAnsi="仿宋" w:cs="仿宋" w:hint="eastAsia"/>
          <w:sz w:val="32"/>
          <w:szCs w:val="32"/>
        </w:rPr>
        <w:lastRenderedPageBreak/>
        <w:t>审议意见办理情况，指出我县医疗保障工作存在的薄弱环节，并提出意见建议。</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加强依法治县监督。</w:t>
      </w:r>
      <w:r>
        <w:rPr>
          <w:rFonts w:ascii="仿宋" w:eastAsia="仿宋" w:hAnsi="仿宋" w:cs="仿宋" w:hint="eastAsia"/>
          <w:sz w:val="32"/>
          <w:szCs w:val="32"/>
        </w:rPr>
        <w:t>常委会坚持把全面推进依法治县作为重要职责，听取和审议县政府关于2019年度法治政府建设工作情况的报告，提出优化公共服务、创新社会治理、加强队伍建设、提升</w:t>
      </w:r>
      <w:r w:rsidR="00B66192">
        <w:rPr>
          <w:rFonts w:ascii="仿宋" w:eastAsia="仿宋" w:hAnsi="仿宋" w:cs="仿宋" w:hint="eastAsia"/>
          <w:sz w:val="32"/>
          <w:szCs w:val="32"/>
        </w:rPr>
        <w:t>尊法学法</w:t>
      </w:r>
      <w:r>
        <w:rPr>
          <w:rFonts w:ascii="仿宋" w:eastAsia="仿宋" w:hAnsi="仿宋" w:cs="仿宋" w:hint="eastAsia"/>
          <w:sz w:val="32"/>
          <w:szCs w:val="32"/>
        </w:rPr>
        <w:t>守法用法意识等建议4条。听取县人民政府关于乡（镇）行政区划调整改革、公共法律服务体系建设情况报告。扎实推进法律法规的贯彻执行，对县人民政府贯彻实施《中华人民共和国旅游法》情况开展执法检查，提出制定高质量的旅游规划、建设配套的旅游基础设施、打造有影响力的旅游品牌、开展有效的旅游监督管理、发展丰富的“旅游+”产业</w:t>
      </w:r>
      <w:proofErr w:type="gramStart"/>
      <w:r>
        <w:rPr>
          <w:rFonts w:ascii="仿宋" w:eastAsia="仿宋" w:hAnsi="仿宋" w:cs="仿宋" w:hint="eastAsia"/>
          <w:sz w:val="32"/>
          <w:szCs w:val="32"/>
        </w:rPr>
        <w:t>等审议</w:t>
      </w:r>
      <w:proofErr w:type="gramEnd"/>
      <w:r>
        <w:rPr>
          <w:rFonts w:ascii="仿宋" w:eastAsia="仿宋" w:hAnsi="仿宋" w:cs="仿宋" w:hint="eastAsia"/>
          <w:sz w:val="32"/>
          <w:szCs w:val="32"/>
        </w:rPr>
        <w:t>意见5条。受市人大常委会委托对县人民政府贯彻实施《四川省农村扶贫开发条例》情况开展执法检查。听取县政府关于《中华人民共和国农产品质量安全法》执法检查审议意见办理情况的报告，听取民族团结进步示范县创建情况审议意见落实情况报告，听取县公安局工作评议整改落实情况报告，听取贯彻《中华人民共和国水土保持法》工作情况报告，有效提高整改落实跟踪力度。认真开展规范性文件备案审查工作。听取和审议县人民检察院控告申诉检察工作情况报告，提出提升司法理念、促进联动协作、加大宣传力度等建议3条，对县人民法院行政审判工作情况进行调研，促进“两院”公正司法。</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加强民生项目监督。</w:t>
      </w:r>
      <w:r>
        <w:rPr>
          <w:rFonts w:ascii="仿宋" w:eastAsia="仿宋" w:hAnsi="仿宋" w:cs="仿宋" w:hint="eastAsia"/>
          <w:sz w:val="32"/>
          <w:szCs w:val="32"/>
        </w:rPr>
        <w:t>为充分了解人民群众最关注、最盼望、最亟需解决的问题，确保民生实事项目更加体现民愿、</w:t>
      </w:r>
      <w:r>
        <w:rPr>
          <w:rFonts w:ascii="仿宋" w:eastAsia="仿宋" w:hAnsi="仿宋" w:cs="仿宋" w:hint="eastAsia"/>
          <w:sz w:val="32"/>
          <w:szCs w:val="32"/>
        </w:rPr>
        <w:lastRenderedPageBreak/>
        <w:t>切合民需，进一步提高政府工作的透明度和群众的参与度。在红格镇率先开展民生工程人大代表</w:t>
      </w:r>
      <w:proofErr w:type="gramStart"/>
      <w:r>
        <w:rPr>
          <w:rFonts w:ascii="仿宋" w:eastAsia="仿宋" w:hAnsi="仿宋" w:cs="仿宋" w:hint="eastAsia"/>
          <w:sz w:val="32"/>
          <w:szCs w:val="32"/>
        </w:rPr>
        <w:t>票决制试点</w:t>
      </w:r>
      <w:proofErr w:type="gramEnd"/>
      <w:r>
        <w:rPr>
          <w:rFonts w:ascii="仿宋" w:eastAsia="仿宋" w:hAnsi="仿宋" w:cs="仿宋" w:hint="eastAsia"/>
          <w:sz w:val="32"/>
          <w:szCs w:val="32"/>
        </w:rPr>
        <w:t>工作，工作正按计划方案有序推进。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加强农业产业监督。</w:t>
      </w:r>
      <w:r>
        <w:rPr>
          <w:rFonts w:ascii="仿宋" w:eastAsia="仿宋" w:hAnsi="仿宋" w:cs="仿宋" w:hint="eastAsia"/>
          <w:sz w:val="32"/>
          <w:szCs w:val="32"/>
        </w:rPr>
        <w:t>根据《盐边县人大常委会专题询问暂行办法》，深入推进乡村振兴战略在我县的贯彻实施，对现代农业产业发展情况进行了专题询问，提出明晰和完善现代农业发展规划、强化</w:t>
      </w:r>
      <w:proofErr w:type="gramStart"/>
      <w:r>
        <w:rPr>
          <w:rFonts w:ascii="仿宋" w:eastAsia="仿宋" w:hAnsi="仿宋" w:cs="仿宋" w:hint="eastAsia"/>
          <w:sz w:val="32"/>
          <w:szCs w:val="32"/>
        </w:rPr>
        <w:t>果桑核心</w:t>
      </w:r>
      <w:proofErr w:type="gramEnd"/>
      <w:r>
        <w:rPr>
          <w:rFonts w:ascii="仿宋" w:eastAsia="仿宋" w:hAnsi="仿宋" w:cs="仿宋" w:hint="eastAsia"/>
          <w:sz w:val="32"/>
          <w:szCs w:val="32"/>
        </w:rPr>
        <w:t>产业园区建设、加快农产品加工产业园建设、拓宽农产品营销渠道等11条审议意见，进一步增强发展现代农业产业的决心和信心。</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加强交通运输监督。</w:t>
      </w:r>
      <w:r>
        <w:rPr>
          <w:rFonts w:ascii="仿宋" w:eastAsia="仿宋" w:hAnsi="仿宋" w:cs="仿宋" w:hint="eastAsia"/>
          <w:sz w:val="32"/>
          <w:szCs w:val="32"/>
        </w:rPr>
        <w:t>根据《盐边县人大常委会工作评议暂行办法》</w:t>
      </w:r>
      <w:r>
        <w:rPr>
          <w:rFonts w:ascii="仿宋" w:eastAsia="仿宋" w:hAnsi="仿宋" w:cs="仿宋" w:hint="eastAsia"/>
          <w:color w:val="000000"/>
          <w:sz w:val="32"/>
          <w:szCs w:val="32"/>
        </w:rPr>
        <w:t>，对县交通运输局近三年来的工作开展了评议。</w:t>
      </w:r>
      <w:r>
        <w:rPr>
          <w:rFonts w:ascii="仿宋" w:eastAsia="仿宋" w:hAnsi="仿宋" w:cs="仿宋" w:hint="eastAsia"/>
          <w:sz w:val="32"/>
          <w:szCs w:val="32"/>
        </w:rPr>
        <w:t>提出科学编制“十四五”交通规划、加大向上争取力度、加大在建项目的推进力度、加大道路管养力度、加大道路交通违法整治力度等评议意见5条。</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四、发挥代表主体作用，</w:t>
      </w:r>
      <w:proofErr w:type="gramStart"/>
      <w:r>
        <w:rPr>
          <w:rFonts w:ascii="仿宋" w:eastAsia="仿宋" w:hAnsi="仿宋" w:cs="仿宋" w:hint="eastAsia"/>
          <w:color w:val="000000"/>
          <w:sz w:val="32"/>
          <w:szCs w:val="32"/>
        </w:rPr>
        <w:t>践行</w:t>
      </w:r>
      <w:proofErr w:type="gramEnd"/>
      <w:r>
        <w:rPr>
          <w:rFonts w:ascii="仿宋" w:eastAsia="仿宋" w:hAnsi="仿宋" w:cs="仿宋" w:hint="eastAsia"/>
          <w:color w:val="000000"/>
          <w:sz w:val="32"/>
          <w:szCs w:val="32"/>
        </w:rPr>
        <w:t>使命担当</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完善代表履职机制。</w:t>
      </w:r>
      <w:r>
        <w:rPr>
          <w:rFonts w:ascii="仿宋" w:eastAsia="仿宋" w:hAnsi="仿宋" w:cs="仿宋" w:hint="eastAsia"/>
          <w:sz w:val="32"/>
          <w:szCs w:val="32"/>
        </w:rPr>
        <w:t>加强与县政府及其有关部门（单位）、县人民法院、县人民检察院的联系和沟通，畅通代表参政渠道，定期向代表提供政府公报、经济统计资料和法院、检察院工作情况报告。组织在盐市人大代表和县人大代表</w:t>
      </w:r>
      <w:proofErr w:type="gramStart"/>
      <w:r>
        <w:rPr>
          <w:rFonts w:ascii="仿宋" w:eastAsia="仿宋" w:hAnsi="仿宋" w:cs="仿宋" w:hint="eastAsia"/>
          <w:sz w:val="32"/>
          <w:szCs w:val="32"/>
        </w:rPr>
        <w:t>列席县</w:t>
      </w:r>
      <w:proofErr w:type="gramEnd"/>
      <w:r>
        <w:rPr>
          <w:rFonts w:ascii="仿宋" w:eastAsia="仿宋" w:hAnsi="仿宋" w:cs="仿宋" w:hint="eastAsia"/>
          <w:sz w:val="32"/>
          <w:szCs w:val="32"/>
        </w:rPr>
        <w:t>人大常委会会议、参加调研和视察活动，为代表依法履职搭建平台。指导乡（镇）人大认真组织开展了代表履职监督工作。2020年，全县</w:t>
      </w:r>
      <w:proofErr w:type="gramStart"/>
      <w:r>
        <w:rPr>
          <w:rFonts w:ascii="仿宋" w:eastAsia="仿宋" w:hAnsi="仿宋" w:cs="仿宋" w:hint="eastAsia"/>
          <w:sz w:val="32"/>
          <w:szCs w:val="32"/>
        </w:rPr>
        <w:t>县</w:t>
      </w:r>
      <w:proofErr w:type="gramEnd"/>
      <w:r>
        <w:rPr>
          <w:rFonts w:ascii="仿宋" w:eastAsia="仿宋" w:hAnsi="仿宋" w:cs="仿宋" w:hint="eastAsia"/>
          <w:sz w:val="32"/>
          <w:szCs w:val="32"/>
        </w:rPr>
        <w:t>代表述职45人（本届</w:t>
      </w:r>
      <w:proofErr w:type="gramStart"/>
      <w:r>
        <w:rPr>
          <w:rFonts w:ascii="仿宋" w:eastAsia="仿宋" w:hAnsi="仿宋" w:cs="仿宋" w:hint="eastAsia"/>
          <w:sz w:val="32"/>
          <w:szCs w:val="32"/>
        </w:rPr>
        <w:t>合计县</w:t>
      </w:r>
      <w:proofErr w:type="gramEnd"/>
      <w:r>
        <w:rPr>
          <w:rFonts w:ascii="仿宋" w:eastAsia="仿宋" w:hAnsi="仿宋" w:cs="仿宋" w:hint="eastAsia"/>
          <w:sz w:val="32"/>
          <w:szCs w:val="32"/>
        </w:rPr>
        <w:t>代表述职98人），组织乡（镇）人大代表述职252人（本届合计全县乡（镇）代表述职438人），代表述职工作正朝着制</w:t>
      </w:r>
      <w:r>
        <w:rPr>
          <w:rFonts w:ascii="仿宋" w:eastAsia="仿宋" w:hAnsi="仿宋" w:cs="仿宋" w:hint="eastAsia"/>
          <w:sz w:val="32"/>
          <w:szCs w:val="32"/>
        </w:rPr>
        <w:lastRenderedPageBreak/>
        <w:t>度化、规范化的方向不断迈进。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增强代表活动实效。</w:t>
      </w:r>
      <w:r>
        <w:rPr>
          <w:rFonts w:ascii="仿宋" w:eastAsia="仿宋" w:hAnsi="仿宋" w:cs="仿宋" w:hint="eastAsia"/>
          <w:sz w:val="32"/>
          <w:szCs w:val="32"/>
        </w:rPr>
        <w:t>按照“专题、深入、实效”原则， 7月组织94名市、县人大代表，对乐乐能源科技、云钛、龙蟒佰利联、昔格达文化田园、金菠萝种植基地、太阳湖公园项目等重点项目建设的进展情况进行了视察。代表通过走访、调研、实地视察，对全县的重点项目建设有了更加全面的了解。认真贯彻落实省、市人大常委会关于开展人大代表走访企业、群众专项工作的通知要求，组织市、县、乡（镇）人大代表407人就近走访企业78 家、群众2219人，收集反映问题建议254条，为农村经济发展稳定、工业生产加快恢复、服务业逐步复苏、重大项目有序推进起到了应有的促进作用。</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认真办理代表建议。</w:t>
      </w:r>
      <w:r>
        <w:rPr>
          <w:rFonts w:ascii="仿宋" w:eastAsia="仿宋" w:hAnsi="仿宋" w:cs="仿宋" w:hint="eastAsia"/>
          <w:sz w:val="32"/>
          <w:szCs w:val="32"/>
        </w:rPr>
        <w:t>及时召开代表建议交办会，将代表提出的建议、批评和意见转交“一府两院”及其有关部门，明确办理责任、办理时限、办理措施和效果，同时，将办理工作纳入了年终目标考核，切实做到件件有着落，事事有回音。对《关于加大森林草原防灭火工作投入的建议》《关于提升县人民医院传染病防治能力的建议》等5件建议进行了常委会重点督办。县十八届人大第五次会议收到的68件建议，全部得到有效解决或已纳入工作日程。代表对68件建议的办理工作满意率达100%。闭会期间，通过人大代表之家、人大代表工作站（室）开展人大代表活动136次、接待选民活动573人次，收集群众提出意见建议232条，经人大代表之家、站（室）协调政府相关部门和有关乡镇已解决办理了</w:t>
      </w:r>
      <w:r>
        <w:rPr>
          <w:rFonts w:ascii="仿宋" w:eastAsia="仿宋" w:hAnsi="仿宋" w:cs="仿宋" w:hint="eastAsia"/>
          <w:sz w:val="32"/>
          <w:szCs w:val="32"/>
        </w:rPr>
        <w:lastRenderedPageBreak/>
        <w:t>154条、正在办理的61条、未办理的25条、群众的满意率达90%。</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扎实做好代表培训。</w:t>
      </w:r>
      <w:r>
        <w:rPr>
          <w:rFonts w:ascii="仿宋" w:eastAsia="仿宋" w:hAnsi="仿宋" w:cs="仿宋" w:hint="eastAsia"/>
          <w:sz w:val="32"/>
          <w:szCs w:val="32"/>
        </w:rPr>
        <w:t>积极组织各级人大代表和人大机关干部参加网上学习和网上业务知识答题活动，不断丰富代表培训方式。组织乡（镇）人大主席及主席团工作人员，重点对《地方组织法》《选举法》《四川省乡镇人大主席团工作条例》等法律法规和乡（镇）人大主席团工作开展务实专门培训，进一步提升了乡（镇）人大工作水平和代表履职的能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五、加强机关自身建设，提高</w:t>
      </w:r>
      <w:proofErr w:type="gramStart"/>
      <w:r>
        <w:rPr>
          <w:rFonts w:ascii="仿宋" w:eastAsia="仿宋" w:hAnsi="仿宋" w:cs="仿宋" w:hint="eastAsia"/>
          <w:color w:val="000000"/>
          <w:sz w:val="32"/>
          <w:szCs w:val="32"/>
        </w:rPr>
        <w:t>履</w:t>
      </w:r>
      <w:proofErr w:type="gramEnd"/>
      <w:r>
        <w:rPr>
          <w:rFonts w:ascii="仿宋" w:eastAsia="仿宋" w:hAnsi="仿宋" w:cs="仿宋" w:hint="eastAsia"/>
          <w:color w:val="000000"/>
          <w:sz w:val="32"/>
          <w:szCs w:val="32"/>
        </w:rPr>
        <w:t>职能力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思想建设不断加强。</w:t>
      </w:r>
      <w:r>
        <w:rPr>
          <w:rFonts w:ascii="仿宋" w:eastAsia="仿宋" w:hAnsi="仿宋" w:cs="仿宋" w:hint="eastAsia"/>
          <w:color w:val="000000"/>
          <w:sz w:val="32"/>
          <w:szCs w:val="32"/>
        </w:rPr>
        <w:t>持续深入学习领会习近平新时代中国特色社会主义思想，以思想自觉引领行动自觉。把“学习强国”平台作为创新和加强机关党员学习教育的重要内容和重要抓手。扎实开展“守纪律、提效能、强执行、做表率”活动，坚持</w:t>
      </w:r>
      <w:proofErr w:type="gramStart"/>
      <w:r>
        <w:rPr>
          <w:rFonts w:ascii="仿宋" w:eastAsia="仿宋" w:hAnsi="仿宋" w:cs="仿宋" w:hint="eastAsia"/>
          <w:color w:val="000000"/>
          <w:sz w:val="32"/>
          <w:szCs w:val="32"/>
        </w:rPr>
        <w:t>学思用贯通</w:t>
      </w:r>
      <w:proofErr w:type="gramEnd"/>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知信行</w:t>
      </w:r>
      <w:proofErr w:type="gramEnd"/>
      <w:r>
        <w:rPr>
          <w:rFonts w:ascii="仿宋" w:eastAsia="仿宋" w:hAnsi="仿宋" w:cs="仿宋" w:hint="eastAsia"/>
          <w:color w:val="000000"/>
          <w:sz w:val="32"/>
          <w:szCs w:val="32"/>
        </w:rPr>
        <w:t>统一，健全并坚持学习制度、民主生活会制度，确保学习好政治理论，增强政治自觉。</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作风建设持续推进。</w:t>
      </w:r>
      <w:r>
        <w:rPr>
          <w:rFonts w:ascii="仿宋" w:eastAsia="仿宋" w:hAnsi="仿宋" w:cs="仿宋" w:hint="eastAsia"/>
          <w:color w:val="000000"/>
          <w:sz w:val="32"/>
          <w:szCs w:val="32"/>
        </w:rPr>
        <w:t>坚持把政治纪律和政治规矩挺在前面，坚决执行中央八项规定精神和省市县十项规定及其实施细则要求，持之以恒抓作风，营造良好政</w:t>
      </w:r>
      <w:r w:rsidR="00165458">
        <w:rPr>
          <w:rFonts w:ascii="仿宋" w:eastAsia="仿宋" w:hAnsi="仿宋" w:cs="仿宋" w:hint="eastAsia"/>
          <w:color w:val="000000"/>
          <w:sz w:val="32"/>
          <w:szCs w:val="32"/>
        </w:rPr>
        <w:t>治生态。坚持把主体责任扛在肩上，切实履行党建、意识形态、党风</w:t>
      </w:r>
      <w:r>
        <w:rPr>
          <w:rFonts w:ascii="仿宋" w:eastAsia="仿宋" w:hAnsi="仿宋" w:cs="仿宋" w:hint="eastAsia"/>
          <w:color w:val="000000"/>
          <w:sz w:val="32"/>
          <w:szCs w:val="32"/>
        </w:rPr>
        <w:t>廉政建设主体责任。强化政治担当，认真做好县人大机关巡察整改“后半篇文章”，重视发挥制度建设的引领和规范作用，进一步健全完善机关学习培训、财务、车辆管理、会议等内部管理制度，推动机关工作更加规范化和制度化，以作风建设的新</w:t>
      </w:r>
      <w:r>
        <w:rPr>
          <w:rFonts w:ascii="仿宋" w:eastAsia="仿宋" w:hAnsi="仿宋" w:cs="仿宋" w:hint="eastAsia"/>
          <w:color w:val="000000"/>
          <w:sz w:val="32"/>
          <w:szCs w:val="32"/>
        </w:rPr>
        <w:lastRenderedPageBreak/>
        <w:t>成效保证常委会各项工作有序规范高效推进。</w:t>
      </w:r>
    </w:p>
    <w:p w:rsidR="006C66D4" w:rsidRDefault="00AD3B60">
      <w:pPr>
        <w:numPr>
          <w:ilvl w:val="0"/>
          <w:numId w:val="1"/>
        </w:num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Style w:val="2Char"/>
          <w:rFonts w:ascii="黑体" w:eastAsia="黑体" w:hAnsi="黑体"/>
          <w:b w:val="0"/>
          <w:bCs w:val="0"/>
        </w:rPr>
      </w:pPr>
      <w:bookmarkStart w:id="28" w:name="_Toc15377200"/>
      <w:bookmarkStart w:id="29" w:name="_Toc52180069"/>
      <w:bookmarkStart w:id="30" w:name="_Toc15396601"/>
      <w:r>
        <w:rPr>
          <w:rStyle w:val="2Char"/>
          <w:rFonts w:ascii="黑体" w:eastAsia="黑体" w:hAnsi="黑体" w:hint="eastAsia"/>
          <w:b w:val="0"/>
          <w:bCs w:val="0"/>
        </w:rPr>
        <w:t>机构设置</w:t>
      </w:r>
      <w:bookmarkStart w:id="31" w:name="_Toc15377204"/>
      <w:bookmarkStart w:id="32" w:name="_Toc15396602"/>
      <w:bookmarkStart w:id="33" w:name="_Toc52180073"/>
      <w:bookmarkEnd w:id="28"/>
      <w:bookmarkEnd w:id="29"/>
      <w:bookmarkEnd w:id="30"/>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100" w:firstLine="320"/>
        <w:rPr>
          <w:rFonts w:ascii="仿宋_GB2312" w:eastAsia="仿宋_GB2312" w:hAnsi="仿宋_GB2312" w:cs="宋体"/>
          <w:kern w:val="0"/>
          <w:sz w:val="32"/>
          <w:szCs w:val="21"/>
        </w:rPr>
      </w:pPr>
      <w:r>
        <w:rPr>
          <w:rFonts w:ascii="仿宋_GB2312" w:eastAsia="仿宋_GB2312" w:hAnsi="仿宋_GB2312" w:cs="宋体" w:hint="eastAsia"/>
          <w:kern w:val="0"/>
          <w:sz w:val="32"/>
          <w:szCs w:val="32"/>
        </w:rPr>
        <w:t>县人大机关内设机构为</w:t>
      </w:r>
      <w:proofErr w:type="gramStart"/>
      <w:r>
        <w:rPr>
          <w:rFonts w:ascii="仿宋_GB2312" w:eastAsia="仿宋_GB2312" w:hAnsi="仿宋_GB2312" w:cs="宋体" w:hint="eastAsia"/>
          <w:kern w:val="0"/>
          <w:sz w:val="32"/>
          <w:szCs w:val="32"/>
        </w:rPr>
        <w:t>五委一室</w:t>
      </w:r>
      <w:proofErr w:type="gramEnd"/>
      <w:r>
        <w:rPr>
          <w:rFonts w:ascii="仿宋_GB2312" w:eastAsia="仿宋_GB2312" w:hAnsi="仿宋_GB2312" w:cs="宋体" w:hint="eastAsia"/>
          <w:kern w:val="0"/>
          <w:sz w:val="32"/>
          <w:szCs w:val="32"/>
        </w:rPr>
        <w:t>，即：办公室、财经工委、法工委、教科文卫工委、农业民族工委、人事代表工委。机关行政编制17人，工勤编制4人。</w:t>
      </w:r>
    </w:p>
    <w:p w:rsidR="006C66D4" w:rsidRDefault="00AD3B60">
      <w:pPr>
        <w:pStyle w:val="1"/>
        <w:ind w:right="440"/>
        <w:jc w:val="right"/>
        <w:rPr>
          <w:rStyle w:val="1Char"/>
          <w:rFonts w:ascii="黑体" w:eastAsia="黑体" w:hAnsi="黑体"/>
        </w:rPr>
      </w:pPr>
      <w:r>
        <w:rPr>
          <w:rFonts w:ascii="黑体" w:eastAsia="黑体" w:hAnsi="黑体" w:hint="eastAsia"/>
          <w:b w:val="0"/>
        </w:rPr>
        <w:t>第二部分</w:t>
      </w:r>
      <w:r>
        <w:rPr>
          <w:rStyle w:val="1Char"/>
          <w:rFonts w:ascii="黑体" w:eastAsia="黑体" w:hAnsi="黑体" w:hint="eastAsia"/>
        </w:rPr>
        <w:t>2020年度部门决算情况说明</w:t>
      </w:r>
      <w:bookmarkEnd w:id="31"/>
      <w:bookmarkEnd w:id="32"/>
      <w:bookmarkEnd w:id="33"/>
    </w:p>
    <w:p w:rsidR="006C66D4" w:rsidRDefault="006C66D4"/>
    <w:p w:rsidR="006C66D4" w:rsidRDefault="00AD3B60">
      <w:pPr>
        <w:pStyle w:val="ad"/>
        <w:numPr>
          <w:ilvl w:val="0"/>
          <w:numId w:val="2"/>
        </w:numPr>
        <w:spacing w:line="600" w:lineRule="exact"/>
        <w:ind w:firstLineChars="0"/>
        <w:outlineLvl w:val="1"/>
        <w:rPr>
          <w:rStyle w:val="2Char"/>
          <w:rFonts w:ascii="黑体" w:eastAsia="黑体" w:hAnsi="黑体"/>
          <w:b w:val="0"/>
        </w:rPr>
      </w:pPr>
      <w:bookmarkStart w:id="34" w:name="_Toc15377205"/>
      <w:bookmarkStart w:id="35" w:name="_Toc52180074"/>
      <w:bookmarkStart w:id="36"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34"/>
      <w:bookmarkEnd w:id="35"/>
      <w:bookmarkEnd w:id="36"/>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2020年度</w:t>
      </w:r>
      <w:r>
        <w:rPr>
          <w:rFonts w:ascii="仿宋_GB2312" w:eastAsia="仿宋_GB2312" w:hAnsi="仿宋_GB2312" w:hint="eastAsia"/>
          <w:sz w:val="32"/>
          <w:szCs w:val="32"/>
        </w:rPr>
        <w:t>收入总计908.25万元、支出总计908.25万元。与2019年相比，收入增长65.7%，支出增长61.27%。</w:t>
      </w:r>
      <w:r>
        <w:rPr>
          <w:rFonts w:ascii="仿宋" w:eastAsia="仿宋" w:hAnsi="仿宋" w:hint="eastAsia"/>
          <w:sz w:val="32"/>
          <w:szCs w:val="32"/>
        </w:rPr>
        <w:t>主要2020年安排项目收入支出和以前年度</w:t>
      </w:r>
      <w:proofErr w:type="gramStart"/>
      <w:r>
        <w:rPr>
          <w:rFonts w:ascii="仿宋" w:eastAsia="仿宋" w:hAnsi="仿宋" w:hint="eastAsia"/>
          <w:sz w:val="32"/>
          <w:szCs w:val="32"/>
        </w:rPr>
        <w:t>暂付调列支</w:t>
      </w:r>
      <w:proofErr w:type="gramEnd"/>
      <w:r>
        <w:rPr>
          <w:rFonts w:ascii="仿宋" w:eastAsia="仿宋" w:hAnsi="仿宋" w:hint="eastAsia"/>
          <w:sz w:val="32"/>
          <w:szCs w:val="32"/>
        </w:rPr>
        <w:t>出。</w:t>
      </w: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C66D4" w:rsidRDefault="006C66D4">
      <w:pPr>
        <w:spacing w:line="600" w:lineRule="exact"/>
        <w:ind w:firstLineChars="200" w:firstLine="640"/>
        <w:jc w:val="left"/>
        <w:rPr>
          <w:rFonts w:ascii="仿宋_GB2312" w:eastAsia="仿宋_GB2312"/>
          <w:sz w:val="32"/>
          <w:szCs w:val="32"/>
        </w:rPr>
      </w:pPr>
    </w:p>
    <w:p w:rsidR="006C66D4" w:rsidRDefault="000A1F35">
      <w:pPr>
        <w:spacing w:line="600" w:lineRule="exact"/>
        <w:ind w:firstLineChars="200" w:firstLine="640"/>
        <w:jc w:val="left"/>
        <w:rPr>
          <w:rFonts w:ascii="仿宋_GB2312" w:eastAsia="仿宋_GB2312"/>
          <w:sz w:val="32"/>
          <w:szCs w:val="32"/>
        </w:rPr>
      </w:pPr>
      <w:r>
        <w:rPr>
          <w:rFonts w:ascii="仿宋_GB2312" w:eastAsia="仿宋_GB2312"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pt;margin-top:10.15pt;width:366.5pt;height:186.25pt;z-index:251659264;mso-wrap-distance-top:0;mso-wrap-distance-bottom:0;mso-width-relative:page;mso-height-relative:page">
            <v:imagedata r:id="rId10" o:title=""/>
            <w10:wrap type="topAndBottom"/>
          </v:shape>
          <o:OLEObject Type="Embed" ProgID="MSGraph.Chart.8" ShapeID="_x0000_s1026" DrawAspect="Content" ObjectID="_1796472656" r:id="rId11"/>
        </w:pict>
      </w:r>
    </w:p>
    <w:p w:rsidR="006C66D4" w:rsidRDefault="006C66D4">
      <w:pPr>
        <w:spacing w:line="600" w:lineRule="exact"/>
        <w:ind w:firstLineChars="200" w:firstLine="640"/>
        <w:jc w:val="left"/>
        <w:rPr>
          <w:rStyle w:val="2Char"/>
          <w:rFonts w:ascii="黑体" w:eastAsia="黑体" w:hAnsi="黑体"/>
          <w:b w:val="0"/>
        </w:rPr>
      </w:pPr>
      <w:bookmarkStart w:id="37" w:name="_Toc15377206"/>
      <w:bookmarkStart w:id="38" w:name="_Toc15396604"/>
      <w:bookmarkStart w:id="39" w:name="_Toc52180075"/>
    </w:p>
    <w:p w:rsidR="006C66D4" w:rsidRDefault="00AD3B60">
      <w:pPr>
        <w:pStyle w:val="ad"/>
        <w:numPr>
          <w:ilvl w:val="0"/>
          <w:numId w:val="2"/>
        </w:numPr>
        <w:spacing w:line="600" w:lineRule="exact"/>
        <w:ind w:firstLineChars="0"/>
        <w:outlineLvl w:val="1"/>
        <w:rPr>
          <w:rStyle w:val="2Char"/>
          <w:rFonts w:ascii="黑体" w:eastAsia="黑体" w:hAnsi="黑体"/>
          <w:b w:val="0"/>
        </w:rPr>
      </w:pPr>
      <w:r>
        <w:rPr>
          <w:rFonts w:ascii="黑体" w:eastAsia="黑体" w:hAnsi="黑体" w:hint="eastAsia"/>
          <w:sz w:val="32"/>
          <w:szCs w:val="32"/>
        </w:rPr>
        <w:t>收</w:t>
      </w:r>
      <w:r>
        <w:rPr>
          <w:rStyle w:val="2Char"/>
          <w:rFonts w:ascii="黑体" w:eastAsia="黑体" w:hAnsi="黑体" w:hint="eastAsia"/>
          <w:b w:val="0"/>
        </w:rPr>
        <w:t>入决算情况说明</w:t>
      </w:r>
      <w:bookmarkEnd w:id="37"/>
      <w:bookmarkEnd w:id="38"/>
      <w:bookmarkEnd w:id="39"/>
    </w:p>
    <w:p w:rsidR="006C66D4" w:rsidRDefault="00AD3B60">
      <w:pPr>
        <w:spacing w:line="600" w:lineRule="exact"/>
        <w:ind w:firstLineChars="200" w:firstLine="640"/>
        <w:outlineLvl w:val="1"/>
        <w:rPr>
          <w:rFonts w:ascii="仿宋" w:eastAsia="仿宋" w:hAnsi="仿宋"/>
          <w:sz w:val="32"/>
          <w:szCs w:val="32"/>
        </w:rPr>
      </w:pPr>
      <w:bookmarkStart w:id="40" w:name="_Toc52180076"/>
      <w:r>
        <w:rPr>
          <w:rFonts w:ascii="仿宋" w:eastAsia="仿宋" w:hAnsi="仿宋"/>
          <w:sz w:val="32"/>
          <w:szCs w:val="32"/>
        </w:rPr>
        <w:t>20</w:t>
      </w:r>
      <w:r>
        <w:rPr>
          <w:rFonts w:ascii="仿宋" w:eastAsia="仿宋" w:hAnsi="仿宋" w:hint="eastAsia"/>
          <w:sz w:val="32"/>
          <w:szCs w:val="32"/>
        </w:rPr>
        <w:t>20年本年收入合计908.25万元，其中：一般公共预算财政拨款收入908.25万元，占100</w:t>
      </w:r>
      <w:r>
        <w:rPr>
          <w:rFonts w:ascii="仿宋" w:eastAsia="仿宋" w:hAnsi="仿宋"/>
          <w:sz w:val="32"/>
          <w:szCs w:val="32"/>
        </w:rPr>
        <w:t>%</w:t>
      </w:r>
      <w:r>
        <w:rPr>
          <w:rFonts w:ascii="仿宋" w:eastAsia="仿宋" w:hAnsi="仿宋" w:hint="eastAsia"/>
          <w:sz w:val="32"/>
          <w:szCs w:val="32"/>
        </w:rPr>
        <w:t>。</w:t>
      </w:r>
      <w:bookmarkEnd w:id="40"/>
    </w:p>
    <w:p w:rsidR="006C66D4" w:rsidRDefault="00AD3B60">
      <w:pPr>
        <w:spacing w:line="600" w:lineRule="exact"/>
        <w:ind w:firstLineChars="200" w:firstLine="640"/>
        <w:rPr>
          <w:rFonts w:eastAsia="仿宋"/>
          <w:color w:val="000000"/>
          <w:sz w:val="32"/>
          <w:szCs w:val="32"/>
        </w:rPr>
      </w:pPr>
      <w:r>
        <w:rPr>
          <w:rFonts w:ascii="仿宋" w:eastAsia="仿宋" w:hAnsi="仿宋" w:hint="eastAsia"/>
          <w:sz w:val="32"/>
          <w:szCs w:val="32"/>
        </w:rPr>
        <w:t>（图2：收入决算结构图）（饼状图）</w:t>
      </w:r>
      <w:bookmarkStart w:id="41" w:name="_Toc52180077"/>
      <w:bookmarkStart w:id="42" w:name="_Toc15377207"/>
      <w:bookmarkStart w:id="43" w:name="_Toc15396605"/>
    </w:p>
    <w:p w:rsidR="006C66D4" w:rsidRDefault="00AD3B60">
      <w:pPr>
        <w:pStyle w:val="a8"/>
        <w:spacing w:before="225" w:beforeAutospacing="0" w:after="0" w:afterAutospacing="0" w:line="510" w:lineRule="atLeast"/>
        <w:jc w:val="both"/>
        <w:rPr>
          <w:rFonts w:eastAsia="仿宋"/>
          <w:color w:val="000000"/>
          <w:sz w:val="32"/>
          <w:szCs w:val="32"/>
        </w:rPr>
      </w:pPr>
      <w:r>
        <w:rPr>
          <w:rFonts w:eastAsia="仿宋"/>
          <w:color w:val="000000"/>
          <w:sz w:val="32"/>
          <w:szCs w:val="32"/>
        </w:rPr>
        <w:object w:dxaOrig="6968" w:dyaOrig="2827">
          <v:shape id="_x0000_i1025" type="#_x0000_t75" style="width:348.75pt;height:141pt" o:ole="">
            <v:imagedata r:id="rId12" o:title=""/>
          </v:shape>
          <o:OLEObject Type="Embed" ProgID="MSGraph.Chart.8" ShapeID="_x0000_i1025" DrawAspect="Content" ObjectID="_1796472654" r:id="rId13"/>
        </w:object>
      </w:r>
    </w:p>
    <w:p w:rsidR="006C66D4" w:rsidRDefault="00AD3B60">
      <w:pPr>
        <w:pStyle w:val="ad"/>
        <w:numPr>
          <w:ilvl w:val="0"/>
          <w:numId w:val="2"/>
        </w:numPr>
        <w:spacing w:line="600" w:lineRule="exact"/>
        <w:ind w:firstLineChars="0"/>
        <w:outlineLvl w:val="1"/>
        <w:rPr>
          <w:rStyle w:val="2Char"/>
          <w:rFonts w:ascii="黑体" w:eastAsia="黑体" w:hAnsi="黑体"/>
          <w:b w:val="0"/>
        </w:rPr>
      </w:pPr>
      <w:r>
        <w:rPr>
          <w:rFonts w:ascii="黑体" w:eastAsia="黑体" w:hAnsi="黑体" w:hint="eastAsia"/>
          <w:sz w:val="32"/>
          <w:szCs w:val="32"/>
        </w:rPr>
        <w:t>支</w:t>
      </w:r>
      <w:r>
        <w:rPr>
          <w:rStyle w:val="2Char"/>
          <w:rFonts w:ascii="黑体" w:eastAsia="黑体" w:hAnsi="黑体" w:hint="eastAsia"/>
          <w:b w:val="0"/>
        </w:rPr>
        <w:t>出决算情况说明</w:t>
      </w:r>
      <w:bookmarkEnd w:id="41"/>
      <w:bookmarkEnd w:id="42"/>
      <w:bookmarkEnd w:id="43"/>
    </w:p>
    <w:p w:rsidR="006C66D4" w:rsidRDefault="00AD3B60">
      <w:pPr>
        <w:spacing w:line="600" w:lineRule="exact"/>
        <w:ind w:firstLineChars="200" w:firstLine="640"/>
        <w:outlineLvl w:val="1"/>
        <w:rPr>
          <w:rFonts w:ascii="仿宋" w:eastAsia="仿宋" w:hAnsi="仿宋"/>
          <w:sz w:val="32"/>
          <w:szCs w:val="32"/>
        </w:rPr>
      </w:pPr>
      <w:bookmarkStart w:id="44" w:name="_Toc52180078"/>
      <w:r>
        <w:rPr>
          <w:rFonts w:ascii="仿宋" w:eastAsia="仿宋" w:hAnsi="仿宋"/>
          <w:sz w:val="32"/>
          <w:szCs w:val="32"/>
        </w:rPr>
        <w:t>20</w:t>
      </w:r>
      <w:r>
        <w:rPr>
          <w:rFonts w:ascii="仿宋" w:eastAsia="仿宋" w:hAnsi="仿宋" w:hint="eastAsia"/>
          <w:sz w:val="32"/>
          <w:szCs w:val="32"/>
        </w:rPr>
        <w:t>20年本年支出合计908.25万元，其中：基本支出492.37万元，占54.21</w:t>
      </w:r>
      <w:r>
        <w:rPr>
          <w:rFonts w:ascii="仿宋" w:eastAsia="仿宋" w:hAnsi="仿宋"/>
          <w:sz w:val="32"/>
          <w:szCs w:val="32"/>
        </w:rPr>
        <w:t>%</w:t>
      </w:r>
      <w:r>
        <w:rPr>
          <w:rFonts w:ascii="仿宋" w:eastAsia="仿宋" w:hAnsi="仿宋" w:hint="eastAsia"/>
          <w:sz w:val="32"/>
          <w:szCs w:val="32"/>
        </w:rPr>
        <w:t>；项目支出415.88万元，占45.79</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44"/>
    </w:p>
    <w:p w:rsidR="006C66D4" w:rsidRDefault="000A1F35">
      <w:pPr>
        <w:spacing w:line="600" w:lineRule="exact"/>
        <w:ind w:firstLineChars="200" w:firstLine="640"/>
        <w:rPr>
          <w:rFonts w:ascii="仿宋" w:eastAsia="仿宋" w:hAnsi="仿宋"/>
          <w:sz w:val="32"/>
          <w:szCs w:val="32"/>
        </w:rPr>
      </w:pPr>
      <w:r>
        <w:rPr>
          <w:rFonts w:eastAsia="仿宋"/>
          <w:color w:val="000000"/>
          <w:sz w:val="32"/>
          <w:szCs w:val="32"/>
        </w:rPr>
        <w:pict>
          <v:shape id="_x0000_s1027" type="#_x0000_t75" style="position:absolute;left:0;text-align:left;margin-left:-47.45pt;margin-top:30.3pt;width:481.05pt;height:170.45pt;z-index:251660288;mso-wrap-distance-top:0;mso-wrap-distance-bottom:0;mso-width-relative:page;mso-height-relative:page">
            <v:imagedata r:id="rId14" o:title=""/>
            <w10:wrap type="topAndBottom"/>
          </v:shape>
          <o:OLEObject Type="Embed" ProgID="MSGraph.Chart.8" ShapeID="_x0000_s1027" DrawAspect="Content" ObjectID="_1796472657" r:id="rId15"/>
        </w:pict>
      </w:r>
      <w:r w:rsidR="00AD3B60">
        <w:rPr>
          <w:rFonts w:ascii="仿宋" w:eastAsia="仿宋" w:hAnsi="仿宋" w:hint="eastAsia"/>
          <w:sz w:val="32"/>
          <w:szCs w:val="32"/>
        </w:rPr>
        <w:t>（图3：支出决算结构图）（饼状图）</w:t>
      </w:r>
    </w:p>
    <w:p w:rsidR="006C66D4" w:rsidRDefault="006C66D4">
      <w:pPr>
        <w:pStyle w:val="Default"/>
        <w:rPr>
          <w:rFonts w:ascii="仿宋_GB2312" w:eastAsia="仿宋_GB2312"/>
          <w:sz w:val="32"/>
          <w:szCs w:val="32"/>
        </w:rPr>
      </w:pPr>
    </w:p>
    <w:p w:rsidR="006C66D4" w:rsidRDefault="00AD3B60">
      <w:pPr>
        <w:spacing w:line="600" w:lineRule="exact"/>
        <w:ind w:firstLineChars="200" w:firstLine="640"/>
        <w:outlineLvl w:val="1"/>
        <w:rPr>
          <w:rStyle w:val="2Char"/>
          <w:rFonts w:ascii="黑体" w:eastAsia="黑体" w:hAnsi="黑体"/>
          <w:b w:val="0"/>
        </w:rPr>
      </w:pPr>
      <w:bookmarkStart w:id="45" w:name="_Toc15377208"/>
      <w:bookmarkStart w:id="46" w:name="_Toc52180079"/>
      <w:bookmarkStart w:id="47"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5"/>
      <w:bookmarkEnd w:id="46"/>
      <w:bookmarkEnd w:id="47"/>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2020年度</w:t>
      </w:r>
      <w:r>
        <w:rPr>
          <w:rFonts w:ascii="仿宋_GB2312" w:eastAsia="仿宋_GB2312" w:hAnsi="仿宋_GB2312" w:hint="eastAsia"/>
          <w:sz w:val="32"/>
          <w:szCs w:val="32"/>
        </w:rPr>
        <w:t>财政拨款收入总计908.25万元，比2019年增加360.13万元，增长65.7%。</w:t>
      </w:r>
      <w:r>
        <w:rPr>
          <w:rFonts w:ascii="仿宋" w:eastAsia="仿宋" w:hAnsi="仿宋" w:hint="eastAsia"/>
          <w:sz w:val="32"/>
          <w:szCs w:val="32"/>
        </w:rPr>
        <w:t>2020年度财政拨款</w:t>
      </w:r>
      <w:r>
        <w:rPr>
          <w:rFonts w:ascii="仿宋_GB2312" w:eastAsia="仿宋_GB2312" w:hAnsi="仿宋_GB2312" w:hint="eastAsia"/>
          <w:sz w:val="32"/>
          <w:szCs w:val="32"/>
        </w:rPr>
        <w:t>支出总计908.25万元，比2019年增加360.13万元，增长65.7%。</w:t>
      </w:r>
      <w:r>
        <w:rPr>
          <w:rFonts w:ascii="仿宋" w:eastAsia="仿宋" w:hAnsi="仿宋" w:hint="eastAsia"/>
          <w:sz w:val="32"/>
          <w:szCs w:val="32"/>
        </w:rPr>
        <w:t>主要变动原因是2020年安排项目收入支出。</w:t>
      </w: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6C66D4" w:rsidRDefault="000A1F35">
      <w:pPr>
        <w:spacing w:line="600" w:lineRule="exact"/>
        <w:ind w:firstLine="640"/>
        <w:rPr>
          <w:rFonts w:ascii="仿宋" w:eastAsia="仿宋" w:hAnsi="仿宋"/>
          <w:b/>
          <w:sz w:val="32"/>
          <w:szCs w:val="32"/>
        </w:rPr>
      </w:pPr>
      <w:r>
        <w:rPr>
          <w:rFonts w:ascii="TIME" w:hAnsi="TIME" w:cs="宋体"/>
          <w:color w:val="000000"/>
          <w:kern w:val="0"/>
          <w:sz w:val="30"/>
          <w:szCs w:val="30"/>
        </w:rPr>
        <w:pict>
          <v:shape id="_x0000_s1032" type="#_x0000_t75" style="position:absolute;left:0;text-align:left;margin-left:202.1pt;margin-top:14.35pt;width:272.35pt;height:153pt;z-index:251662336;mso-wrap-distance-top:0;mso-wrap-distance-bottom:0;mso-width-relative:page;mso-height-relative:page">
            <v:imagedata r:id="rId16" o:title=""/>
            <w10:wrap type="topAndBottom"/>
          </v:shape>
          <o:OLEObject Type="Embed" ProgID="MSGraph.Chart.8" ShapeID="_x0000_s1032" DrawAspect="Content" ObjectID="_1796472658" r:id="rId17"/>
        </w:pict>
      </w:r>
      <w:r>
        <w:rPr>
          <w:rFonts w:ascii="仿宋_GB2312" w:eastAsia="仿宋_GB2312" w:hAnsi="仿宋"/>
          <w:sz w:val="32"/>
          <w:szCs w:val="32"/>
        </w:rPr>
        <w:pict>
          <v:shape id="_x0000_s1033" type="#_x0000_t75" style="position:absolute;left:0;text-align:left;margin-left:-20.7pt;margin-top:13.35pt;width:231.8pt;height:154.35pt;z-index:251661312;mso-wrap-distance-top:0;mso-wrap-distance-bottom:0;mso-width-relative:page;mso-height-relative:page">
            <v:imagedata r:id="rId18" o:title=""/>
            <w10:wrap type="topAndBottom"/>
          </v:shape>
          <o:OLEObject Type="Embed" ProgID="MSGraph.Chart.8" ShapeID="_x0000_s1033" DrawAspect="Content" ObjectID="_1796472659" r:id="rId19"/>
        </w:pict>
      </w:r>
    </w:p>
    <w:p w:rsidR="006C66D4" w:rsidRDefault="00AD3B60">
      <w:pPr>
        <w:spacing w:line="600" w:lineRule="exact"/>
        <w:ind w:firstLineChars="200" w:firstLine="640"/>
        <w:outlineLvl w:val="1"/>
        <w:rPr>
          <w:rStyle w:val="2Char"/>
          <w:rFonts w:ascii="黑体" w:eastAsia="黑体" w:hAnsi="黑体"/>
          <w:b w:val="0"/>
        </w:rPr>
      </w:pPr>
      <w:bookmarkStart w:id="48" w:name="_Toc52180080"/>
      <w:bookmarkStart w:id="49" w:name="_Toc15377209"/>
      <w:bookmarkStart w:id="50"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8"/>
      <w:bookmarkEnd w:id="49"/>
      <w:bookmarkEnd w:id="50"/>
    </w:p>
    <w:p w:rsidR="006C66D4" w:rsidRDefault="00AD3B60">
      <w:pPr>
        <w:spacing w:line="600" w:lineRule="exact"/>
        <w:ind w:firstLineChars="200" w:firstLine="643"/>
        <w:outlineLvl w:val="2"/>
        <w:rPr>
          <w:rFonts w:ascii="仿宋" w:eastAsia="仿宋" w:hAnsi="仿宋"/>
          <w:b/>
          <w:sz w:val="32"/>
          <w:szCs w:val="32"/>
        </w:rPr>
      </w:pPr>
      <w:bookmarkStart w:id="51" w:name="_Toc15377210"/>
      <w:bookmarkStart w:id="52" w:name="_Toc52180081"/>
      <w:r>
        <w:rPr>
          <w:rFonts w:ascii="仿宋" w:eastAsia="仿宋" w:hAnsi="仿宋" w:hint="eastAsia"/>
          <w:b/>
          <w:sz w:val="32"/>
          <w:szCs w:val="32"/>
        </w:rPr>
        <w:t>（一）一般公共预算财政拨款支出决算总体情况</w:t>
      </w:r>
      <w:bookmarkEnd w:id="51"/>
      <w:bookmarkEnd w:id="52"/>
    </w:p>
    <w:p w:rsidR="006C66D4" w:rsidRDefault="00AD3B6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20年一般公共预算财政拨款支出908.25万元，占本年支出合计的100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9年相比，一般公共预算财政拨款增加360.13</w:t>
      </w:r>
      <w:r>
        <w:rPr>
          <w:rFonts w:ascii="仿宋_GB2312" w:eastAsia="仿宋_GB2312" w:hAnsi="仿宋_GB2312" w:hint="eastAsia"/>
          <w:sz w:val="32"/>
          <w:szCs w:val="32"/>
        </w:rPr>
        <w:t>万元，增长65.7%</w:t>
      </w:r>
      <w:r>
        <w:rPr>
          <w:rFonts w:ascii="仿宋" w:eastAsia="仿宋" w:hAnsi="仿宋" w:hint="eastAsia"/>
          <w:sz w:val="32"/>
          <w:szCs w:val="32"/>
        </w:rPr>
        <w:t>。主要变动原因是2020年安排项目收入支出。</w:t>
      </w:r>
    </w:p>
    <w:p w:rsidR="006C66D4" w:rsidRDefault="006C66D4">
      <w:pPr>
        <w:spacing w:line="600" w:lineRule="exact"/>
        <w:ind w:firstLineChars="200" w:firstLine="640"/>
        <w:rPr>
          <w:rFonts w:ascii="仿宋" w:eastAsia="仿宋" w:hAnsi="仿宋"/>
          <w:sz w:val="32"/>
          <w:szCs w:val="32"/>
        </w:rPr>
      </w:pP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6C66D4" w:rsidRDefault="006C66D4">
      <w:pPr>
        <w:pStyle w:val="Default"/>
        <w:rPr>
          <w:rFonts w:hAnsi="仿宋"/>
          <w:sz w:val="32"/>
          <w:szCs w:val="32"/>
        </w:rPr>
      </w:pPr>
    </w:p>
    <w:p w:rsidR="006C66D4" w:rsidRDefault="00AD3B60">
      <w:pPr>
        <w:pStyle w:val="Default"/>
        <w:rPr>
          <w:rFonts w:hAnsi="仿宋"/>
          <w:sz w:val="32"/>
          <w:szCs w:val="32"/>
        </w:rPr>
      </w:pPr>
      <w:r>
        <w:rPr>
          <w:rFonts w:hAnsi="仿宋" w:hint="eastAsia"/>
          <w:sz w:val="32"/>
          <w:szCs w:val="32"/>
        </w:rPr>
        <w:t xml:space="preserve">   </w:t>
      </w:r>
    </w:p>
    <w:p w:rsidR="006C66D4" w:rsidRDefault="00AD3B60">
      <w:pPr>
        <w:pStyle w:val="Default"/>
        <w:rPr>
          <w:rFonts w:hAnsi="仿宋"/>
          <w:b/>
          <w:sz w:val="32"/>
          <w:szCs w:val="32"/>
        </w:rPr>
      </w:pPr>
      <w:r>
        <w:rPr>
          <w:sz w:val="32"/>
          <w:szCs w:val="32"/>
        </w:rPr>
        <w:object w:dxaOrig="8491" w:dyaOrig="4532">
          <v:shape id="_x0000_i1026" type="#_x0000_t75" style="width:424.5pt;height:226.5pt" o:ole="">
            <v:imagedata r:id="rId20" o:title=""/>
          </v:shape>
          <o:OLEObject Type="Embed" ProgID="MSGraph.Chart.8" ShapeID="_x0000_i1026" DrawAspect="Content" ObjectID="_1796472655" r:id="rId21"/>
        </w:object>
      </w:r>
      <w:bookmarkStart w:id="53" w:name="_Toc52180082"/>
      <w:bookmarkStart w:id="54" w:name="_Toc15377211"/>
    </w:p>
    <w:p w:rsidR="006C66D4" w:rsidRDefault="00AD3B60">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53"/>
      <w:bookmarkEnd w:id="54"/>
    </w:p>
    <w:p w:rsidR="006C66D4" w:rsidRDefault="00AD3B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20年一般公共预算财政拨款支出908.25万元，主要用于以下方面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支出805.09万元，占88.64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支出59.74万元，占6.58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农林水（类）</w:t>
      </w:r>
      <w:r>
        <w:rPr>
          <w:rFonts w:ascii="仿宋" w:eastAsia="仿宋" w:hAnsi="仿宋" w:hint="eastAsia"/>
          <w:sz w:val="32"/>
          <w:szCs w:val="32"/>
        </w:rPr>
        <w:t>支出0.2万元，占0.02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w:t>
      </w:r>
      <w:r>
        <w:rPr>
          <w:rFonts w:ascii="仿宋" w:eastAsia="仿宋" w:hAnsi="仿宋" w:hint="eastAsia"/>
          <w:sz w:val="32"/>
          <w:szCs w:val="32"/>
        </w:rPr>
        <w:t>支出43.22万元，占4.76</w:t>
      </w:r>
      <w:r>
        <w:rPr>
          <w:rFonts w:ascii="仿宋" w:eastAsia="仿宋" w:hAnsi="仿宋"/>
          <w:sz w:val="32"/>
          <w:szCs w:val="32"/>
        </w:rPr>
        <w:t>%</w:t>
      </w:r>
      <w:r>
        <w:rPr>
          <w:rFonts w:ascii="仿宋" w:eastAsia="仿宋" w:hAnsi="仿宋" w:hint="eastAsia"/>
          <w:b/>
          <w:sz w:val="32"/>
          <w:szCs w:val="32"/>
        </w:rPr>
        <w:t>。</w:t>
      </w: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6C66D4" w:rsidRDefault="000A1F35">
      <w:pPr>
        <w:spacing w:line="600" w:lineRule="exact"/>
        <w:ind w:firstLineChars="200" w:firstLine="640"/>
        <w:outlineLvl w:val="2"/>
        <w:rPr>
          <w:rFonts w:ascii="仿宋" w:eastAsia="仿宋" w:hAnsi="仿宋"/>
          <w:b/>
          <w:sz w:val="32"/>
          <w:szCs w:val="32"/>
        </w:rPr>
      </w:pPr>
      <w:bookmarkStart w:id="55" w:name="_Toc15377212"/>
      <w:bookmarkStart w:id="56" w:name="_Toc52180083"/>
      <w:r>
        <w:rPr>
          <w:rFonts w:eastAsia="仿宋"/>
          <w:color w:val="000000"/>
          <w:sz w:val="32"/>
          <w:szCs w:val="32"/>
        </w:rPr>
        <w:pict>
          <v:shape id="_x0000_s1035" type="#_x0000_t75" style="position:absolute;left:0;text-align:left;margin-left:5.8pt;margin-top:5.5pt;width:407pt;height:232.8pt;z-index:-251653120;mso-width-relative:page;mso-height-relative:page" stroked="t" strokeweight=".5pt">
            <v:imagedata r:id="rId22" o:title=""/>
          </v:shape>
          <o:OLEObject Type="Embed" ProgID="MSGraph.Chart.8" ShapeID="_x0000_s1035" DrawAspect="Content" ObjectID="_1796472660" r:id="rId23"/>
        </w:pict>
      </w: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AD3B60">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55"/>
      <w:bookmarkEnd w:id="56"/>
    </w:p>
    <w:p w:rsidR="006C66D4" w:rsidRDefault="00AD3B60">
      <w:pPr>
        <w:spacing w:line="600" w:lineRule="exact"/>
        <w:ind w:firstLineChars="200" w:firstLine="643"/>
        <w:outlineLvl w:val="2"/>
        <w:rPr>
          <w:rFonts w:ascii="仿宋" w:eastAsia="仿宋" w:hAnsi="仿宋"/>
          <w:sz w:val="32"/>
          <w:szCs w:val="32"/>
        </w:rPr>
      </w:pPr>
      <w:bookmarkStart w:id="57" w:name="_Toc15377444"/>
      <w:bookmarkStart w:id="58" w:name="_Toc15378460"/>
      <w:bookmarkStart w:id="59" w:name="_Toc52180084"/>
      <w:bookmarkStart w:id="60" w:name="_Toc15377213"/>
      <w:r>
        <w:rPr>
          <w:rFonts w:ascii="仿宋" w:eastAsia="仿宋" w:hAnsi="仿宋" w:hint="eastAsia"/>
          <w:b/>
          <w:sz w:val="32"/>
          <w:szCs w:val="32"/>
        </w:rPr>
        <w:t>2020年般公共预算支出决算数为</w:t>
      </w:r>
      <w:r>
        <w:rPr>
          <w:rFonts w:ascii="仿宋" w:eastAsia="仿宋" w:hAnsi="仿宋" w:hint="eastAsia"/>
          <w:bCs/>
          <w:sz w:val="32"/>
          <w:szCs w:val="32"/>
        </w:rPr>
        <w:t>908.25万元</w:t>
      </w:r>
      <w:r>
        <w:rPr>
          <w:rFonts w:ascii="仿宋" w:eastAsia="仿宋" w:hAnsi="仿宋" w:hint="eastAsia"/>
          <w:sz w:val="32"/>
          <w:szCs w:val="32"/>
        </w:rPr>
        <w:t>，</w:t>
      </w:r>
      <w:r>
        <w:rPr>
          <w:rStyle w:val="aa"/>
          <w:rFonts w:ascii="仿宋" w:eastAsia="仿宋" w:hAnsi="仿宋" w:hint="eastAsia"/>
          <w:bCs/>
          <w:sz w:val="32"/>
          <w:szCs w:val="32"/>
        </w:rPr>
        <w:t>完成预算100</w:t>
      </w:r>
      <w:r>
        <w:rPr>
          <w:rStyle w:val="aa"/>
          <w:rFonts w:ascii="仿宋" w:eastAsia="仿宋" w:hAnsi="仿宋"/>
          <w:bCs/>
          <w:sz w:val="32"/>
          <w:szCs w:val="32"/>
        </w:rPr>
        <w:t>%</w:t>
      </w:r>
      <w:r>
        <w:rPr>
          <w:rStyle w:val="aa"/>
          <w:rFonts w:ascii="仿宋" w:eastAsia="仿宋" w:hAnsi="仿宋" w:hint="eastAsia"/>
          <w:bCs/>
          <w:sz w:val="32"/>
          <w:szCs w:val="32"/>
        </w:rPr>
        <w:t>。其中：</w:t>
      </w:r>
      <w:bookmarkEnd w:id="57"/>
      <w:bookmarkEnd w:id="58"/>
      <w:bookmarkEnd w:id="59"/>
      <w:bookmarkEnd w:id="60"/>
    </w:p>
    <w:p w:rsidR="006C66D4" w:rsidRDefault="00AD3B60">
      <w:pPr>
        <w:spacing w:line="600" w:lineRule="exact"/>
        <w:ind w:firstLineChars="200" w:firstLine="643"/>
        <w:rPr>
          <w:rFonts w:ascii="仿宋" w:eastAsia="仿宋" w:hAnsi="仿宋"/>
          <w:b/>
          <w:sz w:val="32"/>
          <w:szCs w:val="32"/>
        </w:rPr>
      </w:pPr>
      <w:bookmarkStart w:id="61" w:name="_Toc52180085"/>
      <w:bookmarkStart w:id="62" w:name="_Toc15377214"/>
      <w:bookmarkStart w:id="63" w:name="_Toc15396608"/>
      <w:r>
        <w:rPr>
          <w:rStyle w:val="aa"/>
          <w:rFonts w:ascii="仿宋" w:eastAsia="仿宋" w:hAnsi="仿宋"/>
          <w:bCs/>
          <w:sz w:val="32"/>
          <w:szCs w:val="32"/>
        </w:rPr>
        <w:t>1.</w:t>
      </w:r>
      <w:r>
        <w:rPr>
          <w:rStyle w:val="aa"/>
          <w:rFonts w:ascii="仿宋" w:eastAsia="仿宋" w:hAnsi="仿宋" w:hint="eastAsia"/>
          <w:bCs/>
          <w:sz w:val="32"/>
          <w:szCs w:val="32"/>
        </w:rPr>
        <w:t>一般公共服务（类）</w:t>
      </w:r>
      <w:r>
        <w:rPr>
          <w:rFonts w:ascii="仿宋_GB2312" w:eastAsia="仿宋_GB2312" w:hAnsi="仿宋_GB2312" w:cs="宋体" w:hint="eastAsia"/>
          <w:kern w:val="0"/>
          <w:sz w:val="32"/>
        </w:rPr>
        <w:t>人大事务</w:t>
      </w:r>
      <w:r>
        <w:rPr>
          <w:rStyle w:val="aa"/>
          <w:rFonts w:ascii="仿宋" w:eastAsia="仿宋" w:hAnsi="仿宋" w:hint="eastAsia"/>
          <w:bCs/>
          <w:sz w:val="32"/>
          <w:szCs w:val="32"/>
        </w:rPr>
        <w:t>（款）（项）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支出决算为805.09万元，完成预算100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，决算数与预算数持平。</w:t>
      </w:r>
    </w:p>
    <w:p w:rsidR="006C66D4" w:rsidRDefault="00AD3B60">
      <w:pPr>
        <w:spacing w:line="600" w:lineRule="exact"/>
        <w:ind w:firstLineChars="200" w:firstLine="643"/>
        <w:rPr>
          <w:rStyle w:val="aa"/>
          <w:rFonts w:ascii="仿宋" w:eastAsia="仿宋" w:hAnsi="仿宋"/>
          <w:b w:val="0"/>
          <w:bCs/>
          <w:sz w:val="32"/>
          <w:szCs w:val="32"/>
        </w:rPr>
      </w:pPr>
      <w:r>
        <w:rPr>
          <w:rStyle w:val="aa"/>
          <w:rFonts w:ascii="仿宋" w:eastAsia="仿宋" w:hAnsi="仿宋"/>
          <w:bCs/>
          <w:sz w:val="32"/>
          <w:szCs w:val="32"/>
        </w:rPr>
        <w:t>2.</w:t>
      </w:r>
      <w:r>
        <w:rPr>
          <w:rStyle w:val="aa"/>
          <w:rFonts w:ascii="仿宋" w:eastAsia="仿宋" w:hAnsi="仿宋" w:hint="eastAsia"/>
          <w:bCs/>
          <w:sz w:val="32"/>
          <w:szCs w:val="32"/>
        </w:rPr>
        <w:t>社会保障和就业（类）</w:t>
      </w:r>
      <w:r>
        <w:rPr>
          <w:rFonts w:ascii="仿宋_GB2312" w:eastAsia="仿宋_GB2312" w:hAnsi="仿宋_GB2312" w:cs="宋体" w:hint="eastAsia"/>
          <w:kern w:val="0"/>
          <w:sz w:val="32"/>
        </w:rPr>
        <w:t>行政事业单位离退休</w:t>
      </w:r>
      <w:r>
        <w:rPr>
          <w:rStyle w:val="aa"/>
          <w:rFonts w:ascii="仿宋" w:eastAsia="仿宋" w:hAnsi="仿宋" w:hint="eastAsia"/>
          <w:bCs/>
          <w:sz w:val="32"/>
          <w:szCs w:val="32"/>
        </w:rPr>
        <w:t>（款）（项）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支出决算为59.74万元，完成预算100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，决算数与预算数持平。</w:t>
      </w:r>
    </w:p>
    <w:p w:rsidR="006C66D4" w:rsidRDefault="00AD3B60">
      <w:pPr>
        <w:tabs>
          <w:tab w:val="right" w:pos="8306"/>
        </w:tabs>
        <w:spacing w:line="600" w:lineRule="exact"/>
        <w:ind w:firstLine="640"/>
        <w:outlineLvl w:val="1"/>
        <w:rPr>
          <w:rStyle w:val="aa"/>
          <w:rFonts w:ascii="仿宋" w:eastAsia="仿宋" w:hAnsi="仿宋"/>
          <w:b w:val="0"/>
          <w:bCs/>
          <w:sz w:val="32"/>
          <w:szCs w:val="32"/>
        </w:rPr>
      </w:pPr>
      <w:r>
        <w:rPr>
          <w:rStyle w:val="aa"/>
          <w:rFonts w:ascii="仿宋" w:eastAsia="仿宋" w:hAnsi="仿宋" w:hint="eastAsia"/>
          <w:b w:val="0"/>
          <w:bCs/>
          <w:sz w:val="32"/>
          <w:szCs w:val="32"/>
        </w:rPr>
        <w:t>3.</w:t>
      </w:r>
      <w:r>
        <w:rPr>
          <w:rFonts w:ascii="仿宋_GB2312" w:eastAsia="仿宋_GB2312" w:hAnsi="仿宋_GB2312" w:cs="宋体" w:hint="eastAsia"/>
          <w:kern w:val="0"/>
          <w:sz w:val="32"/>
        </w:rPr>
        <w:t xml:space="preserve"> 住房保障支出（类）住房改革支出（款）：</w:t>
      </w:r>
      <w:r>
        <w:rPr>
          <w:rStyle w:val="aa"/>
          <w:rFonts w:ascii="仿宋" w:eastAsia="仿宋" w:hAnsi="仿宋" w:hint="eastAsia"/>
          <w:b w:val="0"/>
          <w:bCs/>
          <w:sz w:val="32"/>
          <w:szCs w:val="32"/>
        </w:rPr>
        <w:t>支出决算为43.22万元，完成预算100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 xml:space="preserve">，决算数与预算数持平。 </w:t>
      </w:r>
    </w:p>
    <w:p w:rsidR="006C66D4" w:rsidRDefault="00AD3B60">
      <w:pPr>
        <w:tabs>
          <w:tab w:val="right" w:pos="8306"/>
        </w:tabs>
        <w:spacing w:line="600" w:lineRule="exact"/>
        <w:ind w:firstLine="640"/>
        <w:outlineLvl w:val="1"/>
        <w:rPr>
          <w:rStyle w:val="aa"/>
          <w:rFonts w:ascii="仿宋" w:eastAsia="仿宋" w:hAnsi="仿宋"/>
          <w:b w:val="0"/>
          <w:bCs/>
          <w:sz w:val="32"/>
          <w:szCs w:val="32"/>
        </w:rPr>
      </w:pPr>
      <w:r>
        <w:rPr>
          <w:rStyle w:val="aa"/>
          <w:rFonts w:ascii="仿宋" w:eastAsia="仿宋" w:hAnsi="仿宋" w:hint="eastAsia"/>
          <w:b w:val="0"/>
          <w:bCs/>
          <w:sz w:val="32"/>
          <w:szCs w:val="32"/>
        </w:rPr>
        <w:t>4、农业水（类）：支出决算为0.2万元，完成预算100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，决算数与预算数持平。</w:t>
      </w:r>
    </w:p>
    <w:p w:rsidR="006C66D4" w:rsidRDefault="00AD3B60">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1"/>
      <w:bookmarkEnd w:id="62"/>
      <w:bookmarkEnd w:id="63"/>
      <w:r>
        <w:rPr>
          <w:rStyle w:val="2Char"/>
          <w:rFonts w:ascii="黑体" w:eastAsia="黑体" w:hAnsi="黑体"/>
          <w:b w:val="0"/>
        </w:rPr>
        <w:tab/>
      </w:r>
    </w:p>
    <w:p w:rsidR="006C66D4" w:rsidRDefault="00AD3B6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20年一般公共预算财政拨款基本支出492.37万元，其中：</w:t>
      </w:r>
    </w:p>
    <w:p w:rsidR="006C66D4" w:rsidRDefault="00AD3B60">
      <w:pPr>
        <w:widowControl/>
        <w:shd w:val="clear" w:color="auto" w:fill="FFFFFF"/>
        <w:spacing w:line="600" w:lineRule="atLeast"/>
        <w:ind w:firstLine="645"/>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人员经费451.13万元，主要包括：基本工资、津贴补贴、奖金、其他社会保障缴费、绩效工资、机关事业单位基本养老保险缴费、其他工资福利支出、退休费、医疗费、奖励金、住房公积金。</w:t>
      </w:r>
    </w:p>
    <w:p w:rsidR="006C66D4" w:rsidRDefault="00AD3B60">
      <w:pPr>
        <w:widowControl/>
        <w:shd w:val="clear" w:color="auto" w:fill="FFFFFF"/>
        <w:spacing w:line="600" w:lineRule="atLeast"/>
        <w:ind w:firstLine="645"/>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 xml:space="preserve">　　公用经费41.24万元，主要包括：办公费、水费、邮电费、差旅费、维修费、培训费、公务接待费、劳务费、工会经费、福利费、公务用车运行维护费、其他交通费。</w:t>
      </w:r>
    </w:p>
    <w:p w:rsidR="006C66D4" w:rsidRDefault="00AD3B60">
      <w:pPr>
        <w:spacing w:line="600" w:lineRule="exact"/>
        <w:ind w:firstLine="640"/>
        <w:outlineLvl w:val="1"/>
        <w:rPr>
          <w:rStyle w:val="2Char"/>
          <w:rFonts w:ascii="黑体" w:eastAsia="黑体" w:hAnsi="黑体"/>
          <w:b w:val="0"/>
        </w:rPr>
      </w:pPr>
      <w:bookmarkStart w:id="64" w:name="_Toc15377215"/>
      <w:bookmarkStart w:id="65" w:name="_Toc52180086"/>
      <w:bookmarkStart w:id="66"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4"/>
      <w:bookmarkEnd w:id="65"/>
      <w:bookmarkEnd w:id="66"/>
    </w:p>
    <w:p w:rsidR="006C66D4" w:rsidRDefault="00AD3B60">
      <w:pPr>
        <w:spacing w:line="600" w:lineRule="exact"/>
        <w:ind w:firstLine="640"/>
        <w:outlineLvl w:val="2"/>
        <w:rPr>
          <w:rFonts w:ascii="仿宋" w:eastAsia="仿宋" w:hAnsi="仿宋"/>
          <w:b/>
          <w:sz w:val="32"/>
          <w:szCs w:val="32"/>
        </w:rPr>
      </w:pPr>
      <w:bookmarkStart w:id="67" w:name="_Toc52180087"/>
      <w:bookmarkStart w:id="68" w:name="_Toc15377216"/>
      <w:bookmarkStart w:id="69" w:name="_Toc15377218"/>
      <w:bookmarkStart w:id="70" w:name="_Toc52180089"/>
      <w:bookmarkStart w:id="71" w:name="_Toc15396610"/>
      <w:r>
        <w:rPr>
          <w:rFonts w:ascii="仿宋" w:eastAsia="仿宋" w:hAnsi="仿宋" w:hint="eastAsia"/>
          <w:b/>
          <w:sz w:val="32"/>
          <w:szCs w:val="32"/>
        </w:rPr>
        <w:t>（一）“三公”经费财政拨款支出决算总体情况说明</w:t>
      </w:r>
      <w:bookmarkEnd w:id="67"/>
      <w:bookmarkEnd w:id="68"/>
    </w:p>
    <w:p w:rsidR="006C66D4" w:rsidRDefault="00AD3B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20年“三公”经费财政拨款支出决算为0万元，完成预算0</w:t>
      </w:r>
      <w:r>
        <w:rPr>
          <w:rFonts w:ascii="仿宋" w:eastAsia="仿宋" w:hAnsi="仿宋"/>
          <w:sz w:val="32"/>
          <w:szCs w:val="32"/>
        </w:rPr>
        <w:t>%</w:t>
      </w:r>
      <w:r>
        <w:rPr>
          <w:rFonts w:ascii="仿宋" w:eastAsia="仿宋" w:hAnsi="仿宋" w:hint="eastAsia"/>
          <w:sz w:val="32"/>
          <w:szCs w:val="32"/>
        </w:rPr>
        <w:t>，决算数与预算数持平。</w:t>
      </w:r>
    </w:p>
    <w:p w:rsidR="006C66D4" w:rsidRDefault="00AD3B60">
      <w:pPr>
        <w:spacing w:line="600" w:lineRule="exact"/>
        <w:ind w:firstLine="640"/>
        <w:outlineLvl w:val="2"/>
        <w:rPr>
          <w:rFonts w:ascii="仿宋" w:eastAsia="仿宋" w:hAnsi="仿宋"/>
          <w:b/>
          <w:sz w:val="32"/>
          <w:szCs w:val="32"/>
        </w:rPr>
      </w:pPr>
      <w:bookmarkStart w:id="72" w:name="_Toc52180088"/>
      <w:bookmarkStart w:id="73" w:name="_Toc15377217"/>
      <w:r>
        <w:rPr>
          <w:rFonts w:ascii="仿宋" w:eastAsia="仿宋" w:hAnsi="仿宋" w:hint="eastAsia"/>
          <w:b/>
          <w:sz w:val="32"/>
          <w:szCs w:val="32"/>
        </w:rPr>
        <w:t>（二）“三公”经费财政拨款支出决算具体情况说明</w:t>
      </w:r>
      <w:bookmarkEnd w:id="72"/>
      <w:bookmarkEnd w:id="73"/>
    </w:p>
    <w:p w:rsidR="006C66D4" w:rsidRDefault="00AD3B60">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6C66D4" w:rsidRDefault="00AD3B60">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6C66D4" w:rsidRDefault="00AD3B60">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全年安排因公出国（境）团组0次，出国（境）0人。</w:t>
      </w:r>
    </w:p>
    <w:p w:rsidR="006C66D4" w:rsidRDefault="00AD3B6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主要原因是公务用车由机关服务中心统一管理。</w:t>
      </w:r>
    </w:p>
    <w:p w:rsidR="006C66D4" w:rsidRDefault="00AD3B60">
      <w:pPr>
        <w:spacing w:line="60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0万元。全年按规定更新购置公务用车0辆，金额0</w:t>
      </w:r>
      <w:r>
        <w:rPr>
          <w:rFonts w:ascii="仿宋_GB2312" w:eastAsia="仿宋_GB2312"/>
          <w:sz w:val="32"/>
          <w:szCs w:val="32"/>
        </w:rPr>
        <w:t>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月底，单位共有公务用车0辆。</w:t>
      </w:r>
    </w:p>
    <w:p w:rsidR="006C66D4" w:rsidRDefault="00AD3B6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6C66D4" w:rsidRDefault="00AD3B60">
      <w:pPr>
        <w:spacing w:line="600" w:lineRule="exact"/>
        <w:ind w:firstLine="640"/>
        <w:rPr>
          <w:rStyle w:val="aa"/>
          <w:rFonts w:ascii="仿宋" w:eastAsia="仿宋" w:hAnsi="仿宋"/>
          <w:b w:val="0"/>
          <w:bCs/>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6C66D4" w:rsidRDefault="00AD3B6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w:t>
      </w:r>
    </w:p>
    <w:p w:rsidR="006C66D4" w:rsidRDefault="00AD3B60">
      <w:pPr>
        <w:spacing w:line="600" w:lineRule="exact"/>
        <w:ind w:firstLine="640"/>
        <w:outlineLvl w:val="1"/>
        <w:rPr>
          <w:rStyle w:val="2Char"/>
          <w:rFonts w:ascii="黑体" w:eastAsia="黑体" w:hAnsi="黑体"/>
        </w:rPr>
      </w:pPr>
      <w:r>
        <w:rPr>
          <w:rFonts w:ascii="黑体" w:eastAsia="黑体" w:hint="eastAsia"/>
          <w:sz w:val="32"/>
          <w:szCs w:val="32"/>
        </w:rPr>
        <w:lastRenderedPageBreak/>
        <w:t>八、</w:t>
      </w:r>
      <w:r>
        <w:rPr>
          <w:rStyle w:val="2Char"/>
          <w:rFonts w:ascii="黑体" w:eastAsia="黑体" w:hAnsi="黑体" w:hint="eastAsia"/>
          <w:b w:val="0"/>
        </w:rPr>
        <w:t>政府性基金预算支出决算情况说明</w:t>
      </w:r>
      <w:bookmarkEnd w:id="69"/>
      <w:bookmarkEnd w:id="70"/>
      <w:bookmarkEnd w:id="71"/>
    </w:p>
    <w:p w:rsidR="006C66D4" w:rsidRDefault="00AD3B60">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9年政府性基金预算拨款支出0万元。</w:t>
      </w:r>
    </w:p>
    <w:p w:rsidR="006C66D4" w:rsidRDefault="00AD3B60">
      <w:pPr>
        <w:numPr>
          <w:ilvl w:val="0"/>
          <w:numId w:val="3"/>
        </w:numPr>
        <w:spacing w:line="600" w:lineRule="exact"/>
        <w:ind w:firstLine="640"/>
        <w:outlineLvl w:val="1"/>
        <w:rPr>
          <w:rStyle w:val="2Char"/>
          <w:rFonts w:ascii="黑体" w:eastAsia="黑体" w:hAnsi="黑体"/>
          <w:b w:val="0"/>
        </w:rPr>
      </w:pPr>
      <w:bookmarkStart w:id="74" w:name="_Toc52180090"/>
      <w:bookmarkStart w:id="75" w:name="_Toc15377219"/>
      <w:bookmarkStart w:id="76" w:name="_Toc15396611"/>
      <w:r>
        <w:rPr>
          <w:rStyle w:val="2Char"/>
          <w:rFonts w:ascii="黑体" w:eastAsia="黑体" w:hAnsi="黑体" w:hint="eastAsia"/>
          <w:b w:val="0"/>
        </w:rPr>
        <w:t>国有资本经营预算支出决算情况说明</w:t>
      </w:r>
      <w:bookmarkEnd w:id="74"/>
      <w:bookmarkEnd w:id="75"/>
      <w:bookmarkEnd w:id="76"/>
    </w:p>
    <w:p w:rsidR="006C66D4" w:rsidRDefault="00AD3B60">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9年国有资本经营预算拨款支出0万元。</w:t>
      </w:r>
    </w:p>
    <w:p w:rsidR="006C66D4" w:rsidRDefault="00AD3B60">
      <w:pPr>
        <w:spacing w:line="600" w:lineRule="exact"/>
        <w:ind w:firstLineChars="250" w:firstLine="800"/>
        <w:outlineLvl w:val="1"/>
        <w:rPr>
          <w:rStyle w:val="2Char"/>
          <w:rFonts w:ascii="黑体" w:eastAsia="黑体" w:hAnsi="黑体"/>
        </w:rPr>
      </w:pPr>
      <w:bookmarkStart w:id="77" w:name="_Toc52180091"/>
      <w:bookmarkStart w:id="78" w:name="_Toc15396612"/>
      <w:bookmarkStart w:id="79" w:name="_Toc15377221"/>
      <w:r>
        <w:rPr>
          <w:rFonts w:ascii="黑体" w:eastAsia="黑体" w:hAnsi="黑体" w:hint="eastAsia"/>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7"/>
      <w:bookmarkEnd w:id="78"/>
      <w:bookmarkEnd w:id="79"/>
    </w:p>
    <w:p w:rsidR="006C66D4" w:rsidRDefault="00AD3B60">
      <w:pPr>
        <w:spacing w:line="600" w:lineRule="exact"/>
        <w:ind w:firstLineChars="200" w:firstLine="643"/>
        <w:outlineLvl w:val="2"/>
        <w:rPr>
          <w:rFonts w:ascii="仿宋" w:eastAsia="仿宋" w:hAnsi="仿宋"/>
          <w:sz w:val="32"/>
          <w:szCs w:val="32"/>
        </w:rPr>
      </w:pPr>
      <w:bookmarkStart w:id="80" w:name="_Toc52180092"/>
      <w:bookmarkStart w:id="81" w:name="_Toc15377222"/>
      <w:r>
        <w:rPr>
          <w:rFonts w:ascii="仿宋" w:eastAsia="仿宋" w:hAnsi="仿宋" w:hint="eastAsia"/>
          <w:b/>
          <w:sz w:val="32"/>
          <w:szCs w:val="32"/>
        </w:rPr>
        <w:t>（一）机关运行经费支出情况</w:t>
      </w:r>
      <w:bookmarkEnd w:id="80"/>
      <w:bookmarkEnd w:id="81"/>
    </w:p>
    <w:p w:rsidR="006C66D4" w:rsidRDefault="00AD3B6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20年，盐边县人大办机关运行经费支出41.2万元，比</w:t>
      </w:r>
      <w:r>
        <w:rPr>
          <w:rFonts w:ascii="仿宋_GB2312" w:eastAsia="仿宋_GB2312"/>
          <w:sz w:val="32"/>
          <w:szCs w:val="32"/>
        </w:rPr>
        <w:t>201</w:t>
      </w:r>
      <w:r>
        <w:rPr>
          <w:rFonts w:ascii="仿宋_GB2312" w:eastAsia="仿宋_GB2312" w:hint="eastAsia"/>
          <w:sz w:val="32"/>
          <w:szCs w:val="32"/>
        </w:rPr>
        <w:t>9年增加2.28万元，增长5.87</w:t>
      </w:r>
      <w:r>
        <w:rPr>
          <w:rFonts w:ascii="仿宋_GB2312" w:eastAsia="仿宋_GB2312"/>
          <w:sz w:val="32"/>
          <w:szCs w:val="32"/>
        </w:rPr>
        <w:t>%</w:t>
      </w:r>
      <w:r>
        <w:rPr>
          <w:rFonts w:ascii="仿宋_GB2312" w:eastAsia="仿宋_GB2312" w:hint="eastAsia"/>
          <w:sz w:val="32"/>
          <w:szCs w:val="32"/>
        </w:rPr>
        <w:t>。主要原因是人员增加，经费支出相应增加。</w:t>
      </w:r>
    </w:p>
    <w:p w:rsidR="006C66D4" w:rsidRDefault="00AD3B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2" w:name="_Toc15377223"/>
      <w:bookmarkStart w:id="83" w:name="_Toc52180093"/>
      <w:r>
        <w:rPr>
          <w:rFonts w:ascii="仿宋" w:eastAsia="仿宋" w:hAnsi="仿宋" w:hint="eastAsia"/>
          <w:b/>
          <w:sz w:val="32"/>
          <w:szCs w:val="32"/>
        </w:rPr>
        <w:t>（二）政府采购支出情况</w:t>
      </w:r>
      <w:bookmarkEnd w:id="82"/>
      <w:bookmarkEnd w:id="83"/>
    </w:p>
    <w:p w:rsidR="006C66D4" w:rsidRDefault="00AD3B6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20年，政府采购支出总额0万元。</w:t>
      </w:r>
    </w:p>
    <w:p w:rsidR="006C66D4" w:rsidRDefault="00AD3B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4" w:name="_Toc52180094"/>
      <w:bookmarkStart w:id="85" w:name="_Toc15377224"/>
      <w:r>
        <w:rPr>
          <w:rFonts w:ascii="仿宋" w:eastAsia="仿宋" w:hAnsi="仿宋" w:hint="eastAsia"/>
          <w:b/>
          <w:sz w:val="32"/>
          <w:szCs w:val="32"/>
        </w:rPr>
        <w:t>（三）国有资产占有使用情况</w:t>
      </w:r>
      <w:bookmarkEnd w:id="84"/>
      <w:bookmarkEnd w:id="85"/>
    </w:p>
    <w:p w:rsidR="006C66D4" w:rsidRDefault="00AD3B60">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日，共有车辆0辆。</w:t>
      </w:r>
    </w:p>
    <w:p w:rsidR="006C66D4" w:rsidRDefault="00AD3B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6" w:name="_Toc52180095"/>
      <w:r>
        <w:rPr>
          <w:rFonts w:ascii="仿宋" w:eastAsia="仿宋" w:hAnsi="仿宋" w:hint="eastAsia"/>
          <w:b/>
          <w:sz w:val="32"/>
          <w:szCs w:val="32"/>
        </w:rPr>
        <w:t>（四）预算绩效管理情况。</w:t>
      </w:r>
      <w:bookmarkEnd w:id="86"/>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根据预算绩效管理要求，本部门（单位）在预算编制、申报阶段，组织对2个项目编制了绩效目标，预算执行过程中，选取2个项目开展绩效监控，年终执行完毕后，对2个项目开展了绩效目标完成情况自评。</w:t>
      </w:r>
    </w:p>
    <w:p w:rsidR="006C66D4" w:rsidRDefault="00AD3B60">
      <w:pPr>
        <w:spacing w:line="580" w:lineRule="exact"/>
        <w:ind w:firstLineChars="200" w:firstLine="660"/>
        <w:rPr>
          <w:rFonts w:ascii="仿宋_GB2312" w:eastAsia="仿宋_GB2312" w:hAnsi="仿宋_GB2312"/>
          <w:sz w:val="32"/>
          <w:szCs w:val="32"/>
        </w:rPr>
      </w:pPr>
      <w:r>
        <w:rPr>
          <w:rFonts w:ascii="仿宋_GB2312" w:eastAsia="仿宋_GB2312" w:hAnsi="仿宋_GB2312" w:cs="仿宋_GB2312" w:hint="eastAsia"/>
          <w:sz w:val="33"/>
          <w:szCs w:val="33"/>
        </w:rPr>
        <w:t>本部门按要求对2020年部门整体支出开展绩效自评，从评价情况来看：</w:t>
      </w:r>
      <w:r>
        <w:rPr>
          <w:rFonts w:ascii="仿宋_GB2312" w:eastAsia="仿宋_GB2312" w:hint="eastAsia"/>
          <w:spacing w:val="6"/>
          <w:sz w:val="32"/>
          <w:szCs w:val="32"/>
        </w:rPr>
        <w:t>绩效目标要素完整，指标量化，部门绩效目标实际实现程度与预期目标相符。</w:t>
      </w:r>
      <w:r>
        <w:rPr>
          <w:rFonts w:ascii="仿宋_GB2312" w:eastAsia="仿宋_GB2312" w:hAnsi="仿宋_GB2312" w:cs="仿宋_GB2312" w:hint="eastAsia"/>
          <w:sz w:val="33"/>
          <w:szCs w:val="33"/>
        </w:rPr>
        <w:t>2</w:t>
      </w:r>
      <w:r>
        <w:rPr>
          <w:rFonts w:ascii="仿宋" w:eastAsia="仿宋" w:hAnsi="仿宋" w:cs="仿宋"/>
          <w:sz w:val="33"/>
          <w:szCs w:val="33"/>
        </w:rPr>
        <w:t>0</w:t>
      </w:r>
      <w:r>
        <w:rPr>
          <w:rFonts w:ascii="仿宋" w:eastAsia="仿宋" w:hAnsi="仿宋" w:cs="仿宋" w:hint="eastAsia"/>
          <w:sz w:val="33"/>
          <w:szCs w:val="33"/>
        </w:rPr>
        <w:t>20年我单位按绩效评价指标进行分析，人员经费和办公经费有效的保证了办公的日常需要，完成了各项工作目标任务，项目经费达</w:t>
      </w:r>
      <w:r>
        <w:rPr>
          <w:rFonts w:ascii="仿宋" w:eastAsia="仿宋" w:hAnsi="仿宋" w:cs="仿宋" w:hint="eastAsia"/>
          <w:sz w:val="33"/>
          <w:szCs w:val="33"/>
        </w:rPr>
        <w:lastRenderedPageBreak/>
        <w:t>到了预期的效益。</w:t>
      </w:r>
      <w:r>
        <w:rPr>
          <w:rFonts w:ascii="仿宋_GB2312" w:eastAsia="仿宋_GB2312" w:hint="eastAsia"/>
          <w:spacing w:val="6"/>
          <w:sz w:val="32"/>
          <w:szCs w:val="32"/>
        </w:rPr>
        <w:t>部门年初预算编制较为准确，基本支出与项目支出预算控制情况良好</w:t>
      </w:r>
      <w:r>
        <w:rPr>
          <w:rFonts w:ascii="仿宋_GB2312" w:eastAsia="仿宋_GB2312" w:hAnsi="仿宋_GB2312" w:cs="仿宋_GB2312" w:hint="eastAsia"/>
          <w:sz w:val="32"/>
          <w:szCs w:val="32"/>
        </w:rPr>
        <w:t>，较好地完成了年度绩效目标管理工作。</w:t>
      </w:r>
    </w:p>
    <w:p w:rsidR="006C66D4" w:rsidRDefault="00AD3B6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1.项目绩效目标完成情况。</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本部门在2020年度部门决算中反映“人大会议费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“代表工作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等2个项目绩效目标实际完成情况。（本单位部门项目绩效目标个数在5个以上的，选取5个项目进行公开，目标个数在5个以下的，全部进行公开，公开内容包括选取的全部项目完成情况综述和完成情况表）。</w:t>
      </w:r>
    </w:p>
    <w:p w:rsidR="006C66D4" w:rsidRDefault="00AD3B60">
      <w:pPr>
        <w:spacing w:line="58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（1）人大会议费项目绩效目标完成情况综述。项目全年预算数152.45万元，执行数为152.45万元，完成预算的100%。通过项目实施，</w:t>
      </w:r>
      <w:r>
        <w:rPr>
          <w:rFonts w:ascii="仿宋" w:eastAsia="仿宋" w:hAnsi="仿宋" w:hint="eastAsia"/>
          <w:sz w:val="32"/>
          <w:szCs w:val="32"/>
        </w:rPr>
        <w:t>保障了县十八届人民代表大会第五次会议的会议室租金、参会人员住宿和用餐费用、会议资料印刷费等，促进了县十八届人民代表大会第五次会议的圆满召开，发现的主要问题：无。下一步改进措施：无。</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代表工作项目绩效目标完成情况综述。项目全年预算数26.68万元，执行数为26.68万元，完成预算的100%。通过项目实施，1、强化代表履职担当，着力打造代表之家、代表述职评议、代表视察调研“三个平台”。在巩固16个“人大代表之家”建设的基础上，创建“人大代表工作站”19个，“省人大代表工作室”1个，开展人大代表活动136人次，接待选民群众573人次。2、加强建议督办。代表提出建议66件，全部办结。把事关民生综合性强的4件建议作为重点督办，有效提升代表建议办理质量。3、开展述职</w:t>
      </w:r>
      <w:r>
        <w:rPr>
          <w:rFonts w:ascii="仿宋_GB2312" w:eastAsia="仿宋_GB2312" w:hAnsi="仿宋_GB2312" w:cs="仿宋_GB2312" w:hint="eastAsia"/>
          <w:sz w:val="32"/>
          <w:szCs w:val="32"/>
        </w:rPr>
        <w:lastRenderedPageBreak/>
        <w:t>评议。县人大代表述职评议45人，乡镇人大代表述职252人。4、拓展知情渠道。全县共邀请省市县人大代表21人次</w:t>
      </w:r>
      <w:proofErr w:type="gramStart"/>
      <w:r>
        <w:rPr>
          <w:rFonts w:ascii="仿宋_GB2312" w:eastAsia="仿宋_GB2312" w:hAnsi="仿宋_GB2312" w:cs="仿宋_GB2312" w:hint="eastAsia"/>
          <w:sz w:val="32"/>
          <w:szCs w:val="32"/>
        </w:rPr>
        <w:t>列席县</w:t>
      </w:r>
      <w:proofErr w:type="gramEnd"/>
      <w:r>
        <w:rPr>
          <w:rFonts w:ascii="仿宋_GB2312" w:eastAsia="仿宋_GB2312" w:hAnsi="仿宋_GB2312" w:cs="仿宋_GB2312" w:hint="eastAsia"/>
          <w:sz w:val="32"/>
          <w:szCs w:val="32"/>
        </w:rPr>
        <w:t>人大常委会议、85人次参加县人大常委会组织的调研、执法检查和专项视察活动，代表的责任意识进一步增强。</w:t>
      </w:r>
      <w:r>
        <w:rPr>
          <w:rFonts w:ascii="仿宋" w:eastAsia="仿宋" w:hAnsi="仿宋" w:hint="eastAsia"/>
          <w:sz w:val="32"/>
          <w:szCs w:val="32"/>
        </w:rPr>
        <w:t>让人大代表和人大机关干部学习了解人民代表大会制度、人大监督工作，掌握代表履职所需的有关法律知识和其他专业知识，提高了人大代表和人大机关干部依法履职的能力和水平，发现的主要问题：无。下一步改进措施：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461"/>
        <w:gridCol w:w="1296"/>
        <w:gridCol w:w="1025"/>
        <w:gridCol w:w="2494"/>
        <w:gridCol w:w="2292"/>
        <w:gridCol w:w="2392"/>
      </w:tblGrid>
      <w:tr w:rsidR="006C66D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C66D4" w:rsidRDefault="00AD3B60">
            <w:pPr>
              <w:widowControl/>
              <w:jc w:val="center"/>
              <w:textAlignment w:val="center"/>
              <w:rPr>
                <w:rFonts w:ascii="宋体" w:hAnsi="宋体" w:cs="宋体"/>
                <w:b/>
                <w:bCs/>
                <w:kern w:val="0"/>
                <w:sz w:val="36"/>
                <w:szCs w:val="36"/>
              </w:rPr>
            </w:pPr>
            <w:r>
              <w:rPr>
                <w:rFonts w:ascii="宋体" w:hAnsi="宋体" w:cs="宋体" w:hint="eastAsia"/>
                <w:b/>
                <w:bCs/>
                <w:kern w:val="0"/>
                <w:sz w:val="36"/>
                <w:szCs w:val="36"/>
              </w:rPr>
              <w:t>项目绩效目标完成情况表</w:t>
            </w:r>
          </w:p>
          <w:p w:rsidR="006C66D4" w:rsidRDefault="00AD3B60">
            <w:pPr>
              <w:widowControl/>
              <w:jc w:val="center"/>
              <w:textAlignment w:val="center"/>
              <w:rPr>
                <w:rFonts w:ascii="宋体" w:hAnsi="宋体" w:cs="宋体"/>
                <w:sz w:val="36"/>
                <w:szCs w:val="36"/>
              </w:rPr>
            </w:pPr>
            <w:r>
              <w:rPr>
                <w:rFonts w:ascii="宋体" w:hAnsi="宋体" w:cs="宋体" w:hint="eastAsia"/>
                <w:kern w:val="0"/>
                <w:sz w:val="36"/>
                <w:szCs w:val="36"/>
              </w:rPr>
              <w:t>(2020年度)</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仿宋_GB2312" w:eastAsia="仿宋_GB2312" w:hAnsi="仿宋_GB2312" w:cs="仿宋_GB2312" w:hint="eastAsia"/>
                <w:sz w:val="32"/>
                <w:szCs w:val="32"/>
              </w:rPr>
              <w:t>人大会议费</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县人大常委会办公室</w:t>
            </w: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59.8万元</w:t>
            </w:r>
          </w:p>
        </w:tc>
      </w:tr>
      <w:tr w:rsidR="006C66D4">
        <w:trPr>
          <w:trHeight w:val="276"/>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59.8万元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59.8万元</w:t>
            </w:r>
          </w:p>
        </w:tc>
      </w:tr>
      <w:tr w:rsidR="006C66D4">
        <w:trPr>
          <w:trHeight w:val="1511"/>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年度目标完成情况</w:t>
            </w: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预期目标</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实际完成目标</w:t>
            </w:r>
          </w:p>
        </w:tc>
      </w:tr>
      <w:tr w:rsidR="006C66D4">
        <w:trPr>
          <w:trHeight w:val="1159"/>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Cs w:val="21"/>
              </w:rPr>
              <w:t>专项用于召开县十八届第五次会议胜利召开、人大常委会议、代表视察等费用开支。</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Cs w:val="21"/>
              </w:rPr>
              <w:t>全年共召开人民代表大会1次、常委会会议8次、主任会议14次，听取审议“一府两院”专项工作报告23个，</w:t>
            </w:r>
            <w:proofErr w:type="gramStart"/>
            <w:r>
              <w:rPr>
                <w:rFonts w:ascii="宋体" w:hAnsi="宋体" w:cs="宋体" w:hint="eastAsia"/>
                <w:szCs w:val="21"/>
              </w:rPr>
              <w:t>作出</w:t>
            </w:r>
            <w:proofErr w:type="gramEnd"/>
            <w:r>
              <w:rPr>
                <w:rFonts w:ascii="宋体" w:hAnsi="宋体" w:cs="宋体" w:hint="eastAsia"/>
                <w:szCs w:val="21"/>
              </w:rPr>
              <w:t>决议决定16项，提出审议意见4件，依法任免国家机关工作人员92人次、任命人民陪审员57人次，组织视察、执法检查、专题调研21次，专题询问1次，评议政府工作部门1个，督办代表建议、批评、意见66件。在视察调研和听取审议工作中涉及经济领域 8项、社会领域13项、生态环保领域 2项。对已</w:t>
            </w:r>
            <w:proofErr w:type="gramStart"/>
            <w:r>
              <w:rPr>
                <w:rFonts w:ascii="宋体" w:hAnsi="宋体" w:cs="宋体" w:hint="eastAsia"/>
                <w:szCs w:val="21"/>
              </w:rPr>
              <w:t>作出</w:t>
            </w:r>
            <w:proofErr w:type="gramEnd"/>
            <w:r>
              <w:rPr>
                <w:rFonts w:ascii="宋体" w:hAnsi="宋体" w:cs="宋体" w:hint="eastAsia"/>
                <w:szCs w:val="21"/>
              </w:rPr>
              <w:t>的3件评议和审议意见进行跟踪监督。各项工作取得新进展、新成效，年度工作计划全面完成</w:t>
            </w:r>
            <w:r>
              <w:rPr>
                <w:rFonts w:ascii="宋体" w:hAnsi="宋体" w:cs="宋体" w:hint="eastAsia"/>
                <w:sz w:val="24"/>
              </w:rPr>
              <w:t>。</w:t>
            </w:r>
          </w:p>
        </w:tc>
      </w:tr>
      <w:tr w:rsidR="006C66D4">
        <w:trPr>
          <w:trHeight w:val="1042"/>
          <w:jc w:val="center"/>
        </w:trPr>
        <w:tc>
          <w:tcPr>
            <w:tcW w:w="4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二级指标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三级指标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6C66D4">
        <w:trPr>
          <w:trHeight w:val="803"/>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数量指标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资金总额</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支付人大会议费152.45万元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支付人大会议费152.45万元</w:t>
            </w:r>
          </w:p>
        </w:tc>
      </w:tr>
      <w:tr w:rsidR="006C66D4">
        <w:trPr>
          <w:trHeight w:val="817"/>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工作完成率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w:t>
            </w:r>
            <w:r>
              <w:rPr>
                <w:rFonts w:ascii="宋体" w:hAnsi="宋体" w:cs="宋体"/>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完成</w:t>
            </w:r>
            <w:r>
              <w:rPr>
                <w:rFonts w:ascii="宋体" w:hAnsi="宋体" w:cs="宋体"/>
                <w:kern w:val="0"/>
                <w:sz w:val="24"/>
              </w:rPr>
              <w:t>100%</w:t>
            </w:r>
          </w:p>
        </w:tc>
      </w:tr>
      <w:tr w:rsidR="006C66D4">
        <w:trPr>
          <w:trHeight w:val="845"/>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资金支付率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w:t>
            </w:r>
            <w:r>
              <w:rPr>
                <w:rFonts w:ascii="宋体" w:hAnsi="宋体" w:cs="宋体"/>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资金支付</w:t>
            </w:r>
            <w:r>
              <w:rPr>
                <w:rFonts w:ascii="宋体" w:hAnsi="宋体" w:cs="宋体"/>
                <w:kern w:val="0"/>
                <w:sz w:val="24"/>
              </w:rPr>
              <w:t>100%</w:t>
            </w:r>
          </w:p>
        </w:tc>
      </w:tr>
      <w:tr w:rsidR="006C66D4">
        <w:trPr>
          <w:trHeight w:val="717"/>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时效指标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完成时限</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完成时限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kern w:val="0"/>
                <w:sz w:val="24"/>
              </w:rPr>
              <w:t>20</w:t>
            </w:r>
            <w:r>
              <w:rPr>
                <w:rFonts w:ascii="宋体" w:hAnsi="宋体" w:cs="宋体" w:hint="eastAsia"/>
                <w:kern w:val="0"/>
                <w:sz w:val="24"/>
              </w:rPr>
              <w:t>20年</w:t>
            </w:r>
            <w:r>
              <w:rPr>
                <w:rFonts w:ascii="宋体" w:hAnsi="宋体" w:cs="宋体"/>
                <w:kern w:val="0"/>
                <w:sz w:val="24"/>
              </w:rPr>
              <w:t>1-12</w:t>
            </w:r>
            <w:r>
              <w:rPr>
                <w:rFonts w:ascii="宋体" w:hAnsi="宋体" w:cs="宋体" w:hint="eastAsia"/>
                <w:kern w:val="0"/>
                <w:sz w:val="24"/>
              </w:rPr>
              <w:t>月</w:t>
            </w:r>
          </w:p>
        </w:tc>
      </w:tr>
      <w:tr w:rsidR="006C66D4">
        <w:trPr>
          <w:trHeight w:val="1050"/>
          <w:jc w:val="center"/>
        </w:trPr>
        <w:tc>
          <w:tcPr>
            <w:tcW w:w="46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满意度指标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参会人员的满意度</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 w:val="32"/>
                <w:szCs w:val="32"/>
              </w:rPr>
            </w:pPr>
            <w:r>
              <w:rPr>
                <w:rFonts w:ascii="宋体" w:cs="宋体" w:hint="eastAsia"/>
                <w:sz w:val="24"/>
              </w:rPr>
              <w:t>〉90</w:t>
            </w:r>
            <w:r>
              <w:rPr>
                <w:rFonts w:ascii="宋体" w:cs="宋体"/>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 w:val="32"/>
                <w:szCs w:val="32"/>
              </w:rPr>
            </w:pPr>
            <w:r>
              <w:rPr>
                <w:rFonts w:ascii="宋体" w:cs="宋体" w:hint="eastAsia"/>
                <w:sz w:val="24"/>
              </w:rPr>
              <w:t>〉90</w:t>
            </w:r>
            <w:r>
              <w:rPr>
                <w:rFonts w:ascii="宋体" w:cs="宋体"/>
                <w:sz w:val="24"/>
              </w:rPr>
              <w:t>%</w:t>
            </w:r>
          </w:p>
        </w:tc>
      </w:tr>
      <w:tr w:rsidR="006C66D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C66D4" w:rsidRDefault="006C66D4">
            <w:pPr>
              <w:widowControl/>
              <w:jc w:val="center"/>
              <w:textAlignment w:val="center"/>
              <w:rPr>
                <w:rFonts w:ascii="宋体" w:hAnsi="宋体" w:cs="宋体"/>
                <w:b/>
                <w:bCs/>
                <w:kern w:val="0"/>
                <w:sz w:val="36"/>
                <w:szCs w:val="36"/>
              </w:rPr>
            </w:pPr>
          </w:p>
          <w:p w:rsidR="006C66D4" w:rsidRDefault="006C66D4">
            <w:pPr>
              <w:pStyle w:val="Default"/>
              <w:rPr>
                <w:rFonts w:ascii="宋体" w:hAnsi="宋体" w:cs="宋体"/>
                <w:b/>
                <w:bCs/>
                <w:color w:val="auto"/>
                <w:sz w:val="36"/>
                <w:szCs w:val="36"/>
              </w:rPr>
            </w:pPr>
          </w:p>
          <w:p w:rsidR="006C66D4" w:rsidRDefault="006C66D4">
            <w:pPr>
              <w:pStyle w:val="Default"/>
              <w:rPr>
                <w:rFonts w:ascii="宋体" w:hAnsi="宋体" w:cs="宋体"/>
                <w:b/>
                <w:bCs/>
                <w:color w:val="auto"/>
                <w:sz w:val="36"/>
                <w:szCs w:val="36"/>
              </w:rPr>
            </w:pPr>
          </w:p>
          <w:p w:rsidR="006C66D4" w:rsidRDefault="00AD3B60">
            <w:pPr>
              <w:widowControl/>
              <w:jc w:val="center"/>
              <w:textAlignment w:val="center"/>
              <w:rPr>
                <w:rFonts w:ascii="宋体" w:hAnsi="宋体" w:cs="宋体"/>
                <w:b/>
                <w:bCs/>
                <w:kern w:val="0"/>
                <w:sz w:val="36"/>
                <w:szCs w:val="36"/>
              </w:rPr>
            </w:pPr>
            <w:r>
              <w:rPr>
                <w:rFonts w:ascii="宋体" w:hAnsi="宋体" w:cs="宋体" w:hint="eastAsia"/>
                <w:b/>
                <w:bCs/>
                <w:kern w:val="0"/>
                <w:sz w:val="36"/>
                <w:szCs w:val="36"/>
              </w:rPr>
              <w:t>项目绩效目标完成情况表</w:t>
            </w:r>
          </w:p>
          <w:p w:rsidR="006C66D4" w:rsidRDefault="00AD3B60">
            <w:pPr>
              <w:widowControl/>
              <w:jc w:val="center"/>
              <w:textAlignment w:val="center"/>
              <w:rPr>
                <w:rFonts w:ascii="宋体" w:hAnsi="宋体" w:cs="宋体"/>
                <w:sz w:val="36"/>
                <w:szCs w:val="36"/>
              </w:rPr>
            </w:pPr>
            <w:r>
              <w:rPr>
                <w:rFonts w:ascii="宋体" w:hAnsi="宋体" w:cs="宋体" w:hint="eastAsia"/>
                <w:kern w:val="0"/>
                <w:sz w:val="36"/>
                <w:szCs w:val="36"/>
              </w:rPr>
              <w:t>(2020 年度)</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代表工作</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县人大常委会办公室</w:t>
            </w: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r>
      <w:tr w:rsidR="006C66D4">
        <w:trPr>
          <w:trHeight w:val="276"/>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r>
      <w:tr w:rsidR="006C66D4">
        <w:trPr>
          <w:trHeight w:val="1511"/>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年度目标完成</w:t>
            </w:r>
            <w:r>
              <w:rPr>
                <w:rFonts w:ascii="宋体" w:hAnsi="宋体" w:cs="宋体" w:hint="eastAsia"/>
                <w:kern w:val="0"/>
                <w:sz w:val="24"/>
              </w:rPr>
              <w:lastRenderedPageBreak/>
              <w:t>情况</w:t>
            </w: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lastRenderedPageBreak/>
              <w:t>预期目标</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实际完成目标</w:t>
            </w:r>
          </w:p>
        </w:tc>
      </w:tr>
      <w:tr w:rsidR="006C66D4">
        <w:trPr>
          <w:trHeight w:val="1159"/>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18"/>
                <w:szCs w:val="18"/>
              </w:rPr>
              <w:t>1、认真办理代表建议，坚强重点建议督办。2、认真组织十次代表集中视察和闭会期间的代表活动。3、加强代表履职培训。4、加强“代表之家”建设。</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left"/>
              <w:textAlignment w:val="center"/>
              <w:rPr>
                <w:rFonts w:ascii="宋体" w:hAnsi="宋体" w:cs="宋体"/>
                <w:sz w:val="24"/>
              </w:rPr>
            </w:pPr>
            <w:r>
              <w:rPr>
                <w:rFonts w:ascii="宋体" w:hAnsi="宋体" w:cs="宋体" w:hint="eastAsia"/>
                <w:sz w:val="18"/>
                <w:szCs w:val="18"/>
              </w:rPr>
              <w:t>1、强化履职担当。着力打造代表之家、代表述职评议、代表视察调研“三个平台”。在巩固16个“人大代表之家”建设的基础上，创建“人大代表工作站”19个，“省人大代表工作室”1个，开展人大代表活动136人次，接待选民群众573人次。2、加强建议督办。代表提出建议66件，全部</w:t>
            </w:r>
            <w:r>
              <w:rPr>
                <w:rFonts w:ascii="宋体" w:hAnsi="宋体" w:cs="宋体" w:hint="eastAsia"/>
                <w:sz w:val="18"/>
                <w:szCs w:val="18"/>
              </w:rPr>
              <w:lastRenderedPageBreak/>
              <w:t>办结。把事关民生综合性强的4件建议作为重点督办，有效提升代表建议办理质量。3、开展述职评议。县人大代表述职评议45人，乡镇人大代表述职252人。4、拓展知情渠道。全县共邀请省市县人大代表21人次</w:t>
            </w:r>
            <w:proofErr w:type="gramStart"/>
            <w:r>
              <w:rPr>
                <w:rFonts w:ascii="宋体" w:hAnsi="宋体" w:cs="宋体" w:hint="eastAsia"/>
                <w:sz w:val="18"/>
                <w:szCs w:val="18"/>
              </w:rPr>
              <w:t>列席县</w:t>
            </w:r>
            <w:proofErr w:type="gramEnd"/>
            <w:r>
              <w:rPr>
                <w:rFonts w:ascii="宋体" w:hAnsi="宋体" w:cs="宋体" w:hint="eastAsia"/>
                <w:sz w:val="18"/>
                <w:szCs w:val="18"/>
              </w:rPr>
              <w:t>人大常委会议、85人次参加县人大常委会组织的调研、执法检查和专项视察活动，代表的责任意识进一步增强</w:t>
            </w:r>
            <w:r>
              <w:rPr>
                <w:rFonts w:ascii="宋体" w:hAnsi="宋体" w:cs="宋体" w:hint="eastAsia"/>
                <w:sz w:val="24"/>
              </w:rPr>
              <w:t>。</w:t>
            </w:r>
          </w:p>
        </w:tc>
      </w:tr>
      <w:tr w:rsidR="006C66D4">
        <w:trPr>
          <w:trHeight w:val="1042"/>
          <w:jc w:val="center"/>
        </w:trPr>
        <w:tc>
          <w:tcPr>
            <w:tcW w:w="4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lastRenderedPageBreak/>
              <w:t>绩效指标完成情况</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二级指标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三级指标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实际完成指标值(包含数字及文字描述)</w:t>
            </w:r>
          </w:p>
        </w:tc>
      </w:tr>
      <w:tr w:rsidR="006C66D4">
        <w:trPr>
          <w:trHeight w:val="798"/>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数量指标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资金总额</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代表工作经费26.68万元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代表工作经费26.68万元</w:t>
            </w:r>
          </w:p>
        </w:tc>
      </w:tr>
      <w:tr w:rsidR="006C66D4">
        <w:trPr>
          <w:trHeight w:val="817"/>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工作完成率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完成</w:t>
            </w:r>
            <w:r>
              <w:rPr>
                <w:rFonts w:ascii="宋体" w:hAnsi="宋体" w:cs="宋体"/>
                <w:kern w:val="0"/>
                <w:szCs w:val="21"/>
              </w:rPr>
              <w:t>100%</w:t>
            </w:r>
          </w:p>
        </w:tc>
      </w:tr>
      <w:tr w:rsidR="006C66D4">
        <w:trPr>
          <w:trHeight w:val="449"/>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资金支付率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资金支付</w:t>
            </w:r>
            <w:r>
              <w:rPr>
                <w:rFonts w:ascii="宋体" w:hAnsi="宋体" w:cs="宋体"/>
                <w:kern w:val="0"/>
                <w:szCs w:val="21"/>
              </w:rPr>
              <w:t>100%</w:t>
            </w:r>
          </w:p>
        </w:tc>
      </w:tr>
      <w:tr w:rsidR="006C66D4">
        <w:trPr>
          <w:trHeight w:val="745"/>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时效指标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完成时限</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完成时限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kern w:val="0"/>
                <w:szCs w:val="21"/>
              </w:rPr>
              <w:t>201</w:t>
            </w:r>
            <w:r>
              <w:rPr>
                <w:rFonts w:ascii="宋体" w:hAnsi="宋体" w:cs="宋体" w:hint="eastAsia"/>
                <w:kern w:val="0"/>
                <w:szCs w:val="21"/>
              </w:rPr>
              <w:t>9年</w:t>
            </w:r>
            <w:r>
              <w:rPr>
                <w:rFonts w:ascii="宋体" w:hAnsi="宋体" w:cs="宋体"/>
                <w:kern w:val="0"/>
                <w:szCs w:val="21"/>
              </w:rPr>
              <w:t>1-12</w:t>
            </w:r>
            <w:r>
              <w:rPr>
                <w:rFonts w:ascii="宋体" w:hAnsi="宋体" w:cs="宋体" w:hint="eastAsia"/>
                <w:kern w:val="0"/>
                <w:szCs w:val="21"/>
              </w:rPr>
              <w:t>月</w:t>
            </w:r>
          </w:p>
        </w:tc>
      </w:tr>
      <w:tr w:rsidR="006C66D4">
        <w:trPr>
          <w:trHeight w:val="1050"/>
          <w:jc w:val="center"/>
        </w:trPr>
        <w:tc>
          <w:tcPr>
            <w:tcW w:w="46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满意度指标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参加培训人员的满意度</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Cs w:val="21"/>
              </w:rPr>
            </w:pPr>
            <w:r>
              <w:rPr>
                <w:rFonts w:ascii="宋体" w:cs="宋体" w:hint="eastAsia"/>
                <w:szCs w:val="21"/>
              </w:rPr>
              <w:t>〉90</w:t>
            </w:r>
            <w:r>
              <w:rPr>
                <w:rFonts w:ascii="宋体" w:cs="宋体"/>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Cs w:val="21"/>
              </w:rPr>
            </w:pPr>
            <w:r>
              <w:rPr>
                <w:rFonts w:ascii="宋体" w:cs="宋体" w:hint="eastAsia"/>
                <w:szCs w:val="21"/>
              </w:rPr>
              <w:t>〉90</w:t>
            </w:r>
            <w:r>
              <w:rPr>
                <w:rFonts w:ascii="宋体" w:cs="宋体"/>
                <w:szCs w:val="21"/>
              </w:rPr>
              <w:t>%</w:t>
            </w:r>
          </w:p>
        </w:tc>
      </w:tr>
      <w:tr w:rsidR="006C66D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r>
    </w:tbl>
    <w:p w:rsidR="006C66D4" w:rsidRDefault="00AD3B60">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本部门按要求对2020年部门整体支出绩效评价情况开展自评，《盐边县人大办2020年部门整体支出绩效评价报告》见附件（附件1）。</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Pr>
          <w:rFonts w:ascii="仿宋" w:eastAsia="仿宋" w:hAnsi="仿宋" w:hint="eastAsia"/>
          <w:sz w:val="32"/>
          <w:szCs w:val="32"/>
        </w:rPr>
        <w:t>人大会议费项目</w:t>
      </w:r>
      <w:r>
        <w:rPr>
          <w:rFonts w:ascii="仿宋_GB2312" w:eastAsia="仿宋_GB2312" w:hAnsi="仿宋_GB2312" w:cs="仿宋_GB2312" w:hint="eastAsia"/>
          <w:sz w:val="32"/>
          <w:szCs w:val="32"/>
        </w:rPr>
        <w:t>开展了绩效评价，《人大会议费项目2020年绩效评价报告》见附件（附件2）。</w:t>
      </w:r>
      <w:bookmarkStart w:id="87" w:name="_Toc15377225"/>
      <w:bookmarkStart w:id="88" w:name="_Toc15396613"/>
      <w:bookmarkStart w:id="89" w:name="_Toc52180096"/>
    </w:p>
    <w:p w:rsidR="006C66D4" w:rsidRDefault="006C66D4">
      <w:pPr>
        <w:spacing w:line="580" w:lineRule="exact"/>
        <w:ind w:firstLineChars="200" w:firstLine="640"/>
        <w:rPr>
          <w:rFonts w:ascii="仿宋_GB2312" w:eastAsia="仿宋_GB2312" w:hAnsi="仿宋_GB2312" w:cs="仿宋_GB2312"/>
          <w:sz w:val="32"/>
          <w:szCs w:val="32"/>
        </w:rPr>
      </w:pPr>
    </w:p>
    <w:p w:rsidR="006C66D4" w:rsidRDefault="00AD3B60">
      <w:pPr>
        <w:spacing w:line="580" w:lineRule="exact"/>
        <w:ind w:firstLineChars="200" w:firstLine="880"/>
        <w:rPr>
          <w:rStyle w:val="1Char"/>
          <w:rFonts w:ascii="黑体" w:eastAsia="黑体" w:hAnsi="黑体"/>
          <w:b w:val="0"/>
        </w:rPr>
      </w:pPr>
      <w:r>
        <w:rPr>
          <w:rFonts w:ascii="黑体" w:eastAsia="黑体" w:hAnsi="黑体" w:hint="eastAsia"/>
          <w:sz w:val="44"/>
          <w:szCs w:val="44"/>
        </w:rPr>
        <w:t>名</w:t>
      </w:r>
      <w:r>
        <w:rPr>
          <w:rStyle w:val="1Char"/>
          <w:rFonts w:ascii="黑体" w:eastAsia="黑体" w:hAnsi="黑体" w:hint="eastAsia"/>
          <w:b w:val="0"/>
        </w:rPr>
        <w:t>词解释</w:t>
      </w:r>
      <w:bookmarkEnd w:id="87"/>
      <w:bookmarkEnd w:id="88"/>
      <w:bookmarkEnd w:id="89"/>
    </w:p>
    <w:p w:rsidR="006C66D4" w:rsidRDefault="006C66D4">
      <w:pPr>
        <w:spacing w:line="600" w:lineRule="exact"/>
        <w:jc w:val="left"/>
        <w:rPr>
          <w:rFonts w:ascii="宋体"/>
          <w:b/>
          <w:sz w:val="44"/>
          <w:szCs w:val="44"/>
        </w:rPr>
      </w:pP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w:t>
      </w:r>
      <w:r>
        <w:rPr>
          <w:rFonts w:ascii="仿宋_GB2312" w:eastAsia="仿宋_GB2312" w:hint="eastAsia"/>
          <w:color w:val="auto"/>
          <w:sz w:val="32"/>
          <w:szCs w:val="32"/>
        </w:rPr>
        <w:lastRenderedPageBreak/>
        <w:t>算资金。</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年初结转和结余：指以前年度尚未完成、结转到本年按有关规定继续使用的资金。</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3.年末结转和结余：指单位按有关规定结转到下年或以后年度继续使用的资金。</w:t>
      </w:r>
    </w:p>
    <w:p w:rsidR="006C66D4" w:rsidRDefault="00AD3B60">
      <w:pPr>
        <w:widowControl/>
        <w:shd w:val="clear" w:color="auto" w:fill="FFFFFF"/>
        <w:spacing w:line="600" w:lineRule="atLeast"/>
        <w:ind w:firstLine="643"/>
        <w:jc w:val="left"/>
        <w:rPr>
          <w:rFonts w:ascii="仿宋_GB2312" w:eastAsia="仿宋_GB2312" w:hAnsi="宋体" w:cs="宋体"/>
          <w:kern w:val="0"/>
          <w:sz w:val="30"/>
          <w:szCs w:val="30"/>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一般公共服务（类）人大事务（款）行政运行（项）：</w:t>
      </w:r>
      <w:r>
        <w:rPr>
          <w:rFonts w:ascii="仿宋_GB2312" w:eastAsia="仿宋_GB2312" w:hAnsi="宋体" w:cs="宋体" w:hint="eastAsia"/>
          <w:kern w:val="0"/>
          <w:sz w:val="32"/>
          <w:szCs w:val="32"/>
        </w:rPr>
        <w:t>指人大</w:t>
      </w:r>
      <w:r>
        <w:rPr>
          <w:rFonts w:ascii="仿宋_GB2312" w:eastAsia="仿宋_GB2312" w:hAnsi="宋体" w:cs="宋体" w:hint="eastAsia"/>
          <w:kern w:val="0"/>
          <w:sz w:val="30"/>
          <w:szCs w:val="30"/>
        </w:rPr>
        <w:t>机关人员工资、津贴补贴及日常公用经费支出。</w:t>
      </w:r>
    </w:p>
    <w:p w:rsidR="006C66D4" w:rsidRDefault="00AD3B60">
      <w:pPr>
        <w:widowControl/>
        <w:shd w:val="clear" w:color="auto" w:fill="FFFFFF"/>
        <w:spacing w:line="600" w:lineRule="atLeast"/>
        <w:ind w:firstLine="643"/>
        <w:jc w:val="left"/>
        <w:rPr>
          <w:rFonts w:ascii="宋体" w:eastAsia="仿宋_GB2312" w:cs="宋体"/>
          <w:kern w:val="0"/>
          <w:szCs w:val="21"/>
        </w:rPr>
      </w:pPr>
      <w:r>
        <w:rPr>
          <w:rFonts w:ascii="仿宋_GB2312" w:eastAsia="仿宋_GB2312" w:hint="eastAsia"/>
          <w:sz w:val="32"/>
          <w:szCs w:val="32"/>
        </w:rPr>
        <w:t>5. 一般公共服务（类）人大事务（款）人大会议（项）：</w:t>
      </w:r>
      <w:r>
        <w:rPr>
          <w:rFonts w:ascii="仿宋_GB2312" w:eastAsia="仿宋_GB2312" w:hAnsi="宋体" w:cs="宋体" w:hint="eastAsia"/>
          <w:kern w:val="0"/>
          <w:sz w:val="32"/>
          <w:szCs w:val="32"/>
        </w:rPr>
        <w:t>反映各级人大召开人民代表大会等专门会议的支出。</w:t>
      </w:r>
    </w:p>
    <w:p w:rsidR="006C66D4" w:rsidRDefault="00AD3B60">
      <w:pPr>
        <w:widowControl/>
        <w:shd w:val="clear" w:color="auto" w:fill="FFFFFF"/>
        <w:spacing w:line="600" w:lineRule="atLeast"/>
        <w:ind w:firstLine="643"/>
        <w:jc w:val="left"/>
        <w:rPr>
          <w:rFonts w:ascii="宋体" w:eastAsia="仿宋_GB2312" w:cs="宋体"/>
          <w:kern w:val="0"/>
          <w:szCs w:val="21"/>
        </w:rPr>
      </w:pPr>
      <w:r>
        <w:rPr>
          <w:rFonts w:ascii="仿宋_GB2312" w:eastAsia="仿宋_GB2312" w:hint="eastAsia"/>
          <w:sz w:val="32"/>
          <w:szCs w:val="32"/>
        </w:rPr>
        <w:t>6. 一般公共服务（类）人大事务（款）人大代表</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职能力提升（项）：</w:t>
      </w:r>
      <w:r>
        <w:rPr>
          <w:rFonts w:ascii="仿宋_GB2312" w:eastAsia="仿宋_GB2312" w:hAnsi="宋体" w:cs="宋体" w:hint="eastAsia"/>
          <w:kern w:val="0"/>
          <w:sz w:val="32"/>
          <w:szCs w:val="32"/>
        </w:rPr>
        <w:t>反映各级人大为提高代表</w:t>
      </w:r>
      <w:proofErr w:type="gramStart"/>
      <w:r>
        <w:rPr>
          <w:rFonts w:ascii="仿宋_GB2312" w:eastAsia="仿宋_GB2312" w:hAnsi="宋体" w:cs="宋体" w:hint="eastAsia"/>
          <w:kern w:val="0"/>
          <w:sz w:val="32"/>
          <w:szCs w:val="32"/>
        </w:rPr>
        <w:t>履</w:t>
      </w:r>
      <w:proofErr w:type="gramEnd"/>
      <w:r>
        <w:rPr>
          <w:rFonts w:ascii="仿宋_GB2312" w:eastAsia="仿宋_GB2312" w:hAnsi="宋体" w:cs="宋体" w:hint="eastAsia"/>
          <w:kern w:val="0"/>
          <w:sz w:val="32"/>
          <w:szCs w:val="32"/>
        </w:rPr>
        <w:t>职能力所发生的各项支出。</w:t>
      </w:r>
    </w:p>
    <w:p w:rsidR="006C66D4" w:rsidRDefault="00AD3B60">
      <w:pPr>
        <w:widowControl/>
        <w:shd w:val="clear" w:color="auto" w:fill="FFFFFF"/>
        <w:spacing w:line="600" w:lineRule="atLeast"/>
        <w:ind w:firstLine="643"/>
        <w:jc w:val="left"/>
        <w:rPr>
          <w:rFonts w:ascii="宋体" w:eastAsia="仿宋_GB2312" w:cs="宋体"/>
          <w:kern w:val="0"/>
          <w:szCs w:val="21"/>
        </w:rPr>
      </w:pPr>
      <w:r>
        <w:rPr>
          <w:rFonts w:ascii="仿宋_GB2312" w:eastAsia="仿宋_GB2312" w:hint="eastAsia"/>
          <w:sz w:val="32"/>
          <w:szCs w:val="32"/>
        </w:rPr>
        <w:t>7. 一般公共服务（类）人大事务（款）其他人大事务支出（项）：反映除上述项目以外的其他人大事务支出。</w:t>
      </w:r>
    </w:p>
    <w:p w:rsidR="006C66D4" w:rsidRDefault="00AD3B60">
      <w:pPr>
        <w:ind w:firstLineChars="200" w:firstLine="640"/>
        <w:rPr>
          <w:rFonts w:ascii="仿宋_GB2312" w:eastAsia="仿宋_GB2312" w:hAnsi="宋体" w:cs="宋体"/>
          <w:kern w:val="0"/>
          <w:sz w:val="30"/>
          <w:szCs w:val="30"/>
        </w:rPr>
      </w:pPr>
      <w:r>
        <w:rPr>
          <w:rFonts w:ascii="仿宋_GB2312" w:eastAsia="仿宋_GB2312" w:hint="eastAsia"/>
          <w:sz w:val="32"/>
          <w:szCs w:val="32"/>
        </w:rPr>
        <w:t>8.社会保障和就业（类）</w:t>
      </w:r>
      <w:r>
        <w:rPr>
          <w:rFonts w:ascii="仿宋_GB2312" w:eastAsia="仿宋_GB2312" w:hAnsi="宋体" w:cs="宋体" w:hint="eastAsia"/>
          <w:bCs/>
          <w:kern w:val="0"/>
          <w:sz w:val="32"/>
        </w:rPr>
        <w:t>行政事业单位离退休</w:t>
      </w:r>
      <w:r>
        <w:rPr>
          <w:rFonts w:ascii="仿宋_GB2312" w:eastAsia="仿宋_GB2312" w:hint="eastAsia"/>
          <w:sz w:val="32"/>
          <w:szCs w:val="32"/>
        </w:rPr>
        <w:t>（款）</w:t>
      </w:r>
      <w:r>
        <w:rPr>
          <w:rFonts w:ascii="仿宋_GB2312" w:eastAsia="仿宋_GB2312" w:hAnsi="宋体" w:cs="宋体" w:hint="eastAsia"/>
          <w:bCs/>
          <w:kern w:val="0"/>
          <w:sz w:val="32"/>
        </w:rPr>
        <w:t>归口管理的行政单位离退休</w:t>
      </w:r>
      <w:r>
        <w:rPr>
          <w:rFonts w:ascii="仿宋_GB2312" w:eastAsia="仿宋_GB2312" w:hint="eastAsia"/>
          <w:sz w:val="32"/>
          <w:szCs w:val="32"/>
        </w:rPr>
        <w:t>（项）：指</w:t>
      </w:r>
      <w:r>
        <w:rPr>
          <w:rFonts w:ascii="仿宋_GB2312" w:eastAsia="仿宋_GB2312" w:hAnsi="宋体" w:cs="宋体" w:hint="eastAsia"/>
          <w:kern w:val="0"/>
          <w:sz w:val="30"/>
          <w:szCs w:val="30"/>
        </w:rPr>
        <w:t>行政退休人员工资支出及单位职工养老保险缴费支出等。</w:t>
      </w:r>
    </w:p>
    <w:p w:rsidR="006C66D4" w:rsidRDefault="00AD3B60">
      <w:pPr>
        <w:ind w:firstLineChars="200" w:firstLine="640"/>
        <w:rPr>
          <w:rFonts w:ascii="仿宋_GB2312" w:eastAsia="仿宋_GB2312" w:hAnsi="宋体" w:cs="宋体"/>
          <w:kern w:val="0"/>
          <w:sz w:val="30"/>
          <w:szCs w:val="30"/>
        </w:rPr>
      </w:pPr>
      <w:r>
        <w:rPr>
          <w:rFonts w:ascii="仿宋_GB2312" w:eastAsia="仿宋_GB2312" w:hint="eastAsia"/>
          <w:sz w:val="32"/>
          <w:szCs w:val="32"/>
        </w:rPr>
        <w:t>9.社会保障和就业（类）</w:t>
      </w:r>
      <w:r>
        <w:rPr>
          <w:rFonts w:ascii="仿宋_GB2312" w:eastAsia="仿宋_GB2312" w:hAnsi="宋体" w:cs="宋体" w:hint="eastAsia"/>
          <w:bCs/>
          <w:kern w:val="0"/>
          <w:sz w:val="32"/>
        </w:rPr>
        <w:t>行政事业单位离退休</w:t>
      </w:r>
      <w:r>
        <w:rPr>
          <w:rFonts w:ascii="仿宋_GB2312" w:eastAsia="仿宋_GB2312" w:hint="eastAsia"/>
          <w:sz w:val="32"/>
          <w:szCs w:val="32"/>
        </w:rPr>
        <w:t>（款）</w:t>
      </w:r>
      <w:r>
        <w:rPr>
          <w:rFonts w:ascii="仿宋_GB2312" w:eastAsia="仿宋_GB2312" w:hAnsi="宋体" w:cs="宋体" w:hint="eastAsia"/>
          <w:bCs/>
          <w:kern w:val="0"/>
          <w:sz w:val="32"/>
        </w:rPr>
        <w:t xml:space="preserve">  未归口管理的行政单位离退休</w:t>
      </w:r>
      <w:r>
        <w:rPr>
          <w:rFonts w:ascii="仿宋_GB2312" w:eastAsia="仿宋_GB2312" w:hint="eastAsia"/>
          <w:sz w:val="32"/>
          <w:szCs w:val="32"/>
        </w:rPr>
        <w:t>（项）：指</w:t>
      </w:r>
      <w:r>
        <w:rPr>
          <w:rFonts w:ascii="仿宋_GB2312" w:eastAsia="仿宋_GB2312" w:hAnsi="宋体" w:cs="宋体" w:hint="eastAsia"/>
          <w:kern w:val="0"/>
          <w:sz w:val="30"/>
          <w:szCs w:val="30"/>
        </w:rPr>
        <w:t>行政退休人员工资支出及单位职工养老保险缴费支出等。</w:t>
      </w:r>
    </w:p>
    <w:p w:rsidR="006C66D4" w:rsidRDefault="00AD3B60">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10.</w:t>
      </w:r>
      <w:r>
        <w:rPr>
          <w:rFonts w:ascii="仿宋_GB2312" w:eastAsia="仿宋_GB2312" w:hint="eastAsia"/>
          <w:sz w:val="32"/>
          <w:szCs w:val="32"/>
        </w:rPr>
        <w:t xml:space="preserve"> 社会保障和就业（类）</w:t>
      </w:r>
      <w:r>
        <w:rPr>
          <w:rFonts w:ascii="仿宋_GB2312" w:eastAsia="仿宋_GB2312" w:hAnsi="宋体" w:cs="宋体" w:hint="eastAsia"/>
          <w:bCs/>
          <w:kern w:val="0"/>
          <w:sz w:val="32"/>
        </w:rPr>
        <w:t>行政事业单位离退休</w:t>
      </w:r>
      <w:r>
        <w:rPr>
          <w:rFonts w:ascii="仿宋_GB2312" w:eastAsia="仿宋_GB2312" w:hint="eastAsia"/>
          <w:sz w:val="32"/>
          <w:szCs w:val="32"/>
        </w:rPr>
        <w:t>（款）</w:t>
      </w:r>
      <w:r>
        <w:rPr>
          <w:rFonts w:ascii="仿宋_GB2312" w:eastAsia="仿宋_GB2312" w:hAnsi="宋体" w:cs="宋体" w:hint="eastAsia"/>
          <w:bCs/>
          <w:kern w:val="0"/>
          <w:sz w:val="32"/>
        </w:rPr>
        <w:t xml:space="preserve">  机关事业单位基本养老保险缴费支出</w:t>
      </w:r>
      <w:r>
        <w:rPr>
          <w:rFonts w:ascii="仿宋_GB2312" w:eastAsia="仿宋_GB2312" w:hint="eastAsia"/>
          <w:sz w:val="32"/>
          <w:szCs w:val="32"/>
        </w:rPr>
        <w:t>（项）：指</w:t>
      </w:r>
      <w:r>
        <w:rPr>
          <w:rFonts w:ascii="仿宋_GB2312" w:eastAsia="仿宋_GB2312" w:hAnsi="宋体" w:cs="宋体" w:hint="eastAsia"/>
          <w:kern w:val="0"/>
          <w:sz w:val="30"/>
          <w:szCs w:val="30"/>
        </w:rPr>
        <w:t>单位职工养老保险缴费支出。</w:t>
      </w:r>
    </w:p>
    <w:p w:rsidR="006C66D4" w:rsidRDefault="00AD3B60">
      <w:pPr>
        <w:ind w:firstLineChars="200" w:firstLine="640"/>
        <w:rPr>
          <w:rFonts w:ascii="仿宋_GB2312" w:eastAsia="仿宋_GB2312" w:hAnsi="宋体" w:cs="宋体"/>
          <w:kern w:val="0"/>
          <w:sz w:val="30"/>
          <w:szCs w:val="30"/>
        </w:rPr>
      </w:pPr>
      <w:r>
        <w:rPr>
          <w:rFonts w:ascii="仿宋_GB2312" w:eastAsia="仿宋_GB2312" w:hint="eastAsia"/>
          <w:sz w:val="32"/>
          <w:szCs w:val="32"/>
        </w:rPr>
        <w:lastRenderedPageBreak/>
        <w:t>11</w:t>
      </w:r>
      <w:r>
        <w:rPr>
          <w:rFonts w:ascii="仿宋_GB2312" w:eastAsia="仿宋_GB2312"/>
          <w:sz w:val="32"/>
          <w:szCs w:val="32"/>
        </w:rPr>
        <w:t>.</w:t>
      </w:r>
      <w:r>
        <w:rPr>
          <w:rFonts w:ascii="仿宋_GB2312" w:eastAsia="仿宋_GB2312" w:hint="eastAsia"/>
          <w:sz w:val="32"/>
          <w:szCs w:val="32"/>
        </w:rPr>
        <w:t>住房保障（类）</w:t>
      </w:r>
      <w:r>
        <w:rPr>
          <w:rFonts w:ascii="仿宋_GB2312" w:eastAsia="仿宋_GB2312" w:hAnsi="宋体" w:cs="宋体" w:hint="eastAsia"/>
          <w:bCs/>
          <w:kern w:val="0"/>
          <w:sz w:val="32"/>
        </w:rPr>
        <w:t>住房改革支出</w:t>
      </w:r>
      <w:r>
        <w:rPr>
          <w:rFonts w:ascii="仿宋_GB2312" w:eastAsia="仿宋_GB2312" w:hint="eastAsia"/>
          <w:sz w:val="32"/>
          <w:szCs w:val="32"/>
        </w:rPr>
        <w:t>（款）住房公积金（项）：指职工</w:t>
      </w:r>
      <w:r>
        <w:rPr>
          <w:rFonts w:ascii="仿宋_GB2312" w:eastAsia="仿宋_GB2312" w:hAnsi="宋体" w:cs="宋体" w:hint="eastAsia"/>
          <w:kern w:val="0"/>
          <w:sz w:val="30"/>
          <w:szCs w:val="30"/>
        </w:rPr>
        <w:t>住房公积金支出。</w:t>
      </w:r>
    </w:p>
    <w:p w:rsidR="006C66D4" w:rsidRDefault="00AD3B60">
      <w:pPr>
        <w:ind w:firstLineChars="200" w:firstLine="643"/>
        <w:rPr>
          <w:rFonts w:ascii="仿宋_GB2312" w:eastAsia="仿宋_GB2312"/>
          <w:sz w:val="32"/>
          <w:szCs w:val="32"/>
        </w:rPr>
      </w:pPr>
      <w:r>
        <w:rPr>
          <w:rFonts w:ascii="仿宋" w:eastAsia="仿宋" w:hAnsi="仿宋" w:hint="eastAsia"/>
          <w:b/>
          <w:sz w:val="32"/>
          <w:szCs w:val="32"/>
        </w:rPr>
        <w:t xml:space="preserve">   </w:t>
      </w: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6C66D4" w:rsidRDefault="00AD3B60">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C66D4" w:rsidRDefault="00AD3B60">
      <w:pPr>
        <w:spacing w:line="600" w:lineRule="exact"/>
        <w:jc w:val="center"/>
        <w:outlineLvl w:val="0"/>
        <w:rPr>
          <w:rStyle w:val="1Char"/>
          <w:rFonts w:ascii="黑体" w:eastAsia="黑体" w:hAnsi="黑体"/>
          <w:b w:val="0"/>
        </w:rPr>
      </w:pPr>
      <w:bookmarkStart w:id="90" w:name="_Toc15377226"/>
      <w:r>
        <w:rPr>
          <w:rFonts w:ascii="宋体"/>
          <w:b/>
          <w:sz w:val="44"/>
          <w:szCs w:val="44"/>
        </w:rPr>
        <w:br w:type="page"/>
      </w:r>
      <w:bookmarkStart w:id="91" w:name="_Toc52180097"/>
      <w:bookmarkStart w:id="92"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91"/>
      <w:bookmarkEnd w:id="92"/>
    </w:p>
    <w:p w:rsidR="006C66D4" w:rsidRDefault="00AD3B60">
      <w:pPr>
        <w:spacing w:line="600" w:lineRule="exact"/>
        <w:jc w:val="left"/>
        <w:outlineLvl w:val="0"/>
        <w:rPr>
          <w:rFonts w:ascii="黑体" w:eastAsia="黑体" w:hAnsi="黑体" w:cs="黑体"/>
          <w:sz w:val="32"/>
          <w:szCs w:val="32"/>
        </w:rPr>
      </w:pPr>
      <w:bookmarkStart w:id="93" w:name="_Toc52180098"/>
      <w:r>
        <w:rPr>
          <w:rFonts w:ascii="黑体" w:eastAsia="黑体" w:hAnsi="黑体" w:cs="黑体" w:hint="eastAsia"/>
          <w:sz w:val="32"/>
          <w:szCs w:val="32"/>
        </w:rPr>
        <w:t>附件1</w:t>
      </w:r>
      <w:bookmarkEnd w:id="93"/>
    </w:p>
    <w:p w:rsidR="006C66D4" w:rsidRDefault="00AD3B60">
      <w:pPr>
        <w:pStyle w:val="1"/>
        <w:keepNext w:val="0"/>
        <w:keepLines w:val="0"/>
        <w:widowControl/>
        <w:shd w:val="clear" w:color="auto" w:fill="FFFFFF"/>
        <w:spacing w:before="0" w:after="0"/>
        <w:jc w:val="center"/>
        <w:rPr>
          <w:rFonts w:ascii="仿宋" w:eastAsia="仿宋" w:hAnsi="仿宋" w:cs="仿宋"/>
          <w:b w:val="0"/>
          <w:bCs w:val="0"/>
          <w:color w:val="333333"/>
          <w:shd w:val="clear" w:color="auto" w:fill="FFFFFF"/>
        </w:rPr>
      </w:pPr>
      <w:r>
        <w:rPr>
          <w:rFonts w:ascii="仿宋" w:eastAsia="仿宋" w:hAnsi="仿宋" w:cs="仿宋" w:hint="eastAsia"/>
          <w:b w:val="0"/>
          <w:bCs w:val="0"/>
          <w:color w:val="333333"/>
          <w:shd w:val="clear" w:color="auto" w:fill="FFFFFF"/>
        </w:rPr>
        <w:t>盐边县人大办</w:t>
      </w:r>
    </w:p>
    <w:p w:rsidR="006C66D4" w:rsidRDefault="00AD3B60">
      <w:pPr>
        <w:pStyle w:val="1"/>
        <w:keepNext w:val="0"/>
        <w:keepLines w:val="0"/>
        <w:widowControl/>
        <w:shd w:val="clear" w:color="auto" w:fill="FFFFFF"/>
        <w:spacing w:before="0" w:after="0"/>
        <w:jc w:val="center"/>
        <w:rPr>
          <w:rFonts w:ascii="仿宋" w:eastAsia="仿宋" w:hAnsi="仿宋" w:cs="仿宋"/>
          <w:b w:val="0"/>
          <w:bCs w:val="0"/>
          <w:color w:val="333333"/>
          <w:shd w:val="clear" w:color="auto" w:fill="FFFFFF"/>
        </w:rPr>
      </w:pPr>
      <w:r>
        <w:rPr>
          <w:rFonts w:ascii="仿宋" w:eastAsia="仿宋" w:hAnsi="仿宋" w:cs="仿宋" w:hint="eastAsia"/>
          <w:b w:val="0"/>
          <w:bCs w:val="0"/>
          <w:color w:val="333333"/>
          <w:shd w:val="clear" w:color="auto" w:fill="FFFFFF"/>
        </w:rPr>
        <w:t>2020年度部门整体支出绩效评价报告</w:t>
      </w:r>
    </w:p>
    <w:p w:rsidR="006C66D4" w:rsidRDefault="006C66D4"/>
    <w:p w:rsidR="006C66D4" w:rsidRDefault="00AD3B60">
      <w:pPr>
        <w:pStyle w:val="a8"/>
        <w:shd w:val="clear" w:color="auto" w:fill="FFFFFF"/>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根据《盐边县财政局关于开展2020年度部门整体支出绩效评价工作的通知》等有关文件精神，我办对照《2020年县级部门整体支出绩效评价指标体系》，认真负责、客观公正地开展了2020年度部门整体支出绩效自评工作。现将绩效评价相关情况报告如下：</w:t>
      </w:r>
    </w:p>
    <w:p w:rsidR="006C66D4" w:rsidRDefault="00AD3B60">
      <w:pPr>
        <w:pStyle w:val="a8"/>
        <w:shd w:val="clear" w:color="auto" w:fill="FFFFFF"/>
        <w:spacing w:before="0" w:beforeAutospacing="0" w:after="0" w:afterAutospacing="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一、部门基本情况</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（一）机构组成</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盐边县人大常委会设有</w:t>
      </w:r>
      <w:proofErr w:type="gramStart"/>
      <w:r>
        <w:rPr>
          <w:rFonts w:ascii="仿宋_GB2312" w:eastAsia="仿宋_GB2312" w:hAnsi="仿宋_GB2312" w:cs="仿宋_GB2312" w:hint="eastAsia"/>
          <w:kern w:val="0"/>
          <w:sz w:val="28"/>
          <w:szCs w:val="28"/>
          <w:lang w:bidi="ar"/>
        </w:rPr>
        <w:t>一室五委</w:t>
      </w:r>
      <w:proofErr w:type="gramEnd"/>
      <w:r>
        <w:rPr>
          <w:rFonts w:ascii="仿宋_GB2312" w:eastAsia="仿宋_GB2312" w:hAnsi="仿宋_GB2312" w:cs="仿宋_GB2312" w:hint="eastAsia"/>
          <w:kern w:val="0"/>
          <w:sz w:val="28"/>
          <w:szCs w:val="28"/>
          <w:lang w:bidi="ar"/>
        </w:rPr>
        <w:t>六个正科级工作机构，分别为：人大常委会办公室、财政经济工作委员会、人事代表工作委员会、农业民族工作委员会、法制工作委员会、教科文卫工作委员会。</w:t>
      </w:r>
    </w:p>
    <w:p w:rsidR="006C66D4" w:rsidRDefault="00AD3B60">
      <w:pPr>
        <w:widowControl/>
        <w:numPr>
          <w:ilvl w:val="0"/>
          <w:numId w:val="4"/>
        </w:numPr>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机构职能</w:t>
      </w:r>
    </w:p>
    <w:p w:rsidR="006C66D4" w:rsidRDefault="00AD3B60">
      <w:pPr>
        <w:widowControl/>
        <w:numPr>
          <w:ilvl w:val="0"/>
          <w:numId w:val="5"/>
        </w:numPr>
        <w:shd w:val="clear" w:color="auto" w:fill="FFFFFF"/>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办文办会。</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roofErr w:type="gramStart"/>
      <w:r>
        <w:rPr>
          <w:rFonts w:ascii="仿宋_GB2312" w:eastAsia="仿宋_GB2312" w:hAnsi="仿宋_GB2312" w:cs="仿宋_GB2312" w:hint="eastAsia"/>
          <w:kern w:val="0"/>
          <w:sz w:val="28"/>
          <w:szCs w:val="28"/>
          <w:lang w:bidi="ar"/>
        </w:rPr>
        <w:t>承担县</w:t>
      </w:r>
      <w:proofErr w:type="gramEnd"/>
      <w:r>
        <w:rPr>
          <w:rFonts w:ascii="仿宋_GB2312" w:eastAsia="仿宋_GB2312" w:hAnsi="仿宋_GB2312" w:cs="仿宋_GB2312" w:hint="eastAsia"/>
          <w:kern w:val="0"/>
          <w:sz w:val="28"/>
          <w:szCs w:val="28"/>
          <w:lang w:bidi="ar"/>
        </w:rPr>
        <w:t>人大常委会执法检查、视察调研、工作评议、专题询问等重要活动的服务工作。</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roofErr w:type="gramStart"/>
      <w:r>
        <w:rPr>
          <w:rFonts w:ascii="仿宋_GB2312" w:eastAsia="仿宋_GB2312" w:hAnsi="仿宋_GB2312" w:cs="仿宋_GB2312" w:hint="eastAsia"/>
          <w:kern w:val="0"/>
          <w:sz w:val="28"/>
          <w:szCs w:val="28"/>
          <w:lang w:bidi="ar"/>
        </w:rPr>
        <w:t>承担县</w:t>
      </w:r>
      <w:proofErr w:type="gramEnd"/>
      <w:r>
        <w:rPr>
          <w:rFonts w:ascii="仿宋_GB2312" w:eastAsia="仿宋_GB2312" w:hAnsi="仿宋_GB2312" w:cs="仿宋_GB2312" w:hint="eastAsia"/>
          <w:kern w:val="0"/>
          <w:sz w:val="28"/>
          <w:szCs w:val="28"/>
          <w:lang w:bidi="ar"/>
        </w:rPr>
        <w:t>人大常委会对外联络沟通的服务性工作。</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roofErr w:type="gramStart"/>
      <w:r>
        <w:rPr>
          <w:rFonts w:ascii="仿宋_GB2312" w:eastAsia="仿宋_GB2312" w:hAnsi="仿宋_GB2312" w:cs="仿宋_GB2312" w:hint="eastAsia"/>
          <w:kern w:val="0"/>
          <w:sz w:val="28"/>
          <w:szCs w:val="28"/>
          <w:lang w:bidi="ar"/>
        </w:rPr>
        <w:t>承办县</w:t>
      </w:r>
      <w:proofErr w:type="gramEnd"/>
      <w:r>
        <w:rPr>
          <w:rFonts w:ascii="仿宋_GB2312" w:eastAsia="仿宋_GB2312" w:hAnsi="仿宋_GB2312" w:cs="仿宋_GB2312" w:hint="eastAsia"/>
          <w:kern w:val="0"/>
          <w:sz w:val="28"/>
          <w:szCs w:val="28"/>
          <w:lang w:bidi="ar"/>
        </w:rPr>
        <w:t>人大机关各项目标任务的迎</w:t>
      </w:r>
      <w:proofErr w:type="gramStart"/>
      <w:r>
        <w:rPr>
          <w:rFonts w:ascii="仿宋_GB2312" w:eastAsia="仿宋_GB2312" w:hAnsi="仿宋_GB2312" w:cs="仿宋_GB2312" w:hint="eastAsia"/>
          <w:kern w:val="0"/>
          <w:sz w:val="28"/>
          <w:szCs w:val="28"/>
          <w:lang w:bidi="ar"/>
        </w:rPr>
        <w:t>检考核</w:t>
      </w:r>
      <w:proofErr w:type="gramEnd"/>
      <w:r>
        <w:rPr>
          <w:rFonts w:ascii="仿宋_GB2312" w:eastAsia="仿宋_GB2312" w:hAnsi="仿宋_GB2312" w:cs="仿宋_GB2312" w:hint="eastAsia"/>
          <w:kern w:val="0"/>
          <w:sz w:val="28"/>
          <w:szCs w:val="28"/>
          <w:lang w:bidi="ar"/>
        </w:rPr>
        <w:t>达标工作。</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5、县人大机关内部管理。</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6、县人大常委会其他日常工作。</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lastRenderedPageBreak/>
        <w:t>（三）人员概况</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2020年县人大机关共有在职职工25名（其中在编职工19人，在岗</w:t>
      </w:r>
      <w:proofErr w:type="gramStart"/>
      <w:r>
        <w:rPr>
          <w:rFonts w:ascii="仿宋_GB2312" w:eastAsia="仿宋_GB2312" w:hAnsi="仿宋_GB2312" w:cs="仿宋_GB2312" w:hint="eastAsia"/>
          <w:sz w:val="28"/>
          <w:szCs w:val="28"/>
          <w:lang w:bidi="ar"/>
        </w:rPr>
        <w:t>不</w:t>
      </w:r>
      <w:proofErr w:type="gramEnd"/>
      <w:r>
        <w:rPr>
          <w:rFonts w:ascii="仿宋_GB2312" w:eastAsia="仿宋_GB2312" w:hAnsi="仿宋_GB2312" w:cs="仿宋_GB2312" w:hint="eastAsia"/>
          <w:sz w:val="28"/>
          <w:szCs w:val="28"/>
          <w:lang w:bidi="ar"/>
        </w:rPr>
        <w:t>在编职工6人），退休人员24名。</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二、评价工作开展情况</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（一）前期准备</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按照绩效自评工作要求，成立了绩效评价工作小组，对相关的国家法律法规进行了认真学习，掌握政策，根据部门整体收支情况制定了部门整体支出绩效评价实施方案。</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（二）组织实施</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核查2020年同级财政预算批复执行及部门整体支出情况，着重核查了部门预算管理、专项预算管理及绩效结果应用、内部控制制度等情况。</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（三）分析评价</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对评价过程中收集资料进行归纳，汇总分析，依据设定的部门整体支出绩效评价指标体系进行了评分，形成了综合性书面报告。</w:t>
      </w:r>
    </w:p>
    <w:p w:rsidR="006C66D4" w:rsidRDefault="00AD3B60">
      <w:pPr>
        <w:widowControl/>
        <w:shd w:val="clear" w:color="auto" w:fill="FFFFFF"/>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三、部门资金基本情况</w:t>
      </w:r>
    </w:p>
    <w:p w:rsidR="006C66D4" w:rsidRDefault="00AD3B6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（一）部门财政资金收入情况</w:t>
      </w:r>
    </w:p>
    <w:p w:rsidR="006C66D4" w:rsidRDefault="00AD3B60">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2020年度共计收到财政拨入资金9,082,538.46元。</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其中：（1）拨入行政运行经费（含工资、奖金、养老保险缴费等）3,894,083.34元；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拨入一般行政管理事务经费（含预算联网监督办公设备购置、会议费等）2,365,532.00元；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拨入行政单位离退休人员奖金及其他206,530.00元；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拨入机关事业单位职业年金等59,757.73元；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拨入机关事业单位基本养老保险缴费等323,237.82元；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拨入伤残抚恤金7,908.00元；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拨入农林水支出其他扶贫支出经费2,000元；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拨入住房改革支出住房公积金单位缴费经费432,204.00元;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拨入人大会议项目经费1,524,481.22元（其中年初预算下达446,152.88元，年中追加下达1,078,328.34元）；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拨入代表工作项目经费266,804.35元;（其中年初预算下达186,804.35元，年中追加下达80,000.00元）；</w:t>
      </w:r>
    </w:p>
    <w:p w:rsidR="006C66D4" w:rsidRDefault="00AD3B60">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、部门财政资金支出情况</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2020年度共计支出财政资金9,082,538.46元。</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t>其中：（1）行政运行经费支出3,894,083.34元（基本工资支出1,054,298.00元；津贴补贴支出894,840.00元；奖金支出1,134,285.00元；职工基本医疗保险缴费等支出168,321.34元；其他工资福利支出241,063.00元；办公费支出1,664.00元；水费支出593.00元；邮电费支出3,332.35元；差旅费支出4,974.65元；维修（护）费支出1,200元；劳务费支出96,556.00元；其他交通费支出217,800元；工会经费40,600.00元；福利费31,436.00元；生活补助支出3120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一般行政管理事务经费支出2,365,532.00元（办公费支出2,045.00元；委托业务费支出56,525.00元；会议费支出</w:t>
      </w:r>
      <w:r>
        <w:rPr>
          <w:rFonts w:ascii="仿宋_GB2312" w:eastAsia="仿宋_GB2312" w:hAnsi="仿宋_GB2312" w:cs="仿宋_GB2312" w:hint="eastAsia"/>
          <w:sz w:val="28"/>
          <w:szCs w:val="28"/>
        </w:rPr>
        <w:lastRenderedPageBreak/>
        <w:t>1,407,000.00元；维修（护）费支出1,000元；劳务费支出3,810.00元；其他商品和服务支出770,112.00元；办公设备购置费125,040.00元）。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行政事业单位离退休费支出206,530.00元（其中行政单位离退休生活补助172,130.00元；医疗补助17,600元；其他对个人和家庭补助支出2,520.00元；办公费支出4,883.00元；水费支出1,407.00元；邮电费支出25元；差旅费支出4,180.00元；维修（护）费580.00元；会议费2,605.00元；委托业务费400.00元；其他商品和服务支出200.00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机关事业单位基本养老保险缴费支出323,237.82元。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机关事业单位职业年金缴费支出59,757.73元。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其他扶贫支出项目办公费支出2,000元。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住房公积金缴费支出432,204.00元。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人大会议项目支出1,524,481.22元（其中：办公费支出96,939.00元；印刷费8,324.20元；邮电费8,702.48元；差旅费51,956.00元；会议费1,346,265.54元；其他交通费1,280.00元；其他商品和服务支出11,014.00元）。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代表工作项目支出266,804.35元（其中：办公费支出36,492.00元；差旅费16,415.35元；会议费96,697.00元；其他商品和服务支出88,200.00元；维修（护）费23,600.00元；租赁费5,400.00元）。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伤残抚恤金支出7,908.00元。</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（三）固定资产情况</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1、2020年新购固定资产共计125,040元（其中新购办公桌三张6,800元；电脑办公桌4张3900元；会议椅5,200元；办公</w:t>
      </w:r>
      <w:proofErr w:type="gramStart"/>
      <w:r>
        <w:rPr>
          <w:rFonts w:ascii="仿宋_GB2312" w:eastAsia="仿宋_GB2312" w:hAnsi="仿宋_GB2312" w:cs="仿宋_GB2312" w:hint="eastAsia"/>
          <w:sz w:val="28"/>
          <w:szCs w:val="28"/>
        </w:rPr>
        <w:t>椅</w:t>
      </w:r>
      <w:proofErr w:type="gramEnd"/>
      <w:r>
        <w:rPr>
          <w:rFonts w:ascii="仿宋_GB2312" w:eastAsia="仿宋_GB2312" w:hAnsi="仿宋_GB2312" w:cs="仿宋_GB2312" w:hint="eastAsia"/>
          <w:sz w:val="28"/>
          <w:szCs w:val="28"/>
        </w:rPr>
        <w:t>11,760元；五门书柜2,200元；转角沙发5,000元；办公沙发5张7,500元；预算联网会议平板电视2台13,500元；条形茶几400元；空调4台11,200元；台式电脑6台29,940元；会议室液晶电视机台4,180元；彩色激光打印机3,480元；复印机一台19,980元）。</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2、2020年固定资产无处置、报废等。</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t>四、部门财政支出管理情况</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（一）专项资金分配情况</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根据我办的工作职能和职责，按照项目资金的使用内容和用途，本单位项目资金支出主要有2项：1、人大会议经费；2、人大代表工作经费。</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这2个项目均为持续性、常年性项目，资金来源为县财政预算安排。通过这些专项工作的开展，保证人大工作的正常开展。</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2020年我办项目支出县级财政预算安排为1,791,285.57元，其中：1、人大代表工作经费1,524,481.22元；2、人大会议工作经费266,804.35元。</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2020年我办项目支出决算为1,791,285.69元（其中人大会议项目支出为1,524,481.22元，人大代表工作项目支出为266,804.35元），没有超出预算。</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所有开支均按照我办财务管理制度执行，资金的使用严格把关，整个项目的运行完全按照有关规定执行。单位内部不定期进行抽查，不存在违规违法的问题。各个项目资金使用与具体项目实施内容相符，绩效总目标和阶段性目标都已按照计划完成，未逾期。</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（二）资产管理</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制定了《盐边县人大办固定资产管理制度》，建立了固定资产台账，指定专人管理，及时登记，科学使用。固定资产的调出、处置、报废、报损严格执行国家有关规定的审批程序办理。</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（三）内控制度管理</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我办制定了《盐边县人大办机关管理制度》《财务管理制度》《盐边县人大办政府采购制度》《盐边县人大办资产管理制度》等一系列内部控制制度，相关制度合法合</w:t>
      </w:r>
      <w:proofErr w:type="gramStart"/>
      <w:r>
        <w:rPr>
          <w:rFonts w:ascii="仿宋_GB2312" w:eastAsia="仿宋_GB2312" w:hAnsi="仿宋_GB2312" w:cs="仿宋_GB2312" w:hint="eastAsia"/>
          <w:sz w:val="28"/>
          <w:szCs w:val="28"/>
          <w:shd w:val="clear" w:color="auto" w:fill="FFFFFF"/>
        </w:rPr>
        <w:t>规</w:t>
      </w:r>
      <w:proofErr w:type="gramEnd"/>
      <w:r>
        <w:rPr>
          <w:rFonts w:ascii="仿宋_GB2312" w:eastAsia="仿宋_GB2312" w:hAnsi="仿宋_GB2312" w:cs="仿宋_GB2312" w:hint="eastAsia"/>
          <w:sz w:val="28"/>
          <w:szCs w:val="28"/>
          <w:shd w:val="clear" w:color="auto" w:fill="FFFFFF"/>
        </w:rPr>
        <w:t>、完整，并得到有效执行。</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（四）信息公开。</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部门绩效目标评价情况，按要求通过盐边</w:t>
      </w:r>
      <w:proofErr w:type="gramStart"/>
      <w:r>
        <w:rPr>
          <w:rFonts w:ascii="仿宋_GB2312" w:eastAsia="仿宋_GB2312" w:hAnsi="仿宋_GB2312" w:cs="仿宋_GB2312" w:hint="eastAsia"/>
          <w:sz w:val="28"/>
          <w:szCs w:val="28"/>
          <w:shd w:val="clear" w:color="auto" w:fill="FFFFFF"/>
        </w:rPr>
        <w:t>县公众</w:t>
      </w:r>
      <w:proofErr w:type="gramEnd"/>
      <w:r>
        <w:rPr>
          <w:rFonts w:ascii="仿宋_GB2312" w:eastAsia="仿宋_GB2312" w:hAnsi="仿宋_GB2312" w:cs="仿宋_GB2312" w:hint="eastAsia"/>
          <w:sz w:val="28"/>
          <w:szCs w:val="28"/>
          <w:shd w:val="clear" w:color="auto" w:fill="FFFFFF"/>
        </w:rPr>
        <w:t>信息网站向社会进行了公开。</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（五）2020年预算执行进度监控情况</w:t>
      </w:r>
    </w:p>
    <w:p w:rsidR="006C66D4" w:rsidRDefault="00AD3B60">
      <w:pPr>
        <w:pStyle w:val="a8"/>
        <w:shd w:val="clear" w:color="auto" w:fill="FFFFFF"/>
        <w:spacing w:before="0" w:beforeAutospacing="0" w:after="0" w:afterAutospacing="0" w:line="550" w:lineRule="atLeast"/>
        <w:ind w:firstLine="48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2020年我办</w:t>
      </w:r>
      <w:r>
        <w:rPr>
          <w:rFonts w:ascii="仿宋_GB2312" w:eastAsia="仿宋_GB2312" w:hAnsi="仿宋_GB2312" w:cs="仿宋_GB2312" w:hint="eastAsia"/>
          <w:sz w:val="28"/>
          <w:szCs w:val="28"/>
          <w:shd w:val="clear" w:color="auto" w:fill="FFFFFF"/>
        </w:rPr>
        <w:t>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严格报账程序，实行国库集中支付制度，严格完善相关资</w:t>
      </w:r>
      <w:r>
        <w:rPr>
          <w:rFonts w:ascii="仿宋_GB2312" w:eastAsia="仿宋_GB2312" w:hAnsi="仿宋_GB2312" w:cs="仿宋_GB2312" w:hint="eastAsia"/>
          <w:sz w:val="28"/>
          <w:szCs w:val="28"/>
          <w:shd w:val="clear" w:color="auto" w:fill="FFFFFF"/>
        </w:rPr>
        <w:lastRenderedPageBreak/>
        <w:t>料手续、审核审批程序，保证了各项资金使用的合理合</w:t>
      </w:r>
      <w:proofErr w:type="gramStart"/>
      <w:r>
        <w:rPr>
          <w:rFonts w:ascii="仿宋_GB2312" w:eastAsia="仿宋_GB2312" w:hAnsi="仿宋_GB2312" w:cs="仿宋_GB2312" w:hint="eastAsia"/>
          <w:sz w:val="28"/>
          <w:szCs w:val="28"/>
          <w:shd w:val="clear" w:color="auto" w:fill="FFFFFF"/>
        </w:rPr>
        <w:t>规</w:t>
      </w:r>
      <w:proofErr w:type="gramEnd"/>
      <w:r>
        <w:rPr>
          <w:rFonts w:ascii="仿宋_GB2312" w:eastAsia="仿宋_GB2312" w:hAnsi="仿宋_GB2312" w:cs="仿宋_GB2312" w:hint="eastAsia"/>
          <w:sz w:val="28"/>
          <w:szCs w:val="28"/>
          <w:shd w:val="clear" w:color="auto" w:fill="FFFFFF"/>
        </w:rPr>
        <w:t>，充分发挥了各项资金的使用效益。 </w:t>
      </w:r>
    </w:p>
    <w:p w:rsidR="006C66D4" w:rsidRDefault="00AD3B60">
      <w:pPr>
        <w:numPr>
          <w:ilvl w:val="0"/>
          <w:numId w:val="9"/>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部门绩效情况。</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1、圆满完成了年度人大常委会主任会议、人大常委会会议、县人大代表会议及其他有关会议的办文办会工作。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2、做好了人大常委会执法检查、视察调研、工作评议、专题询问等重要活动的服务保障工作。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3、进一步加强了机关内部管理和对外联系沟通服务性工作。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4、坚持围绕中心、服务大局，较好完成了全县性的有关重点工作。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5、完成了县人大常委会领导交办的其他工作。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五、评价结论及建议</w:t>
      </w:r>
    </w:p>
    <w:p w:rsidR="006C66D4" w:rsidRDefault="00AD3B60">
      <w:pPr>
        <w:pStyle w:val="a8"/>
        <w:shd w:val="clear" w:color="auto" w:fill="FFFFFF"/>
        <w:spacing w:before="0" w:beforeAutospacing="0" w:after="105" w:afterAutospacing="0" w:line="20"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（一）评价结论。（附相关评分表）</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一是预算执行到位。严格执行《预算法》和各项财经纪律，机关管理制度健全，财务管理规范，预算编制合理;   二是资金监管到位。自评得分98分。</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（二）存在问题</w:t>
      </w:r>
    </w:p>
    <w:p w:rsidR="006C66D4" w:rsidRDefault="00AD3B60">
      <w:pPr>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1.预算编制的合理性有待提高。预算编制时的前瞻性不够，实际资金支出过程中因实际情况发生变化与预算支出经济科目数有时存在偏差，预算编制精准化还有待进一步提高。</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2.资金使用效益有待进一步提高，绩效目标设立不够明确、细化和量化。</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（三）改进建议。</w:t>
      </w:r>
      <w:r>
        <w:rPr>
          <w:rFonts w:ascii="仿宋_GB2312" w:eastAsia="仿宋_GB2312" w:hAnsi="仿宋_GB2312" w:cs="仿宋_GB2312" w:hint="eastAsia"/>
          <w:sz w:val="28"/>
          <w:szCs w:val="28"/>
          <w:shd w:val="clear" w:color="auto" w:fill="FFFFFF"/>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rsidR="006C66D4" w:rsidRDefault="00AD3B60">
      <w:pPr>
        <w:ind w:firstLineChars="200" w:firstLine="560"/>
        <w:rPr>
          <w:rFonts w:ascii="黑体" w:eastAsia="黑体" w:hAnsi="黑体" w:cs="黑体"/>
          <w:sz w:val="32"/>
          <w:szCs w:val="32"/>
        </w:rPr>
      </w:pPr>
      <w:r>
        <w:rPr>
          <w:rFonts w:ascii="仿宋_GB2312" w:eastAsia="仿宋_GB2312" w:hAnsi="仿宋_GB2312" w:cs="仿宋_GB2312" w:hint="eastAsia"/>
          <w:sz w:val="28"/>
          <w:szCs w:val="28"/>
        </w:rPr>
        <w:t xml:space="preserve">      </w:t>
      </w:r>
      <w:r>
        <w:rPr>
          <w:rFonts w:ascii="仿宋" w:eastAsia="仿宋" w:hAnsi="仿宋" w:cs="仿宋" w:hint="eastAsia"/>
          <w:sz w:val="32"/>
          <w:szCs w:val="32"/>
          <w:shd w:val="clear" w:color="auto" w:fill="FFFFFF"/>
        </w:rPr>
        <w:t>              </w:t>
      </w:r>
    </w:p>
    <w:p w:rsidR="006C66D4" w:rsidRDefault="00AD3B60">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6C66D4" w:rsidRDefault="006C66D4">
      <w:pPr>
        <w:spacing w:line="580" w:lineRule="exact"/>
        <w:ind w:firstLineChars="200" w:firstLine="640"/>
        <w:rPr>
          <w:rFonts w:ascii="仿宋_GB2312" w:eastAsia="仿宋_GB2312" w:hAnsi="仿宋_GB2312" w:cs="仿宋_GB2312"/>
          <w:sz w:val="32"/>
          <w:szCs w:val="32"/>
        </w:rPr>
      </w:pPr>
    </w:p>
    <w:p w:rsidR="006C66D4" w:rsidRDefault="00AD3B60">
      <w:pPr>
        <w:widowControl/>
        <w:spacing w:line="600" w:lineRule="exact"/>
        <w:ind w:firstLineChars="200" w:firstLine="72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盐边</w:t>
      </w:r>
      <w:r w:rsidR="00B66192">
        <w:rPr>
          <w:rFonts w:ascii="仿宋_GB2312" w:eastAsia="仿宋_GB2312" w:hAnsi="仿宋_GB2312" w:cs="仿宋_GB2312" w:hint="eastAsia"/>
          <w:sz w:val="36"/>
          <w:szCs w:val="36"/>
        </w:rPr>
        <w:t>县人大常委会办公室</w:t>
      </w:r>
    </w:p>
    <w:p w:rsidR="006C66D4" w:rsidRDefault="00AD3B60">
      <w:pPr>
        <w:widowControl/>
        <w:spacing w:line="600" w:lineRule="exact"/>
        <w:ind w:firstLineChars="200" w:firstLine="72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2020年人大会议项目自评报告</w:t>
      </w:r>
    </w:p>
    <w:p w:rsidR="006C66D4" w:rsidRDefault="006C66D4">
      <w:pPr>
        <w:widowControl/>
        <w:spacing w:line="540" w:lineRule="exact"/>
        <w:ind w:firstLineChars="200" w:firstLine="420"/>
        <w:jc w:val="center"/>
        <w:rPr>
          <w:rFonts w:ascii="仿宋_GB2312" w:eastAsia="仿宋_GB2312" w:hAnsi="仿宋_GB2312" w:cs="仿宋_GB2312"/>
          <w:color w:val="707070"/>
          <w:szCs w:val="21"/>
        </w:rPr>
      </w:pPr>
    </w:p>
    <w:p w:rsidR="006C66D4" w:rsidRDefault="00AD3B60">
      <w:pPr>
        <w:widowControl/>
        <w:shd w:val="clear" w:color="auto" w:fill="FFFFFF"/>
        <w:wordWrap w:val="0"/>
        <w:spacing w:line="540" w:lineRule="exact"/>
        <w:jc w:val="center"/>
        <w:rPr>
          <w:rFonts w:ascii="仿宋_GB2312" w:eastAsia="仿宋_GB2312" w:hAnsi="仿宋_GB2312" w:cs="仿宋_GB2312"/>
          <w:color w:val="707070"/>
          <w:szCs w:val="21"/>
        </w:rPr>
      </w:pPr>
      <w:r>
        <w:rPr>
          <w:rFonts w:ascii="仿宋_GB2312" w:eastAsia="仿宋_GB2312" w:hAnsi="仿宋_GB2312" w:cs="仿宋_GB2312" w:hint="eastAsia"/>
          <w:color w:val="707070"/>
          <w:kern w:val="0"/>
          <w:szCs w:val="21"/>
          <w:shd w:val="clear" w:color="auto" w:fill="FFFFFF"/>
          <w:lang w:bidi="ar"/>
        </w:rPr>
        <w:t> </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_GB2312" w:eastAsia="仿宋_GB2312" w:hAnsi="仿宋_GB2312" w:cs="仿宋_GB2312" w:hint="eastAsia"/>
          <w:color w:val="707070"/>
          <w:kern w:val="0"/>
          <w:szCs w:val="21"/>
          <w:shd w:val="clear" w:color="auto" w:fill="FFFFFF"/>
          <w:lang w:bidi="ar"/>
        </w:rPr>
        <w:t xml:space="preserve">　　</w:t>
      </w:r>
      <w:r>
        <w:rPr>
          <w:rFonts w:ascii="仿宋_GB2312" w:eastAsia="仿宋_GB2312" w:hAnsi="仿宋_GB2312" w:cs="仿宋_GB2312" w:hint="eastAsia"/>
          <w:color w:val="707070"/>
          <w:kern w:val="0"/>
          <w:sz w:val="28"/>
          <w:szCs w:val="28"/>
          <w:shd w:val="clear" w:color="auto" w:fill="FFFFFF"/>
          <w:lang w:bidi="ar"/>
        </w:rPr>
        <w:t>一</w:t>
      </w:r>
      <w:r>
        <w:rPr>
          <w:rFonts w:ascii="仿宋" w:eastAsia="仿宋" w:hAnsi="仿宋" w:cs="仿宋" w:hint="eastAsia"/>
          <w:color w:val="707070"/>
          <w:kern w:val="0"/>
          <w:sz w:val="28"/>
          <w:szCs w:val="28"/>
          <w:shd w:val="clear" w:color="auto" w:fill="FFFFFF"/>
          <w:lang w:bidi="ar"/>
        </w:rPr>
        <w:t>、基本情况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（一）绩效目标情况</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1、经县委批准，2020年5月13日至16日，盐边县召开第十八届第五次会议（会期三天，</w:t>
      </w:r>
      <w:proofErr w:type="gramStart"/>
      <w:r>
        <w:rPr>
          <w:rFonts w:ascii="仿宋" w:eastAsia="仿宋" w:hAnsi="仿宋" w:cs="仿宋" w:hint="eastAsia"/>
          <w:color w:val="707070"/>
          <w:kern w:val="0"/>
          <w:sz w:val="28"/>
          <w:szCs w:val="28"/>
          <w:shd w:val="clear" w:color="auto" w:fill="FFFFFF"/>
          <w:lang w:bidi="ar"/>
        </w:rPr>
        <w:t>起散5天</w:t>
      </w:r>
      <w:proofErr w:type="gramEnd"/>
      <w:r>
        <w:rPr>
          <w:rFonts w:ascii="仿宋" w:eastAsia="仿宋" w:hAnsi="仿宋" w:cs="仿宋" w:hint="eastAsia"/>
          <w:color w:val="707070"/>
          <w:kern w:val="0"/>
          <w:sz w:val="28"/>
          <w:szCs w:val="28"/>
          <w:shd w:val="clear" w:color="auto" w:fill="FFFFFF"/>
          <w:lang w:bidi="ar"/>
        </w:rPr>
        <w:t>）。</w:t>
      </w:r>
    </w:p>
    <w:p w:rsidR="006C66D4" w:rsidRDefault="00AD3B60">
      <w:pPr>
        <w:widowControl/>
        <w:shd w:val="clear" w:color="auto" w:fill="FFFFFF"/>
        <w:wordWrap w:val="0"/>
        <w:spacing w:line="540" w:lineRule="exact"/>
        <w:ind w:firstLineChars="200"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2、人大其他各类专项工作。</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（二）预算下达情况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2020年人大会议费预算为1,524,481.22元，财政拨付1,524,481.22元。</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二、绩效自评工作开展情况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（一）前期准备：由县人大常委会办公室牵头组织开展评价工作，各工委提交相关资料，为评价提供充实的依据。</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（二）组织实施：</w:t>
      </w:r>
      <w:r w:rsidR="00B66192">
        <w:rPr>
          <w:rFonts w:ascii="仿宋" w:eastAsia="仿宋" w:hAnsi="仿宋" w:cs="仿宋" w:hint="eastAsia"/>
          <w:color w:val="707070"/>
          <w:kern w:val="0"/>
          <w:sz w:val="28"/>
          <w:szCs w:val="28"/>
          <w:shd w:val="clear" w:color="auto" w:fill="FFFFFF"/>
          <w:lang w:bidi="ar"/>
        </w:rPr>
        <w:t>县人大常委会办公室</w:t>
      </w:r>
      <w:r>
        <w:rPr>
          <w:rFonts w:ascii="仿宋" w:eastAsia="仿宋" w:hAnsi="仿宋" w:cs="仿宋" w:hint="eastAsia"/>
          <w:color w:val="707070"/>
          <w:kern w:val="0"/>
          <w:sz w:val="28"/>
          <w:szCs w:val="28"/>
          <w:shd w:val="clear" w:color="auto" w:fill="FFFFFF"/>
          <w:lang w:bidi="ar"/>
        </w:rPr>
        <w:t>根据各项目支出的有关绩效情况，填写《绩效目标自评表》，初步形成自评报告。在自评报告</w:t>
      </w:r>
      <w:r>
        <w:rPr>
          <w:rFonts w:ascii="仿宋" w:eastAsia="仿宋" w:hAnsi="仿宋" w:cs="仿宋" w:hint="eastAsia"/>
          <w:color w:val="707070"/>
          <w:kern w:val="0"/>
          <w:sz w:val="28"/>
          <w:szCs w:val="28"/>
          <w:shd w:val="clear" w:color="auto" w:fill="FFFFFF"/>
          <w:lang w:bidi="ar"/>
        </w:rPr>
        <w:lastRenderedPageBreak/>
        <w:t>的基础上，再结合项目实施情况展开评价。最后分析原因，提出建议，形成最终自评报告。</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（三）分析评价：此次预算绩效评价是加强机关财务管理、保证资金安全性和效益性的重要抓手，对照年初确定的绩效目标各项任务，加强项目和资金管理，确保资金使用合</w:t>
      </w:r>
      <w:proofErr w:type="gramStart"/>
      <w:r>
        <w:rPr>
          <w:rFonts w:ascii="仿宋" w:eastAsia="仿宋" w:hAnsi="仿宋" w:cs="仿宋" w:hint="eastAsia"/>
          <w:color w:val="707070"/>
          <w:kern w:val="0"/>
          <w:sz w:val="28"/>
          <w:szCs w:val="28"/>
          <w:shd w:val="clear" w:color="auto" w:fill="FFFFFF"/>
          <w:lang w:bidi="ar"/>
        </w:rPr>
        <w:t>规</w:t>
      </w:r>
      <w:proofErr w:type="gramEnd"/>
      <w:r>
        <w:rPr>
          <w:rFonts w:ascii="仿宋" w:eastAsia="仿宋" w:hAnsi="仿宋" w:cs="仿宋" w:hint="eastAsia"/>
          <w:color w:val="707070"/>
          <w:kern w:val="0"/>
          <w:sz w:val="28"/>
          <w:szCs w:val="28"/>
          <w:shd w:val="clear" w:color="auto" w:fill="FFFFFF"/>
          <w:lang w:bidi="ar"/>
        </w:rPr>
        <w:t>合法，促进工作效率提高，确保专项资金绩效评价工作达到预期目的。</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三、综合评价结论</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盐边县人大会议</w:t>
      </w:r>
      <w:proofErr w:type="gramStart"/>
      <w:r>
        <w:rPr>
          <w:rFonts w:ascii="仿宋" w:eastAsia="仿宋" w:hAnsi="仿宋" w:cs="仿宋" w:hint="eastAsia"/>
          <w:color w:val="707070"/>
          <w:kern w:val="0"/>
          <w:sz w:val="28"/>
          <w:szCs w:val="28"/>
          <w:shd w:val="clear" w:color="auto" w:fill="FFFFFF"/>
          <w:lang w:bidi="ar"/>
        </w:rPr>
        <w:t>费按照</w:t>
      </w:r>
      <w:proofErr w:type="gramEnd"/>
      <w:r>
        <w:rPr>
          <w:rFonts w:ascii="仿宋" w:eastAsia="仿宋" w:hAnsi="仿宋" w:cs="仿宋" w:hint="eastAsia"/>
          <w:color w:val="707070"/>
          <w:kern w:val="0"/>
          <w:sz w:val="28"/>
          <w:szCs w:val="28"/>
          <w:shd w:val="clear" w:color="auto" w:fill="FFFFFF"/>
          <w:lang w:bidi="ar"/>
        </w:rPr>
        <w:t>项目立项、资金落实、项目完成及时率、资金使用率、社会效益、满意度等共性指标以及县人大会议各项议程和其他相关工作顺利完成等个性指标的主要方面进行了自我综合评价，得分为98分。</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四、绩效目标实现情况分析</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（一）项目资金情况分析</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1、项目资金到位情况分析。人大会议费项目财政拨款1,524,481.22元，拨付及时，无滞留、闲置等现象。</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2、项目资金执行情况分析。严格按照一类会议的标准执行，人代会经费控制在预算范围内。2020年人大会议费支出经费1,524,481.22元，主要是印刷会议资料、会议用品、安排部分参会人员的食宿、租用车辆、租用会议室、印制证件、会议宣传及人大机关其他相关工作的各项费用（其中：办公费支出96,939.00元；印刷费8,324.20元；邮电费8,702.48元；差旅费51,956.00元；会议费1,346,265.54元；其他交通费1,280.00元；其他商品和服务支出11,014.00元）。资金的使用等于项目预算。</w:t>
      </w:r>
    </w:p>
    <w:p w:rsidR="006C66D4" w:rsidRDefault="00AD3B60">
      <w:pPr>
        <w:widowControl/>
        <w:shd w:val="clear" w:color="auto" w:fill="FFFFFF"/>
        <w:wordWrap w:val="0"/>
        <w:spacing w:line="540" w:lineRule="exact"/>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 xml:space="preserve">　　3、项目资金管理情况分析。一是严格按照《盐边县财政局关于批复2020年部门预算的通知》中人大会议费预算范围内开支。二是</w:t>
      </w:r>
      <w:r w:rsidR="00BC3F51">
        <w:rPr>
          <w:rFonts w:ascii="仿宋" w:eastAsia="仿宋" w:hAnsi="仿宋" w:cs="仿宋" w:hint="eastAsia"/>
          <w:color w:val="707070"/>
          <w:kern w:val="0"/>
          <w:sz w:val="28"/>
          <w:szCs w:val="28"/>
          <w:shd w:val="clear" w:color="auto" w:fill="FFFFFF"/>
          <w:lang w:bidi="ar"/>
        </w:rPr>
        <w:lastRenderedPageBreak/>
        <w:t>认真落实中央八项规定</w:t>
      </w:r>
      <w:r>
        <w:rPr>
          <w:rFonts w:ascii="仿宋" w:eastAsia="仿宋" w:hAnsi="仿宋" w:cs="仿宋" w:hint="eastAsia"/>
          <w:color w:val="707070"/>
          <w:kern w:val="0"/>
          <w:sz w:val="28"/>
          <w:szCs w:val="28"/>
          <w:shd w:val="clear" w:color="auto" w:fill="FFFFFF"/>
          <w:lang w:bidi="ar"/>
        </w:rPr>
        <w:t>精神及省市县“十项”规定，厉行节约，经费控制在预算范围内。三是支出依据合</w:t>
      </w:r>
      <w:proofErr w:type="gramStart"/>
      <w:r>
        <w:rPr>
          <w:rFonts w:ascii="仿宋" w:eastAsia="仿宋" w:hAnsi="仿宋" w:cs="仿宋" w:hint="eastAsia"/>
          <w:color w:val="707070"/>
          <w:kern w:val="0"/>
          <w:sz w:val="28"/>
          <w:szCs w:val="28"/>
          <w:shd w:val="clear" w:color="auto" w:fill="FFFFFF"/>
          <w:lang w:bidi="ar"/>
        </w:rPr>
        <w:t>规</w:t>
      </w:r>
      <w:proofErr w:type="gramEnd"/>
      <w:r>
        <w:rPr>
          <w:rFonts w:ascii="仿宋" w:eastAsia="仿宋" w:hAnsi="仿宋" w:cs="仿宋" w:hint="eastAsia"/>
          <w:color w:val="707070"/>
          <w:kern w:val="0"/>
          <w:sz w:val="28"/>
          <w:szCs w:val="28"/>
          <w:shd w:val="clear" w:color="auto" w:fill="FFFFFF"/>
          <w:lang w:bidi="ar"/>
        </w:rPr>
        <w:t>，无虚列项目支出、截留挤占挪用、超标准开支和超预算开支等违规情况。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（二）项目绩效指标完成情况分析</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1、产出指标完成情况分析：2020年5月13日至16日，盐边县召开了第十八届人民代表大会第五次会议，150名代表出席会议，29人列席会议，保证了人代会的顺利召开和人大机关其他工作的有序开展。达到了预期目标。</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2、效益指标完成情况分析：一是会议认真听取和审查《盐边县人民政府工作报告》、审查和批准《关于盐边县2019年国民经济和社会发展计划执行情况及2020年国民经济和社会发展计划（草案）的报告》、审查和批准《关于盐边县2019年财政预算执行情况和2020年财政预算（草案）的报告》、听取和审查《盐边县人大常委会工作报告》、听取和审查《盐边县人民法院工作报告》、听取和审查《盐边县人民检察院工作报告》、选举事项，实现了代表满意的目标，完成率100%。二是抓好会前、会中、会后三个环节，认真细致、严谨规范、扎实高效做好各项服务保障工作，做到零差错、零失误，圆满完成了会议的各项议程。达到了预期目标。</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3、圆满完成了2020年的各项目标任务。在县委的坚强领导下，围绕中心依法履职，扎实开展监督、决定和代表工作,以饱满的热情、务实的作风、担当的精神，推进人大工作再上新台阶</w:t>
      </w:r>
    </w:p>
    <w:p w:rsidR="006C66D4" w:rsidRDefault="00AD3B60">
      <w:pPr>
        <w:widowControl/>
        <w:shd w:val="clear" w:color="auto" w:fill="FFFFFF"/>
        <w:wordWrap w:val="0"/>
        <w:spacing w:line="540" w:lineRule="exact"/>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 xml:space="preserve">　　4、满意度指标完成情况分析：达到了代表满意、社会满意。</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五、相关建议</w:t>
      </w:r>
    </w:p>
    <w:p w:rsidR="006C66D4" w:rsidRDefault="00AD3B60">
      <w:pPr>
        <w:widowControl/>
        <w:shd w:val="clear" w:color="auto" w:fill="FFFFFF"/>
        <w:wordWrap w:val="0"/>
        <w:spacing w:line="540" w:lineRule="exact"/>
        <w:jc w:val="left"/>
        <w:rPr>
          <w:rFonts w:ascii="仿宋" w:eastAsia="仿宋" w:hAnsi="仿宋" w:cs="仿宋"/>
          <w:color w:val="969696"/>
          <w:sz w:val="28"/>
          <w:szCs w:val="28"/>
        </w:rPr>
      </w:pPr>
      <w:r>
        <w:rPr>
          <w:rFonts w:ascii="仿宋" w:eastAsia="仿宋" w:hAnsi="仿宋" w:cs="仿宋" w:hint="eastAsia"/>
          <w:color w:val="707070"/>
          <w:kern w:val="0"/>
          <w:sz w:val="28"/>
          <w:szCs w:val="28"/>
          <w:shd w:val="clear" w:color="auto" w:fill="FFFFFF"/>
          <w:lang w:bidi="ar"/>
        </w:rPr>
        <w:t xml:space="preserve">　　我们将在下一步的工作中，认真总结，进一步改进会务工作，</w:t>
      </w:r>
      <w:proofErr w:type="gramStart"/>
      <w:r>
        <w:rPr>
          <w:rFonts w:ascii="仿宋" w:eastAsia="仿宋" w:hAnsi="仿宋" w:cs="仿宋" w:hint="eastAsia"/>
          <w:color w:val="707070"/>
          <w:kern w:val="0"/>
          <w:sz w:val="28"/>
          <w:szCs w:val="28"/>
          <w:shd w:val="clear" w:color="auto" w:fill="FFFFFF"/>
          <w:lang w:bidi="ar"/>
        </w:rPr>
        <w:t>提升办会水</w:t>
      </w:r>
      <w:proofErr w:type="gramEnd"/>
      <w:r>
        <w:rPr>
          <w:rFonts w:ascii="仿宋" w:eastAsia="仿宋" w:hAnsi="仿宋" w:cs="仿宋" w:hint="eastAsia"/>
          <w:color w:val="707070"/>
          <w:kern w:val="0"/>
          <w:sz w:val="28"/>
          <w:szCs w:val="28"/>
          <w:shd w:val="clear" w:color="auto" w:fill="FFFFFF"/>
          <w:lang w:bidi="ar"/>
        </w:rPr>
        <w:t>平和质量。</w:t>
      </w:r>
    </w:p>
    <w:p w:rsidR="006C66D4" w:rsidRDefault="00AD3B60">
      <w:pPr>
        <w:widowControl/>
        <w:spacing w:line="600" w:lineRule="exact"/>
        <w:rPr>
          <w:rFonts w:ascii="仿宋" w:eastAsia="仿宋" w:hAnsi="仿宋" w:cs="仿宋"/>
          <w:sz w:val="28"/>
          <w:szCs w:val="28"/>
        </w:rPr>
      </w:pPr>
      <w:r>
        <w:rPr>
          <w:rFonts w:ascii="仿宋" w:eastAsia="仿宋" w:hAnsi="仿宋" w:cs="仿宋" w:hint="eastAsia"/>
          <w:sz w:val="28"/>
          <w:szCs w:val="28"/>
        </w:rPr>
        <w:lastRenderedPageBreak/>
        <w:t>附件3</w:t>
      </w:r>
    </w:p>
    <w:p w:rsidR="006C66D4" w:rsidRDefault="00AD3B60">
      <w:pPr>
        <w:widowControl/>
        <w:spacing w:line="600" w:lineRule="exact"/>
        <w:ind w:firstLineChars="800" w:firstLine="2240"/>
        <w:rPr>
          <w:rFonts w:ascii="仿宋" w:eastAsia="仿宋" w:hAnsi="仿宋" w:cs="仿宋"/>
          <w:sz w:val="28"/>
          <w:szCs w:val="28"/>
        </w:rPr>
      </w:pPr>
      <w:r>
        <w:rPr>
          <w:rFonts w:ascii="仿宋" w:eastAsia="仿宋" w:hAnsi="仿宋" w:cs="仿宋" w:hint="eastAsia"/>
          <w:sz w:val="28"/>
          <w:szCs w:val="28"/>
        </w:rPr>
        <w:t>盐边</w:t>
      </w:r>
      <w:r w:rsidR="00B66192">
        <w:rPr>
          <w:rFonts w:ascii="仿宋" w:eastAsia="仿宋" w:hAnsi="仿宋" w:cs="仿宋" w:hint="eastAsia"/>
          <w:sz w:val="28"/>
          <w:szCs w:val="28"/>
        </w:rPr>
        <w:t>县人大常委会办公室</w:t>
      </w:r>
    </w:p>
    <w:p w:rsidR="006C66D4" w:rsidRDefault="00AD3B60">
      <w:pPr>
        <w:widowControl/>
        <w:spacing w:line="600" w:lineRule="exact"/>
        <w:ind w:firstLineChars="200" w:firstLine="560"/>
        <w:jc w:val="center"/>
        <w:rPr>
          <w:rFonts w:ascii="仿宋" w:eastAsia="仿宋" w:hAnsi="仿宋" w:cs="仿宋"/>
          <w:color w:val="333333"/>
          <w:sz w:val="28"/>
          <w:szCs w:val="28"/>
        </w:rPr>
      </w:pPr>
      <w:r>
        <w:rPr>
          <w:rFonts w:ascii="仿宋" w:eastAsia="仿宋" w:hAnsi="仿宋" w:cs="仿宋" w:hint="eastAsia"/>
          <w:sz w:val="28"/>
          <w:szCs w:val="28"/>
        </w:rPr>
        <w:t>2020年人大代表工作项目自评报告</w:t>
      </w:r>
    </w:p>
    <w:p w:rsidR="006C66D4" w:rsidRDefault="00AD3B60">
      <w:pPr>
        <w:widowControl/>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xml:space="preserve">　　</w:t>
      </w:r>
    </w:p>
    <w:p w:rsidR="006C66D4" w:rsidRDefault="00AD3B60">
      <w:pPr>
        <w:widowControl/>
        <w:numPr>
          <w:ilvl w:val="0"/>
          <w:numId w:val="10"/>
        </w:num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项目基本情况</w:t>
      </w:r>
    </w:p>
    <w:p w:rsidR="006C66D4" w:rsidRDefault="00AD3B60">
      <w:pPr>
        <w:widowControl/>
        <w:numPr>
          <w:ilvl w:val="0"/>
          <w:numId w:val="11"/>
        </w:numPr>
        <w:ind w:firstLineChars="300" w:firstLine="84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为充分发挥人大代表积极履行宪法和法律赋予的职责。2020年，县财政预算安排人大办代表活动经费266,804.35元，保障我县人大代表工作的顺利开展。</w:t>
      </w:r>
    </w:p>
    <w:p w:rsidR="006C66D4" w:rsidRDefault="00AD3B60">
      <w:pPr>
        <w:widowControl/>
        <w:numPr>
          <w:ilvl w:val="0"/>
          <w:numId w:val="11"/>
        </w:numPr>
        <w:ind w:firstLineChars="300" w:firstLine="840"/>
        <w:jc w:val="lef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主要绩效目标：建立健全工作机制，进一步加强人大代表工作。丰富代表活动内容，进一步增强代表活动实效性。加强代表培训，提高代表</w:t>
      </w:r>
      <w:proofErr w:type="gramStart"/>
      <w:r>
        <w:rPr>
          <w:rFonts w:ascii="仿宋" w:eastAsia="仿宋" w:hAnsi="仿宋" w:cs="仿宋" w:hint="eastAsia"/>
          <w:color w:val="333333"/>
          <w:sz w:val="28"/>
          <w:szCs w:val="28"/>
          <w:shd w:val="clear" w:color="auto" w:fill="FFFFFF"/>
        </w:rPr>
        <w:t>履</w:t>
      </w:r>
      <w:proofErr w:type="gramEnd"/>
      <w:r>
        <w:rPr>
          <w:rFonts w:ascii="仿宋" w:eastAsia="仿宋" w:hAnsi="仿宋" w:cs="仿宋" w:hint="eastAsia"/>
          <w:color w:val="333333"/>
          <w:sz w:val="28"/>
          <w:szCs w:val="28"/>
          <w:shd w:val="clear" w:color="auto" w:fill="FFFFFF"/>
        </w:rPr>
        <w:t>职能力。</w:t>
      </w:r>
    </w:p>
    <w:p w:rsidR="006C66D4" w:rsidRDefault="00AD3B60">
      <w:pPr>
        <w:widowControl/>
        <w:numPr>
          <w:ilvl w:val="0"/>
          <w:numId w:val="10"/>
        </w:num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xml:space="preserve">项目实施基本情况　</w:t>
      </w:r>
    </w:p>
    <w:p w:rsidR="006C66D4" w:rsidRDefault="00AD3B60">
      <w:pPr>
        <w:widowControl/>
        <w:numPr>
          <w:ilvl w:val="0"/>
          <w:numId w:val="12"/>
        </w:numPr>
        <w:ind w:left="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项目组织管理情况</w:t>
      </w:r>
    </w:p>
    <w:p w:rsidR="006C66D4" w:rsidRDefault="00AD3B60">
      <w:pPr>
        <w:widowControl/>
        <w:ind w:firstLineChars="100" w:firstLine="280"/>
        <w:jc w:val="lef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在单位领导重视下，该项目年度预算执行质量总体较好，审批程序符合规定，会计核算及财务报表基本反映了预算执行情况。要求对该项目年初设置的绩效目标实现程度和预算执行进度进行“双监控”，发现严重偏差，及时反馈，采取有效措施，重点跟踪，及时纠偏，有效推进各阶段任务按时完成，确保了年度目标任务的完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(二)项目财务管理状况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盐边县人大常委会办公室为一级预算单位，执行《行政单位会计制度》，独立核算管理。代表工作经费由财务室通过财政大平台系统</w:t>
      </w:r>
      <w:r>
        <w:rPr>
          <w:rFonts w:ascii="仿宋" w:eastAsia="仿宋" w:hAnsi="仿宋" w:cs="仿宋" w:hint="eastAsia"/>
          <w:color w:val="333333"/>
          <w:sz w:val="28"/>
          <w:szCs w:val="28"/>
          <w:shd w:val="clear" w:color="auto" w:fill="FFFFFF"/>
        </w:rPr>
        <w:lastRenderedPageBreak/>
        <w:t>向县财政局申请用款额度后，再予以核销，年度资金到位率100%，项目总投资266,804.35元，实际支出266,804.35元(其中：</w:t>
      </w:r>
      <w:r>
        <w:rPr>
          <w:rFonts w:ascii="仿宋" w:eastAsia="仿宋" w:hAnsi="仿宋" w:cs="仿宋" w:hint="eastAsia"/>
          <w:sz w:val="28"/>
          <w:szCs w:val="28"/>
        </w:rPr>
        <w:t>办公费支出36,492.00元；差旅费16,415.35元；会议费96,697.00元；其他商品和服务支出88,200.00元；维修（护）费23,600.00元；租赁费5,400.00元）。</w:t>
      </w:r>
      <w:r>
        <w:rPr>
          <w:rFonts w:ascii="仿宋" w:eastAsia="仿宋" w:hAnsi="仿宋" w:cs="仿宋" w:hint="eastAsia"/>
          <w:color w:val="333333"/>
          <w:sz w:val="28"/>
          <w:szCs w:val="28"/>
          <w:shd w:val="clear" w:color="auto" w:fill="FFFFFF"/>
        </w:rPr>
        <w:t>在资金使用方面严格遵守中央八项规定精神、以及其他财务管理等相关规定，做到“花钱必有效、无效必问责”。</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三、项目绩效分析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proofErr w:type="gramStart"/>
      <w:r>
        <w:rPr>
          <w:rFonts w:ascii="仿宋" w:eastAsia="仿宋" w:hAnsi="仿宋" w:cs="仿宋" w:hint="eastAsia"/>
          <w:color w:val="333333"/>
          <w:sz w:val="28"/>
          <w:szCs w:val="28"/>
          <w:shd w:val="clear" w:color="auto" w:fill="FFFFFF"/>
        </w:rPr>
        <w:t>一</w:t>
      </w:r>
      <w:proofErr w:type="gramEnd"/>
      <w:r>
        <w:rPr>
          <w:rFonts w:ascii="仿宋" w:eastAsia="仿宋" w:hAnsi="仿宋" w:cs="仿宋" w:hint="eastAsia"/>
          <w:color w:val="333333"/>
          <w:sz w:val="28"/>
          <w:szCs w:val="28"/>
          <w:shd w:val="clear" w:color="auto" w:fill="FFFFFF"/>
        </w:rPr>
        <w:t>)项目绩效评价工作开展情况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选用的评价方法主要是比较法、因素分析法。通过检查核实相关资料等方式，对工作成效进行了检查、核实，年度绩效目标总体完成情况良好，项目自评98分，自评等级优秀。</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(二)项目绩效目标完成情况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1.投入目标完成情况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(1)时效目标情况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时效目标方面，资金到位率绩效目标值100%，实际完成值100%，目标值完成比例100%;项目完成时效绩效目标值12月，实际完成值12月，目标值完成比例100%。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(2)成本目标情况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2020年人大代表工作经费绩效目标值266,804.35元，实际完成值266,804.35元，目标值完成比例为100%。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2.产出目标完成情况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(1)数量目标情况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形成调研报告绩效目标值6份,实际完成值6份,目标值完成比例为100%;代表集中视察绩效目标值1次,实际完成值1次,目标值完成比例为100%;订阅相关报刊杂志3类，实际完成值1次,目标值完成比例为100%；完成代表培训次数绩效目标值1次,实际完成值1次,目标值完成比例为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(2)质量目标情况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代表建议办结率绩效目标值100%，实际完成值100%，目标值完成比例为100%。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3.效益目标完成情况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(1)社会效益目标情况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群众关心热点难点逐步得到解决，绩效目标值逐步得到解决，实际完成值逐步得到解决，目标值完成。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(2)服务对象满意</w:t>
      </w:r>
      <w:proofErr w:type="gramStart"/>
      <w:r>
        <w:rPr>
          <w:rFonts w:ascii="仿宋" w:eastAsia="仿宋" w:hAnsi="仿宋" w:cs="仿宋" w:hint="eastAsia"/>
          <w:color w:val="333333"/>
          <w:sz w:val="28"/>
          <w:szCs w:val="28"/>
          <w:shd w:val="clear" w:color="auto" w:fill="FFFFFF"/>
        </w:rPr>
        <w:t>度目标</w:t>
      </w:r>
      <w:proofErr w:type="gramEnd"/>
      <w:r>
        <w:rPr>
          <w:rFonts w:ascii="仿宋" w:eastAsia="仿宋" w:hAnsi="仿宋" w:cs="仿宋" w:hint="eastAsia"/>
          <w:color w:val="333333"/>
          <w:sz w:val="28"/>
          <w:szCs w:val="28"/>
          <w:shd w:val="clear" w:color="auto" w:fill="FFFFFF"/>
        </w:rPr>
        <w:t>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建议意见办理满意率绩效目标值为100%，实际完成值100%，目标值完成比例100%。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(三)项目绩效分析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总分值为100分，其中投入(30%)、过程(30%)、产出与效益(40%)，实际自评得分98分。</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四、项目存在问题和改进措施</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proofErr w:type="gramStart"/>
      <w:r>
        <w:rPr>
          <w:rFonts w:ascii="仿宋" w:eastAsia="仿宋" w:hAnsi="仿宋" w:cs="仿宋" w:hint="eastAsia"/>
          <w:color w:val="333333"/>
          <w:sz w:val="28"/>
          <w:szCs w:val="28"/>
          <w:shd w:val="clear" w:color="auto" w:fill="FFFFFF"/>
        </w:rPr>
        <w:t>一</w:t>
      </w:r>
      <w:proofErr w:type="gramEnd"/>
      <w:r>
        <w:rPr>
          <w:rFonts w:ascii="仿宋" w:eastAsia="仿宋" w:hAnsi="仿宋" w:cs="仿宋" w:hint="eastAsia"/>
          <w:color w:val="333333"/>
          <w:sz w:val="28"/>
          <w:szCs w:val="28"/>
          <w:shd w:val="clear" w:color="auto" w:fill="FFFFFF"/>
        </w:rPr>
        <w:t>)项目存在的问题：</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1.在年度预算执行中，存在差旅费报销不规范问题，已整改;</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2.部分绩效指标设立科学性有待加强，还不够细化。</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3.人大代表工作水平还需进一步提高，代表培训还需进一步加强。</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(二)项目改进措施：</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根据项目实际执行情况，设立更加科学、明确、细化的项目绩效指标。强化不可预见情况综合分析，合理确定绩效目标，进一步细化标准，提高绩效指标值的精细程度，制定更加完备的工作计划，对各项费用的开支做到事前预算，事后控制，使预算执行严格按照年初预算安排进行，不断提高部门预算和绩效管理水平。</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2、进一步创新人大代表工作方式，拓展代表履职途径，搭建好履职平台。加强代表业务培训。提高代表</w:t>
      </w:r>
      <w:proofErr w:type="gramStart"/>
      <w:r>
        <w:rPr>
          <w:rFonts w:ascii="仿宋" w:eastAsia="仿宋" w:hAnsi="仿宋" w:cs="仿宋" w:hint="eastAsia"/>
          <w:color w:val="333333"/>
          <w:sz w:val="28"/>
          <w:szCs w:val="28"/>
          <w:shd w:val="clear" w:color="auto" w:fill="FFFFFF"/>
        </w:rPr>
        <w:t>履</w:t>
      </w:r>
      <w:proofErr w:type="gramEnd"/>
      <w:r>
        <w:rPr>
          <w:rFonts w:ascii="仿宋" w:eastAsia="仿宋" w:hAnsi="仿宋" w:cs="仿宋" w:hint="eastAsia"/>
          <w:color w:val="333333"/>
          <w:sz w:val="28"/>
          <w:szCs w:val="28"/>
          <w:shd w:val="clear" w:color="auto" w:fill="FFFFFF"/>
        </w:rPr>
        <w:t>职能力。</w:t>
      </w:r>
    </w:p>
    <w:p w:rsidR="006C66D4" w:rsidRDefault="00AD3B60">
      <w:pPr>
        <w:pStyle w:val="a8"/>
        <w:shd w:val="clear" w:color="auto" w:fill="FFFFFF"/>
        <w:spacing w:before="225" w:beforeAutospacing="0" w:after="0" w:afterAutospacing="0" w:line="375" w:lineRule="atLeast"/>
        <w:ind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五、下一步改进工作的意见和建议</w:t>
      </w:r>
    </w:p>
    <w:p w:rsidR="006C66D4" w:rsidRDefault="00AD3B60">
      <w:pPr>
        <w:pStyle w:val="a8"/>
        <w:shd w:val="clear" w:color="auto" w:fill="FFFFFF"/>
        <w:spacing w:before="225" w:beforeAutospacing="0" w:after="0" w:afterAutospacing="0" w:line="375" w:lineRule="atLeast"/>
        <w:ind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一是进一步提高对绩效目标管理重要性的认识，树立“花钱必问效、无效必问责”的绩效理念;二是通过开展绩效评价，反复验证已建立绩效指标体系的科学性、合理性，进一步健全完善绩效目标指标体系。三是推动绩效结果运用，提高项目预算编制的质量和绩效管理水平。</w:t>
      </w:r>
    </w:p>
    <w:p w:rsidR="006C66D4" w:rsidRDefault="006C66D4">
      <w:pPr>
        <w:widowControl/>
        <w:snapToGrid w:val="0"/>
        <w:spacing w:line="560" w:lineRule="exact"/>
        <w:rPr>
          <w:rFonts w:ascii="黑体" w:eastAsia="黑体" w:hAnsi="黑体"/>
          <w:sz w:val="44"/>
          <w:szCs w:val="44"/>
        </w:rPr>
      </w:pPr>
      <w:bookmarkStart w:id="94" w:name="_Toc15396618"/>
      <w:bookmarkStart w:id="95" w:name="_Toc52180099"/>
    </w:p>
    <w:p w:rsidR="006C66D4" w:rsidRDefault="00AD3B60">
      <w:pPr>
        <w:widowControl/>
        <w:snapToGrid w:val="0"/>
        <w:spacing w:line="560" w:lineRule="exact"/>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五部分 附表</w:t>
      </w:r>
      <w:bookmarkEnd w:id="90"/>
      <w:bookmarkEnd w:id="94"/>
      <w:bookmarkEnd w:id="95"/>
    </w:p>
    <w:p w:rsidR="006C66D4" w:rsidRDefault="006C66D4">
      <w:pPr>
        <w:spacing w:line="600" w:lineRule="exact"/>
        <w:jc w:val="center"/>
        <w:outlineLvl w:val="0"/>
        <w:rPr>
          <w:rFonts w:ascii="仿宋" w:eastAsia="仿宋" w:hAnsi="仿宋"/>
          <w:b/>
          <w:sz w:val="44"/>
          <w:szCs w:val="44"/>
        </w:rPr>
      </w:pPr>
    </w:p>
    <w:p w:rsidR="006C66D4" w:rsidRDefault="00AD3B60">
      <w:pPr>
        <w:spacing w:line="600" w:lineRule="exact"/>
        <w:jc w:val="left"/>
        <w:outlineLvl w:val="0"/>
        <w:rPr>
          <w:rFonts w:ascii="仿宋_GB2312" w:eastAsia="仿宋_GB2312" w:hAnsi="宋体"/>
          <w:sz w:val="32"/>
          <w:szCs w:val="32"/>
          <w:lang w:val="zh-CN"/>
        </w:rPr>
      </w:pPr>
      <w:bookmarkStart w:id="96" w:name="_Toc85023703"/>
      <w:bookmarkStart w:id="97" w:name="_Toc15396619"/>
      <w:bookmarkStart w:id="98" w:name="_Toc52180100"/>
      <w:r>
        <w:rPr>
          <w:rFonts w:ascii="仿宋_GB2312" w:eastAsia="仿宋_GB2312" w:hAnsi="宋体" w:hint="eastAsia"/>
          <w:sz w:val="32"/>
          <w:szCs w:val="32"/>
          <w:lang w:val="zh-CN"/>
        </w:rPr>
        <w:t>一、收入支出决算总表</w:t>
      </w:r>
      <w:bookmarkEnd w:id="96"/>
    </w:p>
    <w:p w:rsidR="006C66D4" w:rsidRDefault="00AD3B60">
      <w:pPr>
        <w:spacing w:line="600" w:lineRule="exact"/>
        <w:jc w:val="left"/>
        <w:outlineLvl w:val="0"/>
        <w:rPr>
          <w:rFonts w:ascii="仿宋_GB2312" w:eastAsia="仿宋_GB2312" w:hAnsi="宋体"/>
          <w:sz w:val="32"/>
          <w:szCs w:val="32"/>
          <w:lang w:val="zh-CN"/>
        </w:rPr>
      </w:pPr>
      <w:bookmarkStart w:id="99" w:name="_Toc85023704"/>
      <w:r>
        <w:rPr>
          <w:rFonts w:ascii="仿宋_GB2312" w:eastAsia="仿宋_GB2312" w:hAnsi="宋体" w:hint="eastAsia"/>
          <w:sz w:val="32"/>
          <w:szCs w:val="32"/>
          <w:lang w:val="zh-CN"/>
        </w:rPr>
        <w:t>二、收入决算表</w:t>
      </w:r>
      <w:bookmarkEnd w:id="99"/>
    </w:p>
    <w:p w:rsidR="006C66D4" w:rsidRDefault="00AD3B60">
      <w:pPr>
        <w:spacing w:line="600" w:lineRule="exact"/>
        <w:jc w:val="left"/>
        <w:outlineLvl w:val="0"/>
        <w:rPr>
          <w:rFonts w:ascii="仿宋_GB2312" w:eastAsia="仿宋_GB2312" w:hAnsi="宋体"/>
          <w:sz w:val="32"/>
          <w:szCs w:val="32"/>
          <w:lang w:val="zh-CN"/>
        </w:rPr>
      </w:pPr>
      <w:bookmarkStart w:id="100" w:name="_Toc85023705"/>
      <w:r>
        <w:rPr>
          <w:rFonts w:ascii="仿宋_GB2312" w:eastAsia="仿宋_GB2312" w:hAnsi="宋体" w:hint="eastAsia"/>
          <w:sz w:val="32"/>
          <w:szCs w:val="32"/>
          <w:lang w:val="zh-CN"/>
        </w:rPr>
        <w:t>三、支出决算表</w:t>
      </w:r>
      <w:bookmarkEnd w:id="100"/>
    </w:p>
    <w:p w:rsidR="006C66D4" w:rsidRDefault="00AD3B60">
      <w:pPr>
        <w:spacing w:line="600" w:lineRule="exact"/>
        <w:jc w:val="left"/>
        <w:outlineLvl w:val="0"/>
        <w:rPr>
          <w:rFonts w:ascii="仿宋_GB2312" w:eastAsia="仿宋_GB2312" w:hAnsi="宋体"/>
          <w:sz w:val="32"/>
          <w:szCs w:val="32"/>
          <w:lang w:val="zh-CN"/>
        </w:rPr>
      </w:pPr>
      <w:bookmarkStart w:id="101" w:name="_Toc85023706"/>
      <w:r>
        <w:rPr>
          <w:rFonts w:ascii="仿宋_GB2312" w:eastAsia="仿宋_GB2312" w:hAnsi="宋体" w:hint="eastAsia"/>
          <w:sz w:val="32"/>
          <w:szCs w:val="32"/>
          <w:lang w:val="zh-CN"/>
        </w:rPr>
        <w:t>四、财政拨款收入支出决算总表</w:t>
      </w:r>
      <w:bookmarkEnd w:id="101"/>
    </w:p>
    <w:p w:rsidR="006C66D4" w:rsidRDefault="00AD3B60">
      <w:pPr>
        <w:spacing w:line="600" w:lineRule="exact"/>
        <w:jc w:val="left"/>
        <w:outlineLvl w:val="0"/>
        <w:rPr>
          <w:rFonts w:ascii="仿宋_GB2312" w:eastAsia="仿宋_GB2312" w:hAnsi="宋体"/>
          <w:sz w:val="32"/>
          <w:szCs w:val="32"/>
          <w:lang w:val="zh-CN"/>
        </w:rPr>
      </w:pPr>
      <w:bookmarkStart w:id="102" w:name="_Toc85023707"/>
      <w:r>
        <w:rPr>
          <w:rFonts w:ascii="仿宋_GB2312" w:eastAsia="仿宋_GB2312" w:hAnsi="宋体" w:hint="eastAsia"/>
          <w:sz w:val="32"/>
          <w:szCs w:val="32"/>
          <w:lang w:val="zh-CN"/>
        </w:rPr>
        <w:t>五、财政拨款支出决算明细表</w:t>
      </w:r>
      <w:bookmarkEnd w:id="102"/>
    </w:p>
    <w:p w:rsidR="006C66D4" w:rsidRDefault="00AD3B60">
      <w:pPr>
        <w:spacing w:line="600" w:lineRule="exact"/>
        <w:jc w:val="left"/>
        <w:outlineLvl w:val="0"/>
        <w:rPr>
          <w:rFonts w:ascii="仿宋_GB2312" w:eastAsia="仿宋_GB2312" w:hAnsi="宋体"/>
          <w:sz w:val="32"/>
          <w:szCs w:val="32"/>
          <w:lang w:val="zh-CN"/>
        </w:rPr>
      </w:pPr>
      <w:bookmarkStart w:id="103" w:name="_Toc85023708"/>
      <w:r>
        <w:rPr>
          <w:rFonts w:ascii="仿宋_GB2312" w:eastAsia="仿宋_GB2312" w:hAnsi="宋体" w:hint="eastAsia"/>
          <w:sz w:val="32"/>
          <w:szCs w:val="32"/>
          <w:lang w:val="zh-CN"/>
        </w:rPr>
        <w:t>六、一般公共预算财政拨款支出决算表</w:t>
      </w:r>
      <w:bookmarkEnd w:id="103"/>
    </w:p>
    <w:p w:rsidR="006C66D4" w:rsidRDefault="00AD3B60">
      <w:pPr>
        <w:spacing w:line="600" w:lineRule="exact"/>
        <w:jc w:val="left"/>
        <w:outlineLvl w:val="0"/>
        <w:rPr>
          <w:rFonts w:ascii="仿宋_GB2312" w:eastAsia="仿宋_GB2312" w:hAnsi="宋体"/>
          <w:sz w:val="32"/>
          <w:szCs w:val="32"/>
          <w:lang w:val="zh-CN"/>
        </w:rPr>
      </w:pPr>
      <w:bookmarkStart w:id="104" w:name="_Toc85023709"/>
      <w:r>
        <w:rPr>
          <w:rFonts w:ascii="仿宋_GB2312" w:eastAsia="仿宋_GB2312" w:hAnsi="宋体" w:hint="eastAsia"/>
          <w:sz w:val="32"/>
          <w:szCs w:val="32"/>
          <w:lang w:val="zh-CN"/>
        </w:rPr>
        <w:t>七、一般公共预算财政拨款支出决算明细表</w:t>
      </w:r>
      <w:bookmarkEnd w:id="104"/>
    </w:p>
    <w:p w:rsidR="006C66D4" w:rsidRDefault="00AD3B60">
      <w:pPr>
        <w:spacing w:line="600" w:lineRule="exact"/>
        <w:jc w:val="left"/>
        <w:outlineLvl w:val="0"/>
        <w:rPr>
          <w:rFonts w:ascii="仿宋_GB2312" w:eastAsia="仿宋_GB2312" w:hAnsi="宋体"/>
          <w:sz w:val="32"/>
          <w:szCs w:val="32"/>
          <w:lang w:val="zh-CN"/>
        </w:rPr>
      </w:pPr>
      <w:bookmarkStart w:id="105" w:name="_Toc85023710"/>
      <w:r>
        <w:rPr>
          <w:rFonts w:ascii="仿宋_GB2312" w:eastAsia="仿宋_GB2312" w:hAnsi="宋体" w:hint="eastAsia"/>
          <w:sz w:val="32"/>
          <w:szCs w:val="32"/>
          <w:lang w:val="zh-CN"/>
        </w:rPr>
        <w:t>八、一般公共预算财政拨款基本支出决算表</w:t>
      </w:r>
      <w:bookmarkEnd w:id="105"/>
    </w:p>
    <w:p w:rsidR="006C66D4" w:rsidRDefault="00AD3B60">
      <w:pPr>
        <w:spacing w:line="600" w:lineRule="exact"/>
        <w:jc w:val="left"/>
        <w:outlineLvl w:val="0"/>
        <w:rPr>
          <w:rFonts w:ascii="仿宋_GB2312" w:eastAsia="仿宋_GB2312" w:hAnsi="宋体"/>
          <w:sz w:val="32"/>
          <w:szCs w:val="32"/>
          <w:lang w:val="zh-CN"/>
        </w:rPr>
      </w:pPr>
      <w:bookmarkStart w:id="106" w:name="_Toc85023711"/>
      <w:r>
        <w:rPr>
          <w:rFonts w:ascii="仿宋_GB2312" w:eastAsia="仿宋_GB2312" w:hAnsi="宋体" w:hint="eastAsia"/>
          <w:sz w:val="32"/>
          <w:szCs w:val="32"/>
          <w:lang w:val="zh-CN"/>
        </w:rPr>
        <w:t>九、一般公共预算财政拨款项目支出决算表</w:t>
      </w:r>
      <w:bookmarkEnd w:id="106"/>
    </w:p>
    <w:p w:rsidR="006C66D4" w:rsidRDefault="00AD3B60">
      <w:pPr>
        <w:spacing w:line="600" w:lineRule="exact"/>
        <w:jc w:val="left"/>
        <w:outlineLvl w:val="0"/>
        <w:rPr>
          <w:rFonts w:ascii="仿宋_GB2312" w:eastAsia="仿宋_GB2312" w:hAnsi="宋体"/>
          <w:sz w:val="32"/>
          <w:szCs w:val="32"/>
          <w:lang w:val="zh-CN"/>
        </w:rPr>
      </w:pPr>
      <w:bookmarkStart w:id="107" w:name="_Toc85023712"/>
      <w:r>
        <w:rPr>
          <w:rFonts w:ascii="仿宋_GB2312" w:eastAsia="仿宋_GB2312" w:hAnsi="宋体" w:hint="eastAsia"/>
          <w:sz w:val="32"/>
          <w:szCs w:val="32"/>
          <w:lang w:val="zh-CN"/>
        </w:rPr>
        <w:t>十、一般公共预算财政拨款“三公”经费支出决算表</w:t>
      </w:r>
      <w:bookmarkEnd w:id="107"/>
    </w:p>
    <w:p w:rsidR="006C66D4" w:rsidRDefault="00AD3B60">
      <w:pPr>
        <w:spacing w:line="600" w:lineRule="exact"/>
        <w:jc w:val="left"/>
        <w:outlineLvl w:val="0"/>
        <w:rPr>
          <w:rFonts w:ascii="仿宋_GB2312" w:eastAsia="仿宋_GB2312" w:hAnsi="宋体"/>
          <w:sz w:val="32"/>
          <w:szCs w:val="32"/>
          <w:lang w:val="zh-CN"/>
        </w:rPr>
      </w:pPr>
      <w:bookmarkStart w:id="108" w:name="_Toc85023713"/>
      <w:r>
        <w:rPr>
          <w:rFonts w:ascii="仿宋_GB2312" w:eastAsia="仿宋_GB2312" w:hAnsi="宋体" w:hint="eastAsia"/>
          <w:sz w:val="32"/>
          <w:szCs w:val="32"/>
          <w:lang w:val="zh-CN"/>
        </w:rPr>
        <w:t>十一、政府性基金预算财政拨款收入支出决算表</w:t>
      </w:r>
      <w:bookmarkEnd w:id="108"/>
    </w:p>
    <w:p w:rsidR="006C66D4" w:rsidRDefault="00AD3B60">
      <w:pPr>
        <w:spacing w:line="600" w:lineRule="exact"/>
        <w:jc w:val="left"/>
        <w:outlineLvl w:val="0"/>
        <w:rPr>
          <w:rFonts w:ascii="仿宋_GB2312" w:eastAsia="仿宋_GB2312" w:hAnsi="宋体"/>
          <w:sz w:val="32"/>
          <w:szCs w:val="32"/>
          <w:lang w:val="zh-CN"/>
        </w:rPr>
      </w:pPr>
      <w:bookmarkStart w:id="109" w:name="_Toc85023714"/>
      <w:r>
        <w:rPr>
          <w:rFonts w:ascii="仿宋_GB2312" w:eastAsia="仿宋_GB2312" w:hAnsi="宋体" w:hint="eastAsia"/>
          <w:sz w:val="32"/>
          <w:szCs w:val="32"/>
          <w:lang w:val="zh-CN"/>
        </w:rPr>
        <w:lastRenderedPageBreak/>
        <w:t>十二、政府性基金预算财政拨款“三公”经费支出决算表</w:t>
      </w:r>
      <w:bookmarkEnd w:id="109"/>
    </w:p>
    <w:p w:rsidR="006C66D4" w:rsidRDefault="00AD3B60">
      <w:pPr>
        <w:spacing w:line="600" w:lineRule="exact"/>
        <w:jc w:val="left"/>
        <w:outlineLvl w:val="0"/>
        <w:rPr>
          <w:rFonts w:ascii="仿宋_GB2312" w:eastAsia="仿宋_GB2312" w:hAnsi="宋体"/>
          <w:sz w:val="32"/>
          <w:szCs w:val="32"/>
          <w:lang w:val="zh-CN"/>
        </w:rPr>
      </w:pPr>
      <w:bookmarkStart w:id="110" w:name="_Toc85023715"/>
      <w:r>
        <w:rPr>
          <w:rFonts w:ascii="仿宋_GB2312" w:eastAsia="仿宋_GB2312" w:hAnsi="宋体" w:hint="eastAsia"/>
          <w:sz w:val="32"/>
          <w:szCs w:val="32"/>
          <w:lang w:val="zh-CN"/>
        </w:rPr>
        <w:t>十三、国有资本经营预算财政拨款收入支出决算表</w:t>
      </w:r>
      <w:bookmarkEnd w:id="110"/>
    </w:p>
    <w:p w:rsidR="006C66D4" w:rsidRDefault="00AD3B60">
      <w:pPr>
        <w:spacing w:line="600" w:lineRule="exact"/>
        <w:jc w:val="left"/>
        <w:outlineLvl w:val="0"/>
        <w:rPr>
          <w:rFonts w:ascii="仿宋_GB2312" w:eastAsia="仿宋_GB2312" w:hAnsi="宋体"/>
          <w:sz w:val="32"/>
          <w:szCs w:val="32"/>
          <w:lang w:val="zh-CN"/>
        </w:rPr>
      </w:pPr>
      <w:bookmarkStart w:id="111" w:name="_Toc85023716"/>
      <w:r>
        <w:rPr>
          <w:rFonts w:ascii="仿宋_GB2312" w:eastAsia="仿宋_GB2312" w:hAnsi="宋体" w:hint="eastAsia"/>
          <w:sz w:val="32"/>
          <w:szCs w:val="32"/>
          <w:lang w:val="zh-CN"/>
        </w:rPr>
        <w:t>十四、国有资本经营预算财政拨款支出决算表</w:t>
      </w:r>
      <w:bookmarkEnd w:id="111"/>
    </w:p>
    <w:bookmarkEnd w:id="97"/>
    <w:bookmarkEnd w:id="98"/>
    <w:p w:rsidR="006C66D4" w:rsidRDefault="006C66D4">
      <w:pPr>
        <w:pStyle w:val="2"/>
        <w:rPr>
          <w:rFonts w:ascii="仿宋" w:eastAsia="仿宋" w:hAnsi="仿宋"/>
        </w:rPr>
      </w:pPr>
    </w:p>
    <w:sectPr w:rsidR="006C66D4">
      <w:headerReference w:type="default" r:id="rId24"/>
      <w:footerReference w:type="default" r:id="rId2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35" w:rsidRDefault="000A1F35">
      <w:r>
        <w:separator/>
      </w:r>
    </w:p>
  </w:endnote>
  <w:endnote w:type="continuationSeparator" w:id="0">
    <w:p w:rsidR="000A1F35" w:rsidRDefault="000A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165458" w:rsidRDefault="00165458">
        <w:pPr>
          <w:pStyle w:val="a6"/>
          <w:jc w:val="center"/>
        </w:pPr>
        <w:r>
          <w:fldChar w:fldCharType="begin"/>
        </w:r>
        <w:r>
          <w:instrText>PAGE   \* MERGEFORMAT</w:instrText>
        </w:r>
        <w:r>
          <w:fldChar w:fldCharType="separate"/>
        </w:r>
        <w:r w:rsidR="00B66192" w:rsidRPr="00B66192">
          <w:rPr>
            <w:noProof/>
            <w:lang w:val="zh-CN"/>
          </w:rPr>
          <w:t>2</w:t>
        </w:r>
        <w:r>
          <w:rPr>
            <w:lang w:val="zh-CN"/>
          </w:rPr>
          <w:fldChar w:fldCharType="end"/>
        </w:r>
      </w:p>
    </w:sdtContent>
  </w:sdt>
  <w:p w:rsidR="00165458" w:rsidRDefault="001654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35" w:rsidRDefault="000A1F35">
      <w:r>
        <w:separator/>
      </w:r>
    </w:p>
  </w:footnote>
  <w:footnote w:type="continuationSeparator" w:id="0">
    <w:p w:rsidR="000A1F35" w:rsidRDefault="000A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58" w:rsidRDefault="0016545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08FD8"/>
    <w:multiLevelType w:val="singleLevel"/>
    <w:tmpl w:val="82708FD8"/>
    <w:lvl w:ilvl="0">
      <w:start w:val="6"/>
      <w:numFmt w:val="chineseCounting"/>
      <w:suff w:val="nothing"/>
      <w:lvlText w:val="（%1）"/>
      <w:lvlJc w:val="left"/>
      <w:rPr>
        <w:rFonts w:hint="eastAsia"/>
      </w:rPr>
    </w:lvl>
  </w:abstractNum>
  <w:abstractNum w:abstractNumId="1">
    <w:nsid w:val="9D424F61"/>
    <w:multiLevelType w:val="singleLevel"/>
    <w:tmpl w:val="9D424F61"/>
    <w:lvl w:ilvl="0">
      <w:start w:val="1"/>
      <w:numFmt w:val="chineseCounting"/>
      <w:lvlText w:val="(%1)"/>
      <w:lvlJc w:val="left"/>
      <w:pPr>
        <w:tabs>
          <w:tab w:val="left" w:pos="312"/>
        </w:tabs>
      </w:pPr>
      <w:rPr>
        <w:rFonts w:hint="eastAsia"/>
      </w:rPr>
    </w:lvl>
  </w:abstractNum>
  <w:abstractNum w:abstractNumId="2">
    <w:nsid w:val="B1A0AC37"/>
    <w:multiLevelType w:val="singleLevel"/>
    <w:tmpl w:val="B1A0AC37"/>
    <w:lvl w:ilvl="0">
      <w:start w:val="2"/>
      <w:numFmt w:val="chineseCounting"/>
      <w:suff w:val="nothing"/>
      <w:lvlText w:val="%1、"/>
      <w:lvlJc w:val="left"/>
      <w:rPr>
        <w:rFonts w:hint="eastAsia"/>
      </w:rPr>
    </w:lvl>
  </w:abstractNum>
  <w:abstractNum w:abstractNumId="3">
    <w:nsid w:val="B39817AB"/>
    <w:multiLevelType w:val="singleLevel"/>
    <w:tmpl w:val="B39817AB"/>
    <w:lvl w:ilvl="0">
      <w:start w:val="1"/>
      <w:numFmt w:val="decimal"/>
      <w:suff w:val="nothing"/>
      <w:lvlText w:val="%1、"/>
      <w:lvlJc w:val="left"/>
    </w:lvl>
  </w:abstractNum>
  <w:abstractNum w:abstractNumId="4">
    <w:nsid w:val="CF652CEC"/>
    <w:multiLevelType w:val="singleLevel"/>
    <w:tmpl w:val="CF652CEC"/>
    <w:lvl w:ilvl="0">
      <w:start w:val="9"/>
      <w:numFmt w:val="chineseCounting"/>
      <w:suff w:val="nothing"/>
      <w:lvlText w:val="%1、"/>
      <w:lvlJc w:val="left"/>
      <w:rPr>
        <w:rFonts w:hint="eastAsia"/>
      </w:rPr>
    </w:lvl>
  </w:abstractNum>
  <w:abstractNum w:abstractNumId="5">
    <w:nsid w:val="E5F241CD"/>
    <w:multiLevelType w:val="singleLevel"/>
    <w:tmpl w:val="E5F241CD"/>
    <w:lvl w:ilvl="0">
      <w:start w:val="2"/>
      <w:numFmt w:val="chineseCounting"/>
      <w:suff w:val="nothing"/>
      <w:lvlText w:val="(%1）"/>
      <w:lvlJc w:val="left"/>
      <w:rPr>
        <w:rFonts w:hint="eastAsia"/>
      </w:rPr>
    </w:lvl>
  </w:abstractNum>
  <w:abstractNum w:abstractNumId="6">
    <w:nsid w:val="E9004A9B"/>
    <w:multiLevelType w:val="singleLevel"/>
    <w:tmpl w:val="E9004A9B"/>
    <w:lvl w:ilvl="0">
      <w:start w:val="2"/>
      <w:numFmt w:val="chineseCounting"/>
      <w:suff w:val="nothing"/>
      <w:lvlText w:val="（%1）"/>
      <w:lvlJc w:val="left"/>
      <w:rPr>
        <w:rFonts w:hint="eastAsia"/>
      </w:r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1BC65C65"/>
    <w:multiLevelType w:val="singleLevel"/>
    <w:tmpl w:val="1BC65C65"/>
    <w:lvl w:ilvl="0">
      <w:start w:val="2"/>
      <w:numFmt w:val="decimal"/>
      <w:suff w:val="nothing"/>
      <w:lvlText w:val="（%1）"/>
      <w:lvlJc w:val="left"/>
    </w:lvl>
  </w:abstractNum>
  <w:abstractNum w:abstractNumId="9">
    <w:nsid w:val="297692B2"/>
    <w:multiLevelType w:val="singleLevel"/>
    <w:tmpl w:val="297692B2"/>
    <w:lvl w:ilvl="0">
      <w:start w:val="2"/>
      <w:numFmt w:val="decimal"/>
      <w:suff w:val="nothing"/>
      <w:lvlText w:val="（%1）"/>
      <w:lvlJc w:val="left"/>
    </w:lvl>
  </w:abstractNum>
  <w:abstractNum w:abstractNumId="10">
    <w:nsid w:val="5D4709B0"/>
    <w:multiLevelType w:val="singleLevel"/>
    <w:tmpl w:val="5D4709B0"/>
    <w:lvl w:ilvl="0">
      <w:start w:val="1"/>
      <w:numFmt w:val="chineseCounting"/>
      <w:suff w:val="nothing"/>
      <w:lvlText w:val="%1、"/>
      <w:lvlJc w:val="left"/>
      <w:pPr>
        <w:ind w:left="560" w:firstLine="0"/>
      </w:pPr>
      <w:rPr>
        <w:rFonts w:hint="eastAsia"/>
      </w:rPr>
    </w:lvl>
  </w:abstractNum>
  <w:abstractNum w:abstractNumId="11">
    <w:nsid w:val="712D8374"/>
    <w:multiLevelType w:val="singleLevel"/>
    <w:tmpl w:val="712D8374"/>
    <w:lvl w:ilvl="0">
      <w:start w:val="1"/>
      <w:numFmt w:val="decimal"/>
      <w:suff w:val="nothing"/>
      <w:lvlText w:val="%1、"/>
      <w:lvlJc w:val="left"/>
      <w:pPr>
        <w:ind w:left="640" w:firstLine="0"/>
      </w:pPr>
    </w:lvl>
  </w:abstractNum>
  <w:num w:numId="1">
    <w:abstractNumId w:val="2"/>
  </w:num>
  <w:num w:numId="2">
    <w:abstractNumId w:val="7"/>
  </w:num>
  <w:num w:numId="3">
    <w:abstractNumId w:val="4"/>
  </w:num>
  <w:num w:numId="4">
    <w:abstractNumId w:val="6"/>
  </w:num>
  <w:num w:numId="5">
    <w:abstractNumId w:val="11"/>
  </w:num>
  <w:num w:numId="6">
    <w:abstractNumId w:val="8"/>
  </w:num>
  <w:num w:numId="7">
    <w:abstractNumId w:val="5"/>
  </w:num>
  <w:num w:numId="8">
    <w:abstractNumId w:val="9"/>
  </w:num>
  <w:num w:numId="9">
    <w:abstractNumId w:val="0"/>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1F35"/>
    <w:rsid w:val="000A6A92"/>
    <w:rsid w:val="000B047F"/>
    <w:rsid w:val="000B5923"/>
    <w:rsid w:val="000B5A48"/>
    <w:rsid w:val="000B6FF3"/>
    <w:rsid w:val="000C3467"/>
    <w:rsid w:val="000C3CA6"/>
    <w:rsid w:val="000D1267"/>
    <w:rsid w:val="000D1D50"/>
    <w:rsid w:val="000D5782"/>
    <w:rsid w:val="000E6613"/>
    <w:rsid w:val="000E7119"/>
    <w:rsid w:val="00105C80"/>
    <w:rsid w:val="00114E9B"/>
    <w:rsid w:val="00136878"/>
    <w:rsid w:val="00142216"/>
    <w:rsid w:val="0014341B"/>
    <w:rsid w:val="00144D6A"/>
    <w:rsid w:val="0014729F"/>
    <w:rsid w:val="00157BAB"/>
    <w:rsid w:val="00165458"/>
    <w:rsid w:val="001654D1"/>
    <w:rsid w:val="00174518"/>
    <w:rsid w:val="0018106D"/>
    <w:rsid w:val="001877A7"/>
    <w:rsid w:val="00191536"/>
    <w:rsid w:val="00196687"/>
    <w:rsid w:val="001C0962"/>
    <w:rsid w:val="001D1D4A"/>
    <w:rsid w:val="001D5535"/>
    <w:rsid w:val="001D7531"/>
    <w:rsid w:val="001E5EDF"/>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52C3"/>
    <w:rsid w:val="002D6D05"/>
    <w:rsid w:val="002F1818"/>
    <w:rsid w:val="002F567B"/>
    <w:rsid w:val="003216A9"/>
    <w:rsid w:val="00335A74"/>
    <w:rsid w:val="0036561B"/>
    <w:rsid w:val="00370004"/>
    <w:rsid w:val="0037013F"/>
    <w:rsid w:val="00380C92"/>
    <w:rsid w:val="0038268F"/>
    <w:rsid w:val="003A484F"/>
    <w:rsid w:val="003A4883"/>
    <w:rsid w:val="003B0BE0"/>
    <w:rsid w:val="003B0C1B"/>
    <w:rsid w:val="003B688C"/>
    <w:rsid w:val="003C0291"/>
    <w:rsid w:val="003C39AE"/>
    <w:rsid w:val="003C7B60"/>
    <w:rsid w:val="003D0C0F"/>
    <w:rsid w:val="003D1FB2"/>
    <w:rsid w:val="003D529D"/>
    <w:rsid w:val="003D66DA"/>
    <w:rsid w:val="003E1310"/>
    <w:rsid w:val="003E6F55"/>
    <w:rsid w:val="00405AD2"/>
    <w:rsid w:val="00406254"/>
    <w:rsid w:val="00416CD4"/>
    <w:rsid w:val="004223DE"/>
    <w:rsid w:val="00434489"/>
    <w:rsid w:val="00437085"/>
    <w:rsid w:val="00440124"/>
    <w:rsid w:val="00443880"/>
    <w:rsid w:val="004464F4"/>
    <w:rsid w:val="00471401"/>
    <w:rsid w:val="00473F31"/>
    <w:rsid w:val="0048263A"/>
    <w:rsid w:val="00487E5D"/>
    <w:rsid w:val="004A711F"/>
    <w:rsid w:val="004B199D"/>
    <w:rsid w:val="004B3511"/>
    <w:rsid w:val="004B4690"/>
    <w:rsid w:val="004D0716"/>
    <w:rsid w:val="004E0A2D"/>
    <w:rsid w:val="004E206B"/>
    <w:rsid w:val="004E6DF7"/>
    <w:rsid w:val="004F0FBD"/>
    <w:rsid w:val="004F403E"/>
    <w:rsid w:val="00505A47"/>
    <w:rsid w:val="00512FDA"/>
    <w:rsid w:val="00520DA0"/>
    <w:rsid w:val="005664BB"/>
    <w:rsid w:val="00566FFA"/>
    <w:rsid w:val="0057481D"/>
    <w:rsid w:val="00575F0B"/>
    <w:rsid w:val="005837F9"/>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85E"/>
    <w:rsid w:val="00630AEF"/>
    <w:rsid w:val="006325F8"/>
    <w:rsid w:val="00633463"/>
    <w:rsid w:val="00634C9A"/>
    <w:rsid w:val="006440E4"/>
    <w:rsid w:val="0064555F"/>
    <w:rsid w:val="0066343B"/>
    <w:rsid w:val="00664777"/>
    <w:rsid w:val="006748A4"/>
    <w:rsid w:val="00681A31"/>
    <w:rsid w:val="006830CF"/>
    <w:rsid w:val="00683E73"/>
    <w:rsid w:val="0069296C"/>
    <w:rsid w:val="006A3141"/>
    <w:rsid w:val="006A5E34"/>
    <w:rsid w:val="006B2422"/>
    <w:rsid w:val="006B2B9A"/>
    <w:rsid w:val="006C1937"/>
    <w:rsid w:val="006C66D4"/>
    <w:rsid w:val="006F020C"/>
    <w:rsid w:val="007127B7"/>
    <w:rsid w:val="0071798E"/>
    <w:rsid w:val="00727533"/>
    <w:rsid w:val="007416B6"/>
    <w:rsid w:val="00746F48"/>
    <w:rsid w:val="0075404D"/>
    <w:rsid w:val="0076182A"/>
    <w:rsid w:val="00765604"/>
    <w:rsid w:val="00767B7E"/>
    <w:rsid w:val="007770C3"/>
    <w:rsid w:val="007801C7"/>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095A"/>
    <w:rsid w:val="00833962"/>
    <w:rsid w:val="0083706E"/>
    <w:rsid w:val="00840805"/>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A93"/>
    <w:rsid w:val="008E1DE7"/>
    <w:rsid w:val="008E707C"/>
    <w:rsid w:val="008F0609"/>
    <w:rsid w:val="008F0EAA"/>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11B8"/>
    <w:rsid w:val="009D3447"/>
    <w:rsid w:val="009D4711"/>
    <w:rsid w:val="009F1185"/>
    <w:rsid w:val="009F18CD"/>
    <w:rsid w:val="009F2A13"/>
    <w:rsid w:val="009F65B5"/>
    <w:rsid w:val="009F7527"/>
    <w:rsid w:val="00A039ED"/>
    <w:rsid w:val="00A04EB0"/>
    <w:rsid w:val="00A13CC1"/>
    <w:rsid w:val="00A16847"/>
    <w:rsid w:val="00A237D8"/>
    <w:rsid w:val="00A260F1"/>
    <w:rsid w:val="00A268C4"/>
    <w:rsid w:val="00A307CD"/>
    <w:rsid w:val="00A331C8"/>
    <w:rsid w:val="00A35117"/>
    <w:rsid w:val="00A40A00"/>
    <w:rsid w:val="00A4142F"/>
    <w:rsid w:val="00A422EB"/>
    <w:rsid w:val="00A45BB7"/>
    <w:rsid w:val="00A56DF2"/>
    <w:rsid w:val="00A56E6E"/>
    <w:rsid w:val="00A67AB5"/>
    <w:rsid w:val="00A733B2"/>
    <w:rsid w:val="00A741C2"/>
    <w:rsid w:val="00A83400"/>
    <w:rsid w:val="00A90907"/>
    <w:rsid w:val="00A91760"/>
    <w:rsid w:val="00A93B00"/>
    <w:rsid w:val="00A93C21"/>
    <w:rsid w:val="00AB64C9"/>
    <w:rsid w:val="00AC3C6A"/>
    <w:rsid w:val="00AD0F83"/>
    <w:rsid w:val="00AD3B60"/>
    <w:rsid w:val="00AD5620"/>
    <w:rsid w:val="00AD656B"/>
    <w:rsid w:val="00AD7348"/>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66192"/>
    <w:rsid w:val="00B77EA6"/>
    <w:rsid w:val="00B81598"/>
    <w:rsid w:val="00B841F1"/>
    <w:rsid w:val="00B944D6"/>
    <w:rsid w:val="00BB4DF0"/>
    <w:rsid w:val="00BC289F"/>
    <w:rsid w:val="00BC2D50"/>
    <w:rsid w:val="00BC3F51"/>
    <w:rsid w:val="00BC5361"/>
    <w:rsid w:val="00BC5460"/>
    <w:rsid w:val="00BC6B50"/>
    <w:rsid w:val="00BD0E25"/>
    <w:rsid w:val="00BE3C05"/>
    <w:rsid w:val="00BF5BD6"/>
    <w:rsid w:val="00C03E31"/>
    <w:rsid w:val="00C30E69"/>
    <w:rsid w:val="00C31FF0"/>
    <w:rsid w:val="00C33E72"/>
    <w:rsid w:val="00C354B2"/>
    <w:rsid w:val="00C35554"/>
    <w:rsid w:val="00C42709"/>
    <w:rsid w:val="00C533CC"/>
    <w:rsid w:val="00C5751C"/>
    <w:rsid w:val="00C61BFC"/>
    <w:rsid w:val="00C62B85"/>
    <w:rsid w:val="00C65438"/>
    <w:rsid w:val="00C7574A"/>
    <w:rsid w:val="00C836EC"/>
    <w:rsid w:val="00C91CBB"/>
    <w:rsid w:val="00CB12B9"/>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63B66"/>
    <w:rsid w:val="00D7035F"/>
    <w:rsid w:val="00D704C0"/>
    <w:rsid w:val="00D70F3A"/>
    <w:rsid w:val="00D92060"/>
    <w:rsid w:val="00D968C7"/>
    <w:rsid w:val="00DA634F"/>
    <w:rsid w:val="00DA65AC"/>
    <w:rsid w:val="00DB1913"/>
    <w:rsid w:val="00DB57DE"/>
    <w:rsid w:val="00DC410D"/>
    <w:rsid w:val="00DC5A81"/>
    <w:rsid w:val="00DC68CA"/>
    <w:rsid w:val="00DC7CBA"/>
    <w:rsid w:val="00DD73B7"/>
    <w:rsid w:val="00DF28BC"/>
    <w:rsid w:val="00DF34B9"/>
    <w:rsid w:val="00DF6DD7"/>
    <w:rsid w:val="00E01053"/>
    <w:rsid w:val="00E041A4"/>
    <w:rsid w:val="00E07ACF"/>
    <w:rsid w:val="00E331A1"/>
    <w:rsid w:val="00E33202"/>
    <w:rsid w:val="00E336A9"/>
    <w:rsid w:val="00E3739D"/>
    <w:rsid w:val="00E472B1"/>
    <w:rsid w:val="00E50624"/>
    <w:rsid w:val="00E568DF"/>
    <w:rsid w:val="00E605A6"/>
    <w:rsid w:val="00E64269"/>
    <w:rsid w:val="00E66797"/>
    <w:rsid w:val="00E82267"/>
    <w:rsid w:val="00E831B3"/>
    <w:rsid w:val="00E853CE"/>
    <w:rsid w:val="00E867B6"/>
    <w:rsid w:val="00E87F08"/>
    <w:rsid w:val="00EA010F"/>
    <w:rsid w:val="00EA6272"/>
    <w:rsid w:val="00EC508B"/>
    <w:rsid w:val="00ED1B63"/>
    <w:rsid w:val="00ED3C1F"/>
    <w:rsid w:val="00ED4085"/>
    <w:rsid w:val="00ED420E"/>
    <w:rsid w:val="00ED6FBE"/>
    <w:rsid w:val="00EE2F57"/>
    <w:rsid w:val="00EF489A"/>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3F4A"/>
    <w:rsid w:val="00FC6858"/>
    <w:rsid w:val="00FD3CC1"/>
    <w:rsid w:val="00FF160F"/>
    <w:rsid w:val="00FF1E02"/>
    <w:rsid w:val="00FF30B4"/>
    <w:rsid w:val="013E22D9"/>
    <w:rsid w:val="0349622B"/>
    <w:rsid w:val="041E73B2"/>
    <w:rsid w:val="050745CD"/>
    <w:rsid w:val="06E213D5"/>
    <w:rsid w:val="07F53E95"/>
    <w:rsid w:val="0CA820D8"/>
    <w:rsid w:val="10C055FF"/>
    <w:rsid w:val="148157FF"/>
    <w:rsid w:val="15181F5C"/>
    <w:rsid w:val="16BB723D"/>
    <w:rsid w:val="173E17C4"/>
    <w:rsid w:val="1A406F1E"/>
    <w:rsid w:val="1DD37289"/>
    <w:rsid w:val="1EEC5348"/>
    <w:rsid w:val="1F3D61C4"/>
    <w:rsid w:val="1FBE56A1"/>
    <w:rsid w:val="201C099E"/>
    <w:rsid w:val="214C78FA"/>
    <w:rsid w:val="228F54BB"/>
    <w:rsid w:val="232E0450"/>
    <w:rsid w:val="240371BF"/>
    <w:rsid w:val="252513E6"/>
    <w:rsid w:val="26297B91"/>
    <w:rsid w:val="27EE7117"/>
    <w:rsid w:val="29FD04D3"/>
    <w:rsid w:val="2B9110D9"/>
    <w:rsid w:val="2FFD1439"/>
    <w:rsid w:val="319F7F4E"/>
    <w:rsid w:val="33BF0459"/>
    <w:rsid w:val="34EA2A3B"/>
    <w:rsid w:val="360758FD"/>
    <w:rsid w:val="37156579"/>
    <w:rsid w:val="37A2657A"/>
    <w:rsid w:val="381C5DA1"/>
    <w:rsid w:val="38A16A95"/>
    <w:rsid w:val="38AA2E10"/>
    <w:rsid w:val="3A4347DA"/>
    <w:rsid w:val="3A855924"/>
    <w:rsid w:val="3AFE6E92"/>
    <w:rsid w:val="3B534D17"/>
    <w:rsid w:val="3CC90152"/>
    <w:rsid w:val="40AA6594"/>
    <w:rsid w:val="41414E3D"/>
    <w:rsid w:val="414E2E33"/>
    <w:rsid w:val="419F34A4"/>
    <w:rsid w:val="428500EA"/>
    <w:rsid w:val="42B70F49"/>
    <w:rsid w:val="444166C6"/>
    <w:rsid w:val="44551C28"/>
    <w:rsid w:val="44C23374"/>
    <w:rsid w:val="48942A86"/>
    <w:rsid w:val="4B954AF4"/>
    <w:rsid w:val="4C00142A"/>
    <w:rsid w:val="4C396C3B"/>
    <w:rsid w:val="4CF852EE"/>
    <w:rsid w:val="4DC4793F"/>
    <w:rsid w:val="4E765B46"/>
    <w:rsid w:val="4ECE2238"/>
    <w:rsid w:val="510C378C"/>
    <w:rsid w:val="51123E9C"/>
    <w:rsid w:val="51340FBC"/>
    <w:rsid w:val="530240F8"/>
    <w:rsid w:val="531E6BBC"/>
    <w:rsid w:val="534357AA"/>
    <w:rsid w:val="54256508"/>
    <w:rsid w:val="567457E8"/>
    <w:rsid w:val="581B4D9E"/>
    <w:rsid w:val="586B71CD"/>
    <w:rsid w:val="58DF34DC"/>
    <w:rsid w:val="59694CD7"/>
    <w:rsid w:val="598D6A25"/>
    <w:rsid w:val="5AD33532"/>
    <w:rsid w:val="5BA4048A"/>
    <w:rsid w:val="5C106817"/>
    <w:rsid w:val="5DC670AC"/>
    <w:rsid w:val="5E0963E0"/>
    <w:rsid w:val="5EEC2166"/>
    <w:rsid w:val="60431228"/>
    <w:rsid w:val="61644CEA"/>
    <w:rsid w:val="61C14180"/>
    <w:rsid w:val="625D69F9"/>
    <w:rsid w:val="6368513B"/>
    <w:rsid w:val="63F42ECA"/>
    <w:rsid w:val="6532051B"/>
    <w:rsid w:val="66480FAC"/>
    <w:rsid w:val="671E277F"/>
    <w:rsid w:val="67F64F8E"/>
    <w:rsid w:val="684846A7"/>
    <w:rsid w:val="694175FF"/>
    <w:rsid w:val="6AC128B3"/>
    <w:rsid w:val="701A61D0"/>
    <w:rsid w:val="71032F70"/>
    <w:rsid w:val="71CA671F"/>
    <w:rsid w:val="72734D90"/>
    <w:rsid w:val="732551F6"/>
    <w:rsid w:val="740C2829"/>
    <w:rsid w:val="78A6417A"/>
    <w:rsid w:val="79436585"/>
    <w:rsid w:val="79A64239"/>
    <w:rsid w:val="7A450958"/>
    <w:rsid w:val="7CAB0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uiPriority w:val="99"/>
    <w:semiHidden/>
    <w:unhideWhenUsed/>
    <w:qFormat/>
    <w:rPr>
      <w:b/>
      <w:bCs/>
    </w:rPr>
  </w:style>
  <w:style w:type="character" w:styleId="aa">
    <w:name w:val="Strong"/>
    <w:basedOn w:val="a0"/>
    <w:uiPriority w:val="99"/>
    <w:qFormat/>
    <w:rPr>
      <w:b/>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3">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2">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0">
    <w:name w:val="正文文本 Char"/>
    <w:link w:val="a4"/>
    <w:uiPriority w:val="99"/>
    <w:qFormat/>
    <w:locked/>
    <w:rPr>
      <w:rFonts w:ascii="仿宋_GB2312" w:eastAsia="仿宋_GB2312" w:hAnsi="Times New Roman"/>
      <w:sz w:val="24"/>
    </w:rPr>
  </w:style>
  <w:style w:type="paragraph" w:styleId="ad">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5">
    <w:name w:val="Char"/>
    <w:basedOn w:val="a"/>
    <w:qFormat/>
  </w:style>
  <w:style w:type="paragraph" w:customStyle="1" w:styleId="CharCharCharCharCharCharCharCharCharCharCharCharCharCharCharCharCharCharChar">
    <w:name w:val="Char Char Char Char Char Char Char Char Char Char Char Char Char Char Char Char Char Char Char"/>
    <w:basedOn w:val="1"/>
    <w:qFormat/>
    <w:pPr>
      <w:snapToGrid w:val="0"/>
      <w:spacing w:before="240" w:after="240" w:line="348" w:lineRule="auto"/>
    </w:pPr>
    <w:rPr>
      <w:rFonts w:ascii="Tahoma" w:hAnsi="Tahoma"/>
      <w:bCs w:val="0"/>
      <w:sz w:val="24"/>
      <w:szCs w:val="20"/>
    </w:rPr>
  </w:style>
  <w:style w:type="character" w:customStyle="1" w:styleId="NormalCharacter">
    <w:name w:val="NormalCharacter"/>
    <w:qFormat/>
    <w:rPr>
      <w:rFonts w:ascii="Times New Roman" w:eastAsia="宋体" w:hAnsi="Times New Roman"/>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Char">
    <w:name w:val="批注文字 Char"/>
    <w:basedOn w:val="a0"/>
    <w:link w:val="a3"/>
    <w:uiPriority w:val="99"/>
    <w:semiHidden/>
    <w:rPr>
      <w:rFonts w:ascii="Times New Roman" w:hAnsi="Times New Roman"/>
      <w:kern w:val="2"/>
      <w:sz w:val="21"/>
      <w:szCs w:val="24"/>
    </w:rPr>
  </w:style>
  <w:style w:type="character" w:customStyle="1" w:styleId="Char4">
    <w:name w:val="批注主题 Char"/>
    <w:basedOn w:val="Char"/>
    <w:link w:val="a9"/>
    <w:uiPriority w:val="99"/>
    <w:semiHidden/>
    <w:qFormat/>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uiPriority w:val="99"/>
    <w:semiHidden/>
    <w:unhideWhenUsed/>
    <w:qFormat/>
    <w:rPr>
      <w:b/>
      <w:bCs/>
    </w:rPr>
  </w:style>
  <w:style w:type="character" w:styleId="aa">
    <w:name w:val="Strong"/>
    <w:basedOn w:val="a0"/>
    <w:uiPriority w:val="99"/>
    <w:qFormat/>
    <w:rPr>
      <w:b/>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3">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2">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0">
    <w:name w:val="正文文本 Char"/>
    <w:link w:val="a4"/>
    <w:uiPriority w:val="99"/>
    <w:qFormat/>
    <w:locked/>
    <w:rPr>
      <w:rFonts w:ascii="仿宋_GB2312" w:eastAsia="仿宋_GB2312" w:hAnsi="Times New Roman"/>
      <w:sz w:val="24"/>
    </w:rPr>
  </w:style>
  <w:style w:type="paragraph" w:styleId="ad">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5">
    <w:name w:val="Char"/>
    <w:basedOn w:val="a"/>
    <w:qFormat/>
  </w:style>
  <w:style w:type="paragraph" w:customStyle="1" w:styleId="CharCharCharCharCharCharCharCharCharCharCharCharCharCharCharCharCharCharChar">
    <w:name w:val="Char Char Char Char Char Char Char Char Char Char Char Char Char Char Char Char Char Char Char"/>
    <w:basedOn w:val="1"/>
    <w:qFormat/>
    <w:pPr>
      <w:snapToGrid w:val="0"/>
      <w:spacing w:before="240" w:after="240" w:line="348" w:lineRule="auto"/>
    </w:pPr>
    <w:rPr>
      <w:rFonts w:ascii="Tahoma" w:hAnsi="Tahoma"/>
      <w:bCs w:val="0"/>
      <w:sz w:val="24"/>
      <w:szCs w:val="20"/>
    </w:rPr>
  </w:style>
  <w:style w:type="character" w:customStyle="1" w:styleId="NormalCharacter">
    <w:name w:val="NormalCharacter"/>
    <w:qFormat/>
    <w:rPr>
      <w:rFonts w:ascii="Times New Roman" w:eastAsia="宋体" w:hAnsi="Times New Roman"/>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Char">
    <w:name w:val="批注文字 Char"/>
    <w:basedOn w:val="a0"/>
    <w:link w:val="a3"/>
    <w:uiPriority w:val="99"/>
    <w:semiHidden/>
    <w:rPr>
      <w:rFonts w:ascii="Times New Roman" w:hAnsi="Times New Roman"/>
      <w:kern w:val="2"/>
      <w:sz w:val="21"/>
      <w:szCs w:val="24"/>
    </w:rPr>
  </w:style>
  <w:style w:type="character" w:customStyle="1" w:styleId="Char4">
    <w:name w:val="批注主题 Char"/>
    <w:basedOn w:val="Char"/>
    <w:link w:val="a9"/>
    <w:uiPriority w:val="99"/>
    <w:semiHidden/>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2"/>
    <customShpInfo spid="_x0000_s1033"/>
    <customShpInfo spid="_x0000_s103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5CBE3-29F9-45A9-8745-2D1BDA85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3190</Words>
  <Characters>18189</Characters>
  <Application>Microsoft Office Word</Application>
  <DocSecurity>0</DocSecurity>
  <Lines>151</Lines>
  <Paragraphs>42</Paragraphs>
  <ScaleCrop>false</ScaleCrop>
  <Company>四川省财政厅</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谭珂</cp:lastModifiedBy>
  <cp:revision>4</cp:revision>
  <cp:lastPrinted>2021-10-20T02:44:00Z</cp:lastPrinted>
  <dcterms:created xsi:type="dcterms:W3CDTF">2023-08-31T07:15:00Z</dcterms:created>
  <dcterms:modified xsi:type="dcterms:W3CDTF">2024-12-23T07:24:00Z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A094B4948D194398846DA8ED5FF80BA3</vt:lpwstr>
  </property>
</Properties>
</file>