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15377193"/>
      <w:bookmarkStart w:id="3" w:name="_Toc15396475"/>
      <w:bookmarkStart w:id="4" w:name="_Toc15396597"/>
      <w:bookmarkStart w:id="5" w:name="_Toc15377425"/>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426"/>
      <w:bookmarkStart w:id="7" w:name="_Toc15396476"/>
      <w:bookmarkStart w:id="8" w:name="_Toc15377194"/>
      <w:bookmarkStart w:id="9" w:name="_Toc15378442"/>
      <w:bookmarkStart w:id="10" w:name="_Toc15396598"/>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盐边县人民医院</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1"/>
      </w:pPr>
      <w:r>
        <w:rPr>
          <w:rFonts w:hint="eastAsia"/>
        </w:rPr>
        <w:t>公开时间：2020年10月23日</w:t>
      </w:r>
    </w:p>
    <w:sdt>
      <w:sdtPr>
        <w:rPr>
          <w:b w:val="0"/>
          <w:bCs w:val="0"/>
          <w:kern w:val="2"/>
          <w:sz w:val="21"/>
          <w:szCs w:val="24"/>
          <w:lang w:val="zh-CN"/>
        </w:rPr>
        <w:id w:val="864955229"/>
        <w:docPartObj>
          <w:docPartGallery w:val="Table of Contents"/>
          <w:docPartUnique/>
        </w:docPartObj>
      </w:sdtPr>
      <w:sdtEndPr>
        <w:rPr>
          <w:b w:val="0"/>
          <w:bCs w:val="0"/>
          <w:kern w:val="2"/>
          <w:sz w:val="21"/>
          <w:szCs w:val="24"/>
          <w:lang w:val="en-US"/>
        </w:rPr>
      </w:sdtEndPr>
      <w:sdtContent>
        <w:p>
          <w:pPr>
            <w:pStyle w:val="30"/>
            <w:spacing w:before="0" w:line="240" w:lineRule="auto"/>
          </w:pPr>
          <w:r>
            <w:rPr>
              <w:rFonts w:asciiTheme="majorHAnsi" w:hAnsiTheme="majorHAnsi" w:eastAsiaTheme="majorEastAsia" w:cstheme="majorBidi"/>
              <w:color w:val="366091" w:themeColor="accent1" w:themeShade="BF"/>
              <w:kern w:val="0"/>
              <w:sz w:val="28"/>
              <w:szCs w:val="28"/>
            </w:rPr>
            <w:fldChar w:fldCharType="begin"/>
          </w:r>
          <w:r>
            <w:instrText xml:space="preserve"> TOC \o "1-3" \h \z \u </w:instrText>
          </w:r>
          <w:r>
            <w:rPr>
              <w:rFonts w:asciiTheme="majorHAnsi" w:hAnsiTheme="majorHAnsi" w:eastAsiaTheme="majorEastAsia" w:cstheme="majorBidi"/>
              <w:color w:val="366091" w:themeColor="accent1" w:themeShade="BF"/>
              <w:kern w:val="0"/>
              <w:sz w:val="28"/>
              <w:szCs w:val="28"/>
            </w:rPr>
            <w:fldChar w:fldCharType="separate"/>
          </w:r>
        </w:p>
        <w:p>
          <w:pPr>
            <w:pStyle w:val="11"/>
            <w:rPr>
              <w:rFonts w:ascii="Times New Roman" w:hAnsi="Times New Roman" w:eastAsia="宋体"/>
            </w:rPr>
          </w:pPr>
          <w:r>
            <w:fldChar w:fldCharType="begin"/>
          </w:r>
          <w:r>
            <w:instrText xml:space="preserve"> HYPERLINK \l "_Toc52180065" </w:instrText>
          </w:r>
          <w:r>
            <w:fldChar w:fldCharType="separate"/>
          </w:r>
          <w:r>
            <w:rPr>
              <w:rStyle w:val="16"/>
              <w:rFonts w:hint="eastAsia" w:ascii="黑体" w:hAnsi="黑体" w:eastAsia="黑体"/>
              <w:b/>
            </w:rPr>
            <w:t>第一部分</w:t>
          </w:r>
          <w:r>
            <w:rPr>
              <w:rStyle w:val="16"/>
              <w:rFonts w:ascii="黑体" w:hAnsi="黑体" w:eastAsia="黑体"/>
              <w:b/>
            </w:rPr>
            <w:t xml:space="preserve"> </w:t>
          </w:r>
          <w:r>
            <w:rPr>
              <w:rStyle w:val="16"/>
              <w:rFonts w:hint="eastAsia" w:ascii="黑体" w:hAnsi="黑体" w:eastAsia="黑体"/>
              <w:b/>
            </w:rPr>
            <w:t>部门概况</w:t>
          </w:r>
          <w:r>
            <w:rPr>
              <w:b/>
            </w:rPr>
            <w:tab/>
          </w:r>
          <w:r>
            <w:rPr>
              <w:rFonts w:ascii="Times New Roman" w:hAnsi="Times New Roman" w:eastAsia="宋体"/>
            </w:rPr>
            <w:fldChar w:fldCharType="begin"/>
          </w:r>
          <w:r>
            <w:rPr>
              <w:rFonts w:ascii="Times New Roman" w:hAnsi="Times New Roman" w:eastAsia="宋体"/>
            </w:rPr>
            <w:instrText xml:space="preserve"> PAGEREF _Toc52180065 \h </w:instrText>
          </w:r>
          <w:r>
            <w:rPr>
              <w:rFonts w:ascii="Times New Roman" w:hAnsi="Times New Roman" w:eastAsia="宋体"/>
            </w:rPr>
            <w:fldChar w:fldCharType="separate"/>
          </w:r>
          <w:r>
            <w:rPr>
              <w:rFonts w:ascii="Times New Roman" w:hAnsi="Times New Roman" w:eastAsia="宋体"/>
            </w:rPr>
            <w:t>4</w:t>
          </w:r>
          <w:r>
            <w:rPr>
              <w:rFonts w:ascii="Times New Roman" w:hAnsi="Times New Roman" w:eastAsia="宋体"/>
            </w:rPr>
            <w:fldChar w:fldCharType="end"/>
          </w:r>
          <w:r>
            <w:rPr>
              <w:rFonts w:ascii="Times New Roman" w:hAnsi="Times New Roman" w:eastAsia="宋体"/>
            </w:rPr>
            <w:fldChar w:fldCharType="end"/>
          </w:r>
        </w:p>
        <w:p>
          <w:pPr>
            <w:pStyle w:val="12"/>
            <w:rPr>
              <w:rFonts w:asciiTheme="minorHAnsi" w:hAnsiTheme="minorHAnsi" w:eastAsiaTheme="minorEastAsia" w:cstheme="minorBidi"/>
              <w:b/>
              <w:szCs w:val="22"/>
            </w:rPr>
          </w:pPr>
          <w:r>
            <w:fldChar w:fldCharType="begin"/>
          </w:r>
          <w:r>
            <w:instrText xml:space="preserve"> HYPERLINK \l "_Toc52180066" </w:instrText>
          </w:r>
          <w:r>
            <w:fldChar w:fldCharType="separate"/>
          </w:r>
          <w:r>
            <w:rPr>
              <w:rStyle w:val="16"/>
              <w:rFonts w:hint="eastAsia" w:ascii="黑体" w:hAnsi="黑体" w:eastAsia="黑体"/>
              <w:b/>
            </w:rPr>
            <w:t>一、基本职能及主要工作</w:t>
          </w:r>
          <w:r>
            <w:rPr>
              <w:b/>
            </w:rPr>
            <w:tab/>
          </w:r>
          <w:r>
            <w:fldChar w:fldCharType="begin"/>
          </w:r>
          <w:r>
            <w:instrText xml:space="preserve"> PAGEREF _Toc52180066 \h </w:instrText>
          </w:r>
          <w:r>
            <w:fldChar w:fldCharType="separate"/>
          </w:r>
          <w:r>
            <w:t>4</w:t>
          </w:r>
          <w:r>
            <w:fldChar w:fldCharType="end"/>
          </w:r>
          <w:r>
            <w:fldChar w:fldCharType="end"/>
          </w:r>
        </w:p>
        <w:p>
          <w:pPr>
            <w:pStyle w:val="6"/>
            <w:rPr>
              <w:rFonts w:asciiTheme="minorHAnsi" w:hAnsiTheme="minorHAnsi" w:eastAsiaTheme="minorEastAsia" w:cstheme="minorBidi"/>
              <w:b/>
              <w:szCs w:val="22"/>
            </w:rPr>
          </w:pPr>
          <w:r>
            <w:fldChar w:fldCharType="begin"/>
          </w:r>
          <w:r>
            <w:instrText xml:space="preserve"> HYPERLINK \l "_Toc52180067" </w:instrText>
          </w:r>
          <w:r>
            <w:fldChar w:fldCharType="separate"/>
          </w:r>
          <w:r>
            <w:rPr>
              <w:rStyle w:val="16"/>
              <w:rFonts w:hint="eastAsia" w:ascii="仿宋" w:hAnsi="仿宋" w:eastAsia="仿宋"/>
              <w:b/>
              <w:bCs/>
            </w:rPr>
            <w:t>（一）主要职能。</w:t>
          </w:r>
          <w:r>
            <w:rPr>
              <w:b/>
            </w:rPr>
            <w:tab/>
          </w:r>
          <w:r>
            <w:rPr>
              <w:sz w:val="28"/>
              <w:szCs w:val="28"/>
            </w:rPr>
            <w:fldChar w:fldCharType="begin"/>
          </w:r>
          <w:r>
            <w:rPr>
              <w:sz w:val="28"/>
              <w:szCs w:val="28"/>
            </w:rPr>
            <w:instrText xml:space="preserve"> PAGEREF _Toc52180067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6"/>
            <w:rPr>
              <w:rFonts w:asciiTheme="minorHAnsi" w:hAnsiTheme="minorHAnsi" w:eastAsiaTheme="minorEastAsia" w:cstheme="minorBidi"/>
              <w:szCs w:val="22"/>
            </w:rPr>
          </w:pPr>
          <w:r>
            <w:fldChar w:fldCharType="begin"/>
          </w:r>
          <w:r>
            <w:instrText xml:space="preserve"> HYPERLINK \l "_Toc52180068" </w:instrText>
          </w:r>
          <w:r>
            <w:fldChar w:fldCharType="separate"/>
          </w:r>
          <w:r>
            <w:rPr>
              <w:rStyle w:val="16"/>
              <w:rFonts w:hint="eastAsia" w:ascii="仿宋" w:hAnsi="仿宋" w:eastAsia="仿宋"/>
              <w:b/>
              <w:bCs/>
            </w:rPr>
            <w:t>（二）</w:t>
          </w:r>
          <w:r>
            <w:rPr>
              <w:rStyle w:val="16"/>
              <w:rFonts w:ascii="仿宋" w:hAnsi="仿宋" w:eastAsia="仿宋"/>
              <w:b/>
              <w:bCs/>
            </w:rPr>
            <w:t>2019</w:t>
          </w:r>
          <w:r>
            <w:rPr>
              <w:rStyle w:val="16"/>
              <w:rFonts w:hint="eastAsia" w:ascii="仿宋" w:hAnsi="仿宋" w:eastAsia="仿宋"/>
              <w:b/>
              <w:bCs/>
            </w:rPr>
            <w:t>年重点工作完成情况。</w:t>
          </w:r>
          <w:r>
            <w:rPr>
              <w:b/>
            </w:rPr>
            <w:tab/>
          </w:r>
          <w:r>
            <w:rPr>
              <w:sz w:val="28"/>
              <w:szCs w:val="28"/>
            </w:rPr>
            <w:fldChar w:fldCharType="begin"/>
          </w:r>
          <w:r>
            <w:rPr>
              <w:sz w:val="28"/>
              <w:szCs w:val="28"/>
            </w:rPr>
            <w:instrText xml:space="preserve"> PAGEREF _Toc52180068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2"/>
            <w:rPr>
              <w:rFonts w:asciiTheme="minorHAnsi" w:hAnsiTheme="minorHAnsi" w:eastAsiaTheme="minorEastAsia" w:cstheme="minorBidi"/>
              <w:szCs w:val="22"/>
            </w:rPr>
          </w:pPr>
          <w:r>
            <w:fldChar w:fldCharType="begin"/>
          </w:r>
          <w:r>
            <w:instrText xml:space="preserve"> HYPERLINK \l "_Toc52180069" </w:instrText>
          </w:r>
          <w:r>
            <w:fldChar w:fldCharType="separate"/>
          </w:r>
          <w:r>
            <w:rPr>
              <w:rStyle w:val="16"/>
              <w:rFonts w:hint="eastAsia" w:ascii="黑体" w:eastAsia="黑体"/>
            </w:rPr>
            <w:t>二、</w:t>
          </w:r>
          <w:r>
            <w:rPr>
              <w:rStyle w:val="16"/>
              <w:rFonts w:hint="eastAsia" w:ascii="黑体" w:hAnsi="黑体" w:eastAsia="黑体"/>
            </w:rPr>
            <w:t>机构设置</w:t>
          </w:r>
          <w:r>
            <w:tab/>
          </w:r>
          <w:r>
            <w:rPr>
              <w:rFonts w:hint="eastAsia"/>
            </w:rPr>
            <w:t>9</w:t>
          </w:r>
          <w:r>
            <w:rPr>
              <w:rFonts w:hint="eastAsia"/>
            </w:rPr>
            <w:fldChar w:fldCharType="end"/>
          </w:r>
        </w:p>
        <w:p>
          <w:pPr>
            <w:pStyle w:val="11"/>
            <w:rPr>
              <w:rFonts w:asciiTheme="minorHAnsi" w:hAnsiTheme="minorHAnsi" w:eastAsiaTheme="minorEastAsia" w:cstheme="minorBidi"/>
              <w:sz w:val="21"/>
              <w:szCs w:val="22"/>
            </w:rPr>
          </w:pPr>
          <w:r>
            <w:fldChar w:fldCharType="begin"/>
          </w:r>
          <w:r>
            <w:instrText xml:space="preserve"> HYPERLINK \l "_Toc52180073" </w:instrText>
          </w:r>
          <w:r>
            <w:fldChar w:fldCharType="separate"/>
          </w:r>
          <w:r>
            <w:rPr>
              <w:rStyle w:val="16"/>
              <w:rFonts w:hint="eastAsia" w:ascii="黑体" w:hAnsi="黑体" w:eastAsia="黑体"/>
            </w:rPr>
            <w:t>第二部分</w:t>
          </w:r>
          <w:r>
            <w:rPr>
              <w:rStyle w:val="16"/>
              <w:rFonts w:ascii="黑体" w:hAnsi="黑体" w:eastAsia="黑体"/>
            </w:rPr>
            <w:t xml:space="preserve"> 2019</w:t>
          </w:r>
          <w:r>
            <w:rPr>
              <w:rStyle w:val="16"/>
              <w:rFonts w:hint="eastAsia" w:ascii="黑体" w:hAnsi="黑体" w:eastAsia="黑体"/>
            </w:rPr>
            <w:t>年度部门决算情况说明</w:t>
          </w:r>
          <w:r>
            <w:tab/>
          </w:r>
          <w:r>
            <w:rPr>
              <w:rFonts w:hint="eastAsia"/>
            </w:rPr>
            <w:t>10</w:t>
          </w:r>
          <w:r>
            <w:rPr>
              <w:rFonts w:hint="eastAsia"/>
            </w:rPr>
            <w:fldChar w:fldCharType="end"/>
          </w:r>
        </w:p>
        <w:p>
          <w:pPr>
            <w:pStyle w:val="12"/>
            <w:tabs>
              <w:tab w:val="left" w:pos="1260"/>
            </w:tabs>
            <w:rPr>
              <w:rFonts w:asciiTheme="minorHAnsi" w:hAnsiTheme="minorHAnsi" w:eastAsiaTheme="minorEastAsia" w:cstheme="minorBidi"/>
              <w:szCs w:val="22"/>
            </w:rPr>
          </w:pPr>
          <w:r>
            <w:fldChar w:fldCharType="begin"/>
          </w:r>
          <w:r>
            <w:instrText xml:space="preserve"> HYPERLINK \l "_Toc52180074" </w:instrText>
          </w:r>
          <w:r>
            <w:fldChar w:fldCharType="separate"/>
          </w:r>
          <w:r>
            <w:rPr>
              <w:rStyle w:val="16"/>
              <w:rFonts w:hint="eastAsia" w:ascii="黑体" w:hAnsi="黑体" w:eastAsia="黑体" w:cstheme="majorBidi"/>
              <w:bCs/>
            </w:rPr>
            <w:t>一、</w:t>
          </w:r>
          <w:r>
            <w:rPr>
              <w:rFonts w:asciiTheme="minorHAnsi" w:hAnsiTheme="minorHAnsi" w:eastAsiaTheme="minorEastAsia" w:cstheme="minorBidi"/>
              <w:szCs w:val="22"/>
            </w:rPr>
            <w:tab/>
          </w:r>
          <w:r>
            <w:rPr>
              <w:rStyle w:val="16"/>
              <w:rFonts w:hint="eastAsia" w:ascii="黑体" w:hAnsi="黑体" w:eastAsia="黑体"/>
            </w:rPr>
            <w:t>收</w:t>
          </w:r>
          <w:r>
            <w:rPr>
              <w:rStyle w:val="16"/>
              <w:rFonts w:hint="eastAsia" w:ascii="黑体" w:hAnsi="黑体" w:eastAsia="黑体" w:cstheme="majorBidi"/>
              <w:bCs/>
            </w:rPr>
            <w:t>入支出决算总体情况说明</w:t>
          </w:r>
          <w:r>
            <w:tab/>
          </w:r>
          <w:r>
            <w:rPr>
              <w:rFonts w:hint="eastAsia"/>
            </w:rPr>
            <w:t>10</w:t>
          </w:r>
          <w:r>
            <w:rPr>
              <w:rFonts w:hint="eastAsia"/>
            </w:rPr>
            <w:fldChar w:fldCharType="end"/>
          </w:r>
        </w:p>
        <w:p>
          <w:pPr>
            <w:pStyle w:val="12"/>
            <w:tabs>
              <w:tab w:val="left" w:pos="1260"/>
            </w:tabs>
            <w:rPr>
              <w:rFonts w:asciiTheme="minorHAnsi" w:hAnsiTheme="minorHAnsi" w:eastAsiaTheme="minorEastAsia" w:cstheme="minorBidi"/>
              <w:szCs w:val="22"/>
            </w:rPr>
          </w:pPr>
          <w:r>
            <w:fldChar w:fldCharType="begin"/>
          </w:r>
          <w:r>
            <w:instrText xml:space="preserve"> HYPERLINK \l "_Toc52180075" </w:instrText>
          </w:r>
          <w:r>
            <w:fldChar w:fldCharType="separate"/>
          </w:r>
          <w:r>
            <w:rPr>
              <w:rStyle w:val="16"/>
              <w:rFonts w:hint="eastAsia" w:ascii="黑体" w:hAnsi="黑体" w:eastAsia="黑体" w:cstheme="majorBidi"/>
              <w:bCs/>
            </w:rPr>
            <w:t>二、</w:t>
          </w:r>
          <w:r>
            <w:rPr>
              <w:rFonts w:asciiTheme="minorHAnsi" w:hAnsiTheme="minorHAnsi" w:eastAsiaTheme="minorEastAsia" w:cstheme="minorBidi"/>
              <w:szCs w:val="22"/>
            </w:rPr>
            <w:tab/>
          </w:r>
          <w:r>
            <w:rPr>
              <w:rStyle w:val="16"/>
              <w:rFonts w:hint="eastAsia" w:ascii="黑体" w:hAnsi="黑体" w:eastAsia="黑体"/>
            </w:rPr>
            <w:t>收</w:t>
          </w:r>
          <w:r>
            <w:rPr>
              <w:rStyle w:val="16"/>
              <w:rFonts w:hint="eastAsia" w:ascii="黑体" w:hAnsi="黑体" w:eastAsia="黑体" w:cstheme="majorBidi"/>
              <w:bCs/>
            </w:rPr>
            <w:t>入决算情况说明</w:t>
          </w:r>
          <w:r>
            <w:tab/>
          </w:r>
          <w:r>
            <w:rPr>
              <w:rFonts w:hint="eastAsia"/>
            </w:rPr>
            <w:t>10</w:t>
          </w:r>
          <w:r>
            <w:rPr>
              <w:rFonts w:hint="eastAsia"/>
            </w:rPr>
            <w:fldChar w:fldCharType="end"/>
          </w:r>
        </w:p>
        <w:p>
          <w:pPr>
            <w:pStyle w:val="12"/>
            <w:tabs>
              <w:tab w:val="left" w:pos="1260"/>
            </w:tabs>
            <w:rPr>
              <w:rFonts w:asciiTheme="minorHAnsi" w:hAnsiTheme="minorHAnsi" w:eastAsiaTheme="minorEastAsia" w:cstheme="minorBidi"/>
              <w:szCs w:val="22"/>
            </w:rPr>
          </w:pPr>
          <w:r>
            <w:fldChar w:fldCharType="begin"/>
          </w:r>
          <w:r>
            <w:instrText xml:space="preserve"> HYPERLINK \l "_Toc52180077" </w:instrText>
          </w:r>
          <w:r>
            <w:fldChar w:fldCharType="separate"/>
          </w:r>
          <w:r>
            <w:rPr>
              <w:rStyle w:val="16"/>
              <w:rFonts w:hint="eastAsia" w:ascii="黑体" w:hAnsi="黑体" w:eastAsia="黑体" w:cstheme="majorBidi"/>
              <w:bCs/>
            </w:rPr>
            <w:t>三、</w:t>
          </w:r>
          <w:r>
            <w:rPr>
              <w:rFonts w:asciiTheme="minorHAnsi" w:hAnsiTheme="minorHAnsi" w:eastAsiaTheme="minorEastAsia" w:cstheme="minorBidi"/>
              <w:szCs w:val="22"/>
            </w:rPr>
            <w:tab/>
          </w:r>
          <w:r>
            <w:rPr>
              <w:rStyle w:val="16"/>
              <w:rFonts w:hint="eastAsia" w:ascii="黑体" w:hAnsi="黑体" w:eastAsia="黑体"/>
            </w:rPr>
            <w:t>支</w:t>
          </w:r>
          <w:r>
            <w:rPr>
              <w:rStyle w:val="16"/>
              <w:rFonts w:hint="eastAsia" w:ascii="黑体" w:hAnsi="黑体" w:eastAsia="黑体" w:cstheme="majorBidi"/>
              <w:bCs/>
            </w:rPr>
            <w:t>出决算情况说明</w:t>
          </w:r>
          <w:r>
            <w:tab/>
          </w:r>
          <w:r>
            <w:rPr>
              <w:rFonts w:hint="eastAsia"/>
            </w:rPr>
            <w:t>10</w:t>
          </w:r>
          <w:r>
            <w:rPr>
              <w:rFonts w:hint="eastAsia"/>
            </w:rPr>
            <w:fldChar w:fldCharType="end"/>
          </w:r>
        </w:p>
        <w:p>
          <w:pPr>
            <w:pStyle w:val="12"/>
            <w:rPr>
              <w:rFonts w:asciiTheme="minorHAnsi" w:hAnsiTheme="minorHAnsi" w:eastAsiaTheme="minorEastAsia" w:cstheme="minorBidi"/>
              <w:szCs w:val="22"/>
            </w:rPr>
          </w:pPr>
          <w:r>
            <w:fldChar w:fldCharType="begin"/>
          </w:r>
          <w:r>
            <w:instrText xml:space="preserve"> HYPERLINK \l "_Toc52180079" </w:instrText>
          </w:r>
          <w:r>
            <w:fldChar w:fldCharType="separate"/>
          </w:r>
          <w:r>
            <w:rPr>
              <w:rStyle w:val="16"/>
              <w:rFonts w:hint="eastAsia" w:ascii="黑体" w:hAnsi="黑体" w:eastAsia="黑体"/>
            </w:rPr>
            <w:t>四、财</w:t>
          </w:r>
          <w:r>
            <w:rPr>
              <w:rStyle w:val="16"/>
              <w:rFonts w:hint="eastAsia" w:ascii="黑体" w:hAnsi="黑体" w:eastAsia="黑体" w:cstheme="majorBidi"/>
              <w:bCs/>
            </w:rPr>
            <w:t>政拨款收入支出决算总体情况说明</w:t>
          </w:r>
          <w:r>
            <w:tab/>
          </w:r>
          <w:r>
            <w:rPr>
              <w:rFonts w:hint="eastAsia"/>
            </w:rPr>
            <w:t>11</w:t>
          </w:r>
          <w:r>
            <w:rPr>
              <w:rFonts w:hint="eastAsia"/>
            </w:rPr>
            <w:fldChar w:fldCharType="end"/>
          </w:r>
        </w:p>
        <w:p>
          <w:pPr>
            <w:pStyle w:val="12"/>
            <w:rPr>
              <w:rFonts w:asciiTheme="minorHAnsi" w:hAnsiTheme="minorHAnsi" w:eastAsiaTheme="minorEastAsia" w:cstheme="minorBidi"/>
              <w:szCs w:val="22"/>
            </w:rPr>
          </w:pPr>
          <w:r>
            <w:fldChar w:fldCharType="begin"/>
          </w:r>
          <w:r>
            <w:instrText xml:space="preserve"> HYPERLINK \l "_Toc52180080" </w:instrText>
          </w:r>
          <w:r>
            <w:fldChar w:fldCharType="separate"/>
          </w:r>
          <w:r>
            <w:rPr>
              <w:rStyle w:val="16"/>
              <w:rFonts w:hint="eastAsia" w:ascii="黑体" w:hAnsi="黑体" w:eastAsia="黑体"/>
            </w:rPr>
            <w:t>五、</w:t>
          </w:r>
          <w:r>
            <w:rPr>
              <w:rStyle w:val="16"/>
              <w:rFonts w:hint="eastAsia" w:ascii="黑体" w:hAnsi="黑体" w:eastAsia="黑体"/>
              <w:b/>
            </w:rPr>
            <w:t>一</w:t>
          </w:r>
          <w:r>
            <w:rPr>
              <w:rStyle w:val="16"/>
              <w:rFonts w:hint="eastAsia" w:ascii="黑体" w:hAnsi="黑体" w:eastAsia="黑体" w:cstheme="majorBidi"/>
              <w:bCs/>
            </w:rPr>
            <w:t>般公共预算财政拨款支出决算情况说明</w:t>
          </w:r>
          <w:r>
            <w:tab/>
          </w:r>
          <w:r>
            <w:rPr>
              <w:rFonts w:hint="eastAsia"/>
            </w:rPr>
            <w:t>11</w:t>
          </w:r>
          <w:r>
            <w:rPr>
              <w:rFonts w:hint="eastAsia"/>
            </w:rPr>
            <w:fldChar w:fldCharType="end"/>
          </w:r>
        </w:p>
        <w:p>
          <w:pPr>
            <w:pStyle w:val="6"/>
            <w:rPr>
              <w:rFonts w:asciiTheme="minorHAnsi" w:hAnsiTheme="minorHAnsi" w:eastAsiaTheme="minorEastAsia" w:cstheme="minorBidi"/>
              <w:szCs w:val="22"/>
            </w:rPr>
          </w:pPr>
          <w:r>
            <w:fldChar w:fldCharType="begin"/>
          </w:r>
          <w:r>
            <w:instrText xml:space="preserve"> HYPERLINK \l "_Toc52180081" </w:instrText>
          </w:r>
          <w:r>
            <w:fldChar w:fldCharType="separate"/>
          </w:r>
          <w:r>
            <w:rPr>
              <w:rStyle w:val="16"/>
              <w:rFonts w:hint="eastAsia" w:ascii="仿宋" w:hAnsi="仿宋" w:eastAsia="仿宋"/>
              <w:b/>
            </w:rPr>
            <w:t>（一）一般公共预算财政拨款支出决算总体情况</w:t>
          </w:r>
          <w:r>
            <w:tab/>
          </w:r>
          <w:r>
            <w:rPr>
              <w:rFonts w:hint="eastAsia"/>
            </w:rPr>
            <w:t>11</w:t>
          </w:r>
          <w:r>
            <w:rPr>
              <w:rFonts w:hint="eastAsia"/>
            </w:rPr>
            <w:fldChar w:fldCharType="end"/>
          </w:r>
        </w:p>
        <w:p>
          <w:pPr>
            <w:pStyle w:val="6"/>
            <w:rPr>
              <w:rFonts w:asciiTheme="minorHAnsi" w:hAnsiTheme="minorHAnsi" w:eastAsiaTheme="minorEastAsia" w:cstheme="minorBidi"/>
              <w:szCs w:val="22"/>
            </w:rPr>
          </w:pPr>
          <w:r>
            <w:fldChar w:fldCharType="begin"/>
          </w:r>
          <w:r>
            <w:instrText xml:space="preserve"> HYPERLINK \l "_Toc52180082" </w:instrText>
          </w:r>
          <w:r>
            <w:fldChar w:fldCharType="separate"/>
          </w:r>
          <w:r>
            <w:rPr>
              <w:rStyle w:val="16"/>
              <w:rFonts w:hint="eastAsia" w:ascii="仿宋" w:hAnsi="仿宋" w:eastAsia="仿宋"/>
              <w:b/>
            </w:rPr>
            <w:t>（二）一般公共预算财政拨款支出决算结构情况</w:t>
          </w:r>
          <w:r>
            <w:tab/>
          </w:r>
          <w:r>
            <w:rPr>
              <w:rFonts w:hint="eastAsia"/>
            </w:rPr>
            <w:t>11</w:t>
          </w:r>
          <w:r>
            <w:rPr>
              <w:rFonts w:hint="eastAsia"/>
            </w:rPr>
            <w:fldChar w:fldCharType="end"/>
          </w:r>
        </w:p>
        <w:p>
          <w:pPr>
            <w:pStyle w:val="6"/>
            <w:rPr>
              <w:rFonts w:asciiTheme="minorHAnsi" w:hAnsiTheme="minorHAnsi" w:eastAsiaTheme="minorEastAsia" w:cstheme="minorBidi"/>
              <w:szCs w:val="22"/>
            </w:rPr>
          </w:pPr>
          <w:r>
            <w:fldChar w:fldCharType="begin"/>
          </w:r>
          <w:r>
            <w:instrText xml:space="preserve"> HYPERLINK \l "_Toc52180083" </w:instrText>
          </w:r>
          <w:r>
            <w:fldChar w:fldCharType="separate"/>
          </w:r>
          <w:r>
            <w:rPr>
              <w:rStyle w:val="16"/>
              <w:rFonts w:hint="eastAsia" w:ascii="仿宋" w:hAnsi="仿宋" w:eastAsia="仿宋"/>
              <w:b/>
            </w:rPr>
            <w:t>（三）一般公共预算财政拨款支出决算具体情况</w:t>
          </w:r>
          <w:r>
            <w:tab/>
          </w:r>
          <w:r>
            <w:rPr>
              <w:rFonts w:hint="eastAsia"/>
            </w:rPr>
            <w:t>11</w:t>
          </w:r>
          <w:r>
            <w:rPr>
              <w:rFonts w:hint="eastAsia"/>
            </w:rPr>
            <w:fldChar w:fldCharType="end"/>
          </w:r>
        </w:p>
        <w:p>
          <w:pPr>
            <w:pStyle w:val="12"/>
            <w:rPr>
              <w:rFonts w:asciiTheme="minorHAnsi" w:hAnsiTheme="minorHAnsi" w:eastAsiaTheme="minorEastAsia" w:cstheme="minorBidi"/>
              <w:szCs w:val="22"/>
            </w:rPr>
          </w:pPr>
          <w:r>
            <w:fldChar w:fldCharType="begin"/>
          </w:r>
          <w:r>
            <w:instrText xml:space="preserve"> HYPERLINK \l "_Toc52180085" </w:instrText>
          </w:r>
          <w:r>
            <w:fldChar w:fldCharType="separate"/>
          </w:r>
          <w:r>
            <w:rPr>
              <w:rStyle w:val="16"/>
              <w:rFonts w:hint="eastAsia" w:ascii="黑体" w:eastAsia="黑体"/>
            </w:rPr>
            <w:t>六</w:t>
          </w:r>
          <w:r>
            <w:rPr>
              <w:rStyle w:val="16"/>
              <w:rFonts w:hint="eastAsia" w:ascii="黑体" w:eastAsia="黑体"/>
              <w:b/>
            </w:rPr>
            <w:t>、</w:t>
          </w:r>
          <w:r>
            <w:rPr>
              <w:rStyle w:val="16"/>
              <w:rFonts w:hint="eastAsia" w:ascii="黑体" w:hAnsi="黑体" w:eastAsia="黑体"/>
              <w:b/>
            </w:rPr>
            <w:t>一</w:t>
          </w:r>
          <w:r>
            <w:rPr>
              <w:rStyle w:val="16"/>
              <w:rFonts w:hint="eastAsia" w:ascii="黑体" w:hAnsi="黑体" w:eastAsia="黑体" w:cstheme="majorBidi"/>
              <w:bCs/>
            </w:rPr>
            <w:t>般公共预算财政拨款基本支出决算情况说明</w:t>
          </w:r>
          <w:r>
            <w:tab/>
          </w:r>
          <w:r>
            <w:rPr>
              <w:rFonts w:hint="eastAsia"/>
            </w:rPr>
            <w:t>12</w:t>
          </w:r>
          <w:r>
            <w:rPr>
              <w:rFonts w:hint="eastAsia"/>
            </w:rPr>
            <w:fldChar w:fldCharType="end"/>
          </w:r>
        </w:p>
        <w:p>
          <w:pPr>
            <w:pStyle w:val="12"/>
            <w:rPr>
              <w:rFonts w:asciiTheme="minorHAnsi" w:hAnsiTheme="minorHAnsi" w:eastAsiaTheme="minorEastAsia" w:cstheme="minorBidi"/>
              <w:szCs w:val="22"/>
            </w:rPr>
          </w:pPr>
          <w:r>
            <w:fldChar w:fldCharType="begin"/>
          </w:r>
          <w:r>
            <w:instrText xml:space="preserve"> HYPERLINK \l "_Toc52180086" </w:instrText>
          </w:r>
          <w:r>
            <w:fldChar w:fldCharType="separate"/>
          </w:r>
          <w:r>
            <w:rPr>
              <w:rStyle w:val="16"/>
              <w:rFonts w:hint="eastAsia" w:ascii="黑体" w:eastAsia="黑体"/>
            </w:rPr>
            <w:t>七、</w:t>
          </w:r>
          <w:r>
            <w:rPr>
              <w:rStyle w:val="16"/>
              <w:rFonts w:ascii="黑体" w:hAnsi="黑体" w:eastAsia="黑体" w:cstheme="majorBidi"/>
              <w:b/>
              <w:bCs/>
            </w:rPr>
            <w:t>“</w:t>
          </w:r>
          <w:r>
            <w:rPr>
              <w:rStyle w:val="16"/>
              <w:rFonts w:hint="eastAsia" w:ascii="黑体" w:hAnsi="黑体" w:eastAsia="黑体" w:cstheme="majorBidi"/>
              <w:bCs/>
            </w:rPr>
            <w:t>三公”经费财政拨款支出决算情况说明</w:t>
          </w:r>
          <w:r>
            <w:tab/>
          </w:r>
          <w:r>
            <w:rPr>
              <w:rFonts w:hint="eastAsia"/>
            </w:rPr>
            <w:t>13</w:t>
          </w:r>
          <w:r>
            <w:rPr>
              <w:rFonts w:hint="eastAsia"/>
            </w:rPr>
            <w:fldChar w:fldCharType="end"/>
          </w:r>
        </w:p>
        <w:p>
          <w:pPr>
            <w:pStyle w:val="6"/>
            <w:rPr>
              <w:rFonts w:asciiTheme="minorHAnsi" w:hAnsiTheme="minorHAnsi" w:eastAsiaTheme="minorEastAsia" w:cstheme="minorBidi"/>
              <w:szCs w:val="22"/>
            </w:rPr>
          </w:pPr>
          <w:r>
            <w:fldChar w:fldCharType="begin"/>
          </w:r>
          <w:r>
            <w:instrText xml:space="preserve"> HYPERLINK \l "_Toc52180087" </w:instrText>
          </w:r>
          <w:r>
            <w:fldChar w:fldCharType="separate"/>
          </w:r>
          <w:r>
            <w:rPr>
              <w:rStyle w:val="16"/>
              <w:rFonts w:hint="eastAsia" w:ascii="仿宋" w:hAnsi="仿宋" w:eastAsia="仿宋"/>
              <w:b/>
            </w:rPr>
            <w:t>（一）“三公”经费财政拨款支出决算总体情况说明</w:t>
          </w:r>
          <w:r>
            <w:tab/>
          </w:r>
          <w:r>
            <w:rPr>
              <w:rFonts w:hint="eastAsia"/>
            </w:rPr>
            <w:t>13</w:t>
          </w:r>
          <w:r>
            <w:rPr>
              <w:rFonts w:hint="eastAsia"/>
            </w:rPr>
            <w:fldChar w:fldCharType="end"/>
          </w:r>
        </w:p>
        <w:p>
          <w:pPr>
            <w:pStyle w:val="6"/>
            <w:rPr>
              <w:rFonts w:asciiTheme="minorHAnsi" w:hAnsiTheme="minorHAnsi" w:eastAsiaTheme="minorEastAsia" w:cstheme="minorBidi"/>
              <w:szCs w:val="22"/>
            </w:rPr>
          </w:pPr>
          <w:r>
            <w:fldChar w:fldCharType="begin"/>
          </w:r>
          <w:r>
            <w:instrText xml:space="preserve"> HYPERLINK \l "_Toc52180088" </w:instrText>
          </w:r>
          <w:r>
            <w:fldChar w:fldCharType="separate"/>
          </w:r>
          <w:r>
            <w:rPr>
              <w:rStyle w:val="16"/>
              <w:rFonts w:hint="eastAsia" w:ascii="仿宋" w:hAnsi="仿宋" w:eastAsia="仿宋"/>
              <w:b/>
            </w:rPr>
            <w:t>（二）“三公”经费财政拨款支出决算具体情况说明</w:t>
          </w:r>
          <w:r>
            <w:tab/>
          </w:r>
          <w:r>
            <w:rPr>
              <w:rFonts w:hint="eastAsia"/>
            </w:rPr>
            <w:t>13</w:t>
          </w:r>
          <w:r>
            <w:rPr>
              <w:rFonts w:hint="eastAsia"/>
            </w:rPr>
            <w:fldChar w:fldCharType="end"/>
          </w:r>
        </w:p>
        <w:p>
          <w:pPr>
            <w:pStyle w:val="12"/>
            <w:rPr>
              <w:rFonts w:asciiTheme="minorHAnsi" w:hAnsiTheme="minorHAnsi" w:eastAsiaTheme="minorEastAsia" w:cstheme="minorBidi"/>
              <w:szCs w:val="22"/>
            </w:rPr>
          </w:pPr>
          <w:r>
            <w:fldChar w:fldCharType="begin"/>
          </w:r>
          <w:r>
            <w:instrText xml:space="preserve"> HYPERLINK \l "_Toc52180089" </w:instrText>
          </w:r>
          <w:r>
            <w:fldChar w:fldCharType="separate"/>
          </w:r>
          <w:r>
            <w:rPr>
              <w:rStyle w:val="16"/>
              <w:rFonts w:hint="eastAsia" w:ascii="黑体" w:eastAsia="黑体"/>
            </w:rPr>
            <w:t>八、</w:t>
          </w:r>
          <w:r>
            <w:rPr>
              <w:rStyle w:val="16"/>
              <w:rFonts w:hint="eastAsia" w:ascii="黑体" w:hAnsi="黑体" w:eastAsia="黑体" w:cstheme="majorBidi"/>
              <w:bCs/>
            </w:rPr>
            <w:t>政府性基金预算支出决算情况说明</w:t>
          </w:r>
          <w:r>
            <w:tab/>
          </w:r>
          <w:r>
            <w:rPr>
              <w:rFonts w:hint="eastAsia"/>
            </w:rPr>
            <w:t>13</w:t>
          </w:r>
          <w:r>
            <w:rPr>
              <w:rFonts w:hint="eastAsia"/>
            </w:rPr>
            <w:fldChar w:fldCharType="end"/>
          </w:r>
        </w:p>
        <w:p>
          <w:pPr>
            <w:pStyle w:val="12"/>
            <w:rPr>
              <w:rFonts w:asciiTheme="minorHAnsi" w:hAnsiTheme="minorHAnsi" w:eastAsiaTheme="minorEastAsia" w:cstheme="minorBidi"/>
              <w:szCs w:val="22"/>
            </w:rPr>
          </w:pPr>
          <w:r>
            <w:fldChar w:fldCharType="begin"/>
          </w:r>
          <w:r>
            <w:instrText xml:space="preserve"> HYPERLINK \l "_Toc52180090" </w:instrText>
          </w:r>
          <w:r>
            <w:fldChar w:fldCharType="separate"/>
          </w:r>
          <w:r>
            <w:rPr>
              <w:rStyle w:val="16"/>
              <w:rFonts w:hint="eastAsia" w:ascii="黑体" w:hAnsi="黑体" w:eastAsia="黑体" w:cstheme="majorBidi"/>
              <w:bCs/>
            </w:rPr>
            <w:t>九、 国有资本经营预算支出决算情况说明</w:t>
          </w:r>
          <w:r>
            <w:tab/>
          </w:r>
          <w:r>
            <w:rPr>
              <w:rFonts w:hint="eastAsia"/>
            </w:rPr>
            <w:t>14</w:t>
          </w:r>
          <w:r>
            <w:rPr>
              <w:rFonts w:hint="eastAsia"/>
            </w:rPr>
            <w:fldChar w:fldCharType="end"/>
          </w:r>
        </w:p>
        <w:p>
          <w:pPr>
            <w:pStyle w:val="12"/>
            <w:rPr>
              <w:rFonts w:asciiTheme="minorHAnsi" w:hAnsiTheme="minorHAnsi" w:eastAsiaTheme="minorEastAsia" w:cstheme="minorBidi"/>
              <w:szCs w:val="22"/>
            </w:rPr>
          </w:pPr>
          <w:r>
            <w:fldChar w:fldCharType="begin"/>
          </w:r>
          <w:r>
            <w:instrText xml:space="preserve"> HYPERLINK \l "_Toc52180091" </w:instrText>
          </w:r>
          <w:r>
            <w:fldChar w:fldCharType="separate"/>
          </w:r>
          <w:r>
            <w:rPr>
              <w:rStyle w:val="16"/>
              <w:rFonts w:hint="eastAsia" w:ascii="黑体" w:hAnsi="黑体" w:eastAsia="黑体"/>
            </w:rPr>
            <w:t>十</w:t>
          </w:r>
          <w:r>
            <w:rPr>
              <w:rStyle w:val="16"/>
              <w:rFonts w:hint="eastAsia" w:ascii="黑体" w:hAnsi="黑体" w:eastAsia="黑体" w:cstheme="majorBidi"/>
              <w:b/>
              <w:bCs/>
            </w:rPr>
            <w:t>、</w:t>
          </w:r>
          <w:r>
            <w:rPr>
              <w:rStyle w:val="16"/>
              <w:rFonts w:hint="eastAsia" w:ascii="黑体" w:hAnsi="黑体" w:eastAsia="黑体" w:cstheme="majorBidi"/>
              <w:bCs/>
            </w:rPr>
            <w:t>其他重要事项的情况说明</w:t>
          </w:r>
          <w:r>
            <w:tab/>
          </w:r>
          <w:r>
            <w:rPr>
              <w:rFonts w:hint="eastAsia"/>
            </w:rPr>
            <w:t>14</w:t>
          </w:r>
          <w:r>
            <w:rPr>
              <w:rFonts w:hint="eastAsia"/>
            </w:rPr>
            <w:fldChar w:fldCharType="end"/>
          </w:r>
        </w:p>
        <w:p>
          <w:pPr>
            <w:pStyle w:val="6"/>
            <w:rPr>
              <w:rFonts w:asciiTheme="minorHAnsi" w:hAnsiTheme="minorHAnsi" w:eastAsiaTheme="minorEastAsia" w:cstheme="minorBidi"/>
              <w:szCs w:val="22"/>
            </w:rPr>
          </w:pPr>
          <w:r>
            <w:fldChar w:fldCharType="begin"/>
          </w:r>
          <w:r>
            <w:instrText xml:space="preserve"> HYPERLINK \l "_Toc52180092" </w:instrText>
          </w:r>
          <w:r>
            <w:fldChar w:fldCharType="separate"/>
          </w:r>
          <w:r>
            <w:rPr>
              <w:rStyle w:val="16"/>
              <w:rFonts w:hint="eastAsia" w:ascii="仿宋" w:hAnsi="仿宋" w:eastAsia="仿宋"/>
              <w:b/>
            </w:rPr>
            <w:t>（一）机关运行经费支出情况</w:t>
          </w:r>
          <w:r>
            <w:tab/>
          </w:r>
          <w:r>
            <w:rPr>
              <w:rFonts w:hint="eastAsia"/>
            </w:rPr>
            <w:t>14</w:t>
          </w:r>
          <w:r>
            <w:rPr>
              <w:rFonts w:hint="eastAsia"/>
            </w:rPr>
            <w:fldChar w:fldCharType="end"/>
          </w:r>
        </w:p>
        <w:p>
          <w:pPr>
            <w:pStyle w:val="6"/>
            <w:rPr>
              <w:rFonts w:asciiTheme="minorHAnsi" w:hAnsiTheme="minorHAnsi" w:eastAsiaTheme="minorEastAsia" w:cstheme="minorBidi"/>
              <w:szCs w:val="22"/>
            </w:rPr>
          </w:pPr>
          <w:r>
            <w:fldChar w:fldCharType="begin"/>
          </w:r>
          <w:r>
            <w:instrText xml:space="preserve"> HYPERLINK \l "_Toc52180093" </w:instrText>
          </w:r>
          <w:r>
            <w:fldChar w:fldCharType="separate"/>
          </w:r>
          <w:r>
            <w:rPr>
              <w:rStyle w:val="16"/>
              <w:rFonts w:hint="eastAsia" w:ascii="仿宋" w:hAnsi="仿宋" w:eastAsia="仿宋"/>
              <w:b/>
            </w:rPr>
            <w:t>（二）政府采购支出情况</w:t>
          </w:r>
          <w:r>
            <w:tab/>
          </w:r>
          <w:r>
            <w:rPr>
              <w:rFonts w:hint="eastAsia"/>
            </w:rPr>
            <w:t>14</w:t>
          </w:r>
          <w:r>
            <w:rPr>
              <w:rFonts w:hint="eastAsia"/>
            </w:rPr>
            <w:fldChar w:fldCharType="end"/>
          </w:r>
        </w:p>
        <w:p>
          <w:pPr>
            <w:pStyle w:val="6"/>
            <w:rPr>
              <w:rFonts w:asciiTheme="minorHAnsi" w:hAnsiTheme="minorHAnsi" w:eastAsiaTheme="minorEastAsia" w:cstheme="minorBidi"/>
              <w:szCs w:val="22"/>
            </w:rPr>
          </w:pPr>
          <w:r>
            <w:fldChar w:fldCharType="begin"/>
          </w:r>
          <w:r>
            <w:instrText xml:space="preserve"> HYPERLINK \l "_Toc52180094" </w:instrText>
          </w:r>
          <w:r>
            <w:fldChar w:fldCharType="separate"/>
          </w:r>
          <w:r>
            <w:rPr>
              <w:rStyle w:val="16"/>
              <w:rFonts w:hint="eastAsia" w:ascii="仿宋" w:hAnsi="仿宋" w:eastAsia="仿宋"/>
              <w:b/>
            </w:rPr>
            <w:t>（三）国有资产占有使用情况</w:t>
          </w:r>
          <w:r>
            <w:tab/>
          </w:r>
          <w:r>
            <w:rPr>
              <w:rFonts w:hint="eastAsia"/>
            </w:rPr>
            <w:t>14</w:t>
          </w:r>
          <w:r>
            <w:rPr>
              <w:rFonts w:hint="eastAsia"/>
            </w:rPr>
            <w:fldChar w:fldCharType="end"/>
          </w:r>
        </w:p>
        <w:p>
          <w:pPr>
            <w:pStyle w:val="6"/>
            <w:rPr>
              <w:rFonts w:asciiTheme="minorHAnsi" w:hAnsiTheme="minorHAnsi" w:eastAsiaTheme="minorEastAsia" w:cstheme="minorBidi"/>
              <w:szCs w:val="22"/>
            </w:rPr>
          </w:pPr>
          <w:r>
            <w:fldChar w:fldCharType="begin"/>
          </w:r>
          <w:r>
            <w:instrText xml:space="preserve"> HYPERLINK \l "_Toc52180095" </w:instrText>
          </w:r>
          <w:r>
            <w:fldChar w:fldCharType="separate"/>
          </w:r>
          <w:r>
            <w:rPr>
              <w:rStyle w:val="16"/>
              <w:rFonts w:hint="eastAsia" w:ascii="仿宋" w:hAnsi="仿宋" w:eastAsia="仿宋"/>
              <w:b/>
            </w:rPr>
            <w:t>（四）预算绩效管理情况。</w:t>
          </w:r>
          <w:r>
            <w:tab/>
          </w:r>
          <w:r>
            <w:fldChar w:fldCharType="begin"/>
          </w:r>
          <w:r>
            <w:instrText xml:space="preserve"> PAGEREF _Toc52180095 \h </w:instrText>
          </w:r>
          <w:r>
            <w:fldChar w:fldCharType="separate"/>
          </w:r>
          <w:r>
            <w:t>1</w:t>
          </w:r>
          <w:r>
            <w:rPr>
              <w:rFonts w:hint="eastAsia"/>
            </w:rPr>
            <w:t>4</w:t>
          </w:r>
          <w:r>
            <w:fldChar w:fldCharType="end"/>
          </w:r>
          <w:r>
            <w:fldChar w:fldCharType="end"/>
          </w:r>
        </w:p>
        <w:p>
          <w:pPr>
            <w:pStyle w:val="11"/>
            <w:rPr>
              <w:rFonts w:asciiTheme="minorHAnsi" w:hAnsiTheme="minorHAnsi" w:cstheme="minorBidi"/>
              <w:sz w:val="21"/>
              <w:szCs w:val="22"/>
            </w:rPr>
          </w:pPr>
          <w:r>
            <w:fldChar w:fldCharType="begin"/>
          </w:r>
          <w:r>
            <w:instrText xml:space="preserve"> HYPERLINK \l "_Toc52180096" </w:instrText>
          </w:r>
          <w:r>
            <w:fldChar w:fldCharType="separate"/>
          </w:r>
          <w:r>
            <w:rPr>
              <w:rStyle w:val="16"/>
              <w:rFonts w:hint="eastAsia" w:ascii="黑体" w:hAnsi="黑体" w:eastAsia="黑体"/>
              <w:bCs/>
              <w:kern w:val="44"/>
            </w:rPr>
            <w:t>第三部分</w:t>
          </w:r>
          <w:r>
            <w:rPr>
              <w:rStyle w:val="16"/>
              <w:rFonts w:hint="eastAsia" w:ascii="黑体" w:hAnsi="黑体" w:eastAsia="黑体"/>
            </w:rPr>
            <w:t xml:space="preserve"> 名</w:t>
          </w:r>
          <w:r>
            <w:rPr>
              <w:rStyle w:val="16"/>
              <w:rFonts w:hint="eastAsia" w:ascii="黑体" w:hAnsi="黑体" w:eastAsia="黑体"/>
              <w:bCs/>
              <w:kern w:val="44"/>
            </w:rPr>
            <w:t>词解释</w:t>
          </w:r>
          <w:r>
            <w:tab/>
          </w:r>
          <w:r>
            <w:rPr>
              <w:rFonts w:hint="eastAsia"/>
            </w:rPr>
            <w:t>1</w:t>
          </w:r>
          <w:r>
            <w:rPr>
              <w:rFonts w:hint="eastAsia"/>
            </w:rPr>
            <w:fldChar w:fldCharType="end"/>
          </w:r>
          <w:r>
            <w:rPr>
              <w:rFonts w:hint="eastAsia"/>
            </w:rPr>
            <w:t>9</w:t>
          </w:r>
        </w:p>
        <w:p>
          <w:pPr>
            <w:pStyle w:val="11"/>
            <w:rPr>
              <w:rFonts w:asciiTheme="minorHAnsi" w:hAnsiTheme="minorHAnsi" w:cstheme="minorBidi"/>
              <w:sz w:val="21"/>
              <w:szCs w:val="22"/>
            </w:rPr>
          </w:pPr>
          <w:r>
            <w:fldChar w:fldCharType="begin"/>
          </w:r>
          <w:r>
            <w:instrText xml:space="preserve"> HYPERLINK \l "_Toc52180097" </w:instrText>
          </w:r>
          <w:r>
            <w:fldChar w:fldCharType="separate"/>
          </w:r>
          <w:r>
            <w:rPr>
              <w:rStyle w:val="16"/>
              <w:rFonts w:hint="eastAsia" w:ascii="黑体" w:hAnsi="黑体" w:eastAsia="黑体"/>
            </w:rPr>
            <w:t>第</w:t>
          </w:r>
          <w:r>
            <w:rPr>
              <w:rStyle w:val="16"/>
              <w:rFonts w:hint="eastAsia" w:ascii="黑体" w:hAnsi="黑体" w:eastAsia="黑体"/>
              <w:bCs/>
              <w:kern w:val="44"/>
            </w:rPr>
            <w:t>四部分</w:t>
          </w:r>
          <w:r>
            <w:rPr>
              <w:rStyle w:val="16"/>
              <w:rFonts w:ascii="黑体" w:hAnsi="黑体" w:eastAsia="黑体"/>
              <w:bCs/>
              <w:kern w:val="44"/>
            </w:rPr>
            <w:t xml:space="preserve"> </w:t>
          </w:r>
          <w:r>
            <w:rPr>
              <w:rStyle w:val="16"/>
              <w:rFonts w:hint="eastAsia" w:ascii="黑体" w:hAnsi="黑体" w:eastAsia="黑体"/>
              <w:bCs/>
              <w:kern w:val="44"/>
            </w:rPr>
            <w:t>附件</w:t>
          </w:r>
          <w:r>
            <w:tab/>
          </w:r>
          <w:r>
            <w:rPr>
              <w:rFonts w:hint="eastAsia"/>
            </w:rPr>
            <w:t>2</w:t>
          </w:r>
          <w:r>
            <w:rPr>
              <w:rFonts w:hint="eastAsia"/>
            </w:rPr>
            <w:fldChar w:fldCharType="end"/>
          </w:r>
          <w:r>
            <w:rPr>
              <w:rFonts w:hint="eastAsia"/>
            </w:rPr>
            <w:t>1</w:t>
          </w:r>
        </w:p>
        <w:p>
          <w:pPr>
            <w:pStyle w:val="11"/>
            <w:rPr>
              <w:rFonts w:asciiTheme="minorHAnsi" w:hAnsiTheme="minorHAnsi" w:eastAsiaTheme="minorEastAsia" w:cstheme="minorBidi"/>
              <w:sz w:val="21"/>
              <w:szCs w:val="22"/>
            </w:rPr>
          </w:pPr>
          <w:r>
            <w:fldChar w:fldCharType="begin"/>
          </w:r>
          <w:r>
            <w:instrText xml:space="preserve"> HYPERLINK \l "_Toc52180099" </w:instrText>
          </w:r>
          <w:r>
            <w:fldChar w:fldCharType="separate"/>
          </w:r>
          <w:r>
            <w:rPr>
              <w:rStyle w:val="16"/>
              <w:rFonts w:hint="eastAsia" w:ascii="黑体" w:hAnsi="黑体" w:eastAsia="黑体"/>
            </w:rPr>
            <w:t>第</w:t>
          </w:r>
          <w:r>
            <w:rPr>
              <w:rStyle w:val="16"/>
              <w:rFonts w:hint="eastAsia" w:ascii="黑体" w:hAnsi="黑体" w:eastAsia="黑体"/>
              <w:bCs/>
              <w:kern w:val="44"/>
            </w:rPr>
            <w:t>五部分</w:t>
          </w:r>
          <w:r>
            <w:rPr>
              <w:rStyle w:val="16"/>
              <w:rFonts w:ascii="黑体" w:hAnsi="黑体" w:eastAsia="黑体"/>
              <w:bCs/>
              <w:kern w:val="44"/>
            </w:rPr>
            <w:t xml:space="preserve"> </w:t>
          </w:r>
          <w:r>
            <w:rPr>
              <w:rStyle w:val="16"/>
              <w:rFonts w:hint="eastAsia" w:ascii="黑体" w:hAnsi="黑体" w:eastAsia="黑体"/>
              <w:bCs/>
              <w:kern w:val="44"/>
            </w:rPr>
            <w:t>附表</w:t>
          </w:r>
          <w:r>
            <w:tab/>
          </w:r>
          <w:r>
            <w:fldChar w:fldCharType="begin"/>
          </w:r>
          <w:r>
            <w:instrText xml:space="preserve"> PAGEREF _Toc52180099 \h </w:instrText>
          </w:r>
          <w:r>
            <w:fldChar w:fldCharType="separate"/>
          </w:r>
          <w:r>
            <w:t>2</w:t>
          </w:r>
          <w:r>
            <w:rPr>
              <w:rFonts w:hint="eastAsia"/>
            </w:rPr>
            <w:t>6</w:t>
          </w:r>
          <w:r>
            <w:fldChar w:fldCharType="end"/>
          </w:r>
          <w:r>
            <w:fldChar w:fldCharType="end"/>
          </w:r>
        </w:p>
        <w:p>
          <w:pPr>
            <w:pStyle w:val="12"/>
            <w:rPr>
              <w:rFonts w:asciiTheme="minorHAnsi" w:hAnsiTheme="minorHAnsi" w:cstheme="minorBidi"/>
              <w:szCs w:val="22"/>
            </w:rPr>
          </w:pPr>
          <w:r>
            <w:fldChar w:fldCharType="begin"/>
          </w:r>
          <w:r>
            <w:instrText xml:space="preserve"> HYPERLINK \l "_Toc52180100" </w:instrText>
          </w:r>
          <w:r>
            <w:fldChar w:fldCharType="separate"/>
          </w:r>
          <w:r>
            <w:rPr>
              <w:rStyle w:val="16"/>
              <w:rFonts w:hint="eastAsia" w:ascii="仿宋" w:hAnsi="仿宋" w:eastAsia="仿宋"/>
            </w:rPr>
            <w:t>一、收入支出决算总表</w:t>
          </w:r>
          <w:r>
            <w:tab/>
          </w:r>
          <w:r>
            <w:rPr>
              <w:rFonts w:hint="eastAsia"/>
            </w:rPr>
            <w:t>2</w:t>
          </w:r>
          <w:r>
            <w:rPr>
              <w:rFonts w:hint="eastAsia"/>
            </w:rPr>
            <w:fldChar w:fldCharType="end"/>
          </w:r>
          <w:r>
            <w:rPr>
              <w:rFonts w:hint="eastAsia"/>
            </w:rPr>
            <w:t>6</w:t>
          </w:r>
        </w:p>
        <w:p>
          <w:pPr>
            <w:pStyle w:val="12"/>
            <w:rPr>
              <w:rFonts w:asciiTheme="minorHAnsi" w:hAnsiTheme="minorHAnsi" w:eastAsiaTheme="minorEastAsia" w:cstheme="minorBidi"/>
              <w:szCs w:val="22"/>
            </w:rPr>
          </w:pPr>
          <w:r>
            <w:fldChar w:fldCharType="begin"/>
          </w:r>
          <w:r>
            <w:instrText xml:space="preserve"> HYPERLINK \l "_Toc52180101" </w:instrText>
          </w:r>
          <w:r>
            <w:fldChar w:fldCharType="separate"/>
          </w:r>
          <w:r>
            <w:rPr>
              <w:rStyle w:val="16"/>
              <w:rFonts w:hint="eastAsia" w:ascii="仿宋" w:hAnsi="仿宋" w:eastAsia="仿宋"/>
            </w:rPr>
            <w:t>二、收入决算表</w:t>
          </w:r>
          <w:r>
            <w:tab/>
          </w:r>
          <w:r>
            <w:fldChar w:fldCharType="begin"/>
          </w:r>
          <w:r>
            <w:instrText xml:space="preserve"> PAGEREF _Toc52180101 \h </w:instrText>
          </w:r>
          <w:r>
            <w:fldChar w:fldCharType="separate"/>
          </w:r>
          <w:r>
            <w:t>2</w:t>
          </w:r>
          <w:r>
            <w:rPr>
              <w:rFonts w:hint="eastAsia"/>
            </w:rPr>
            <w:t>6</w:t>
          </w:r>
          <w:r>
            <w:fldChar w:fldCharType="end"/>
          </w:r>
          <w:r>
            <w:fldChar w:fldCharType="end"/>
          </w:r>
        </w:p>
        <w:p>
          <w:pPr>
            <w:pStyle w:val="12"/>
            <w:rPr>
              <w:rFonts w:asciiTheme="minorHAnsi" w:hAnsiTheme="minorHAnsi" w:eastAsiaTheme="minorEastAsia" w:cstheme="minorBidi"/>
              <w:szCs w:val="22"/>
            </w:rPr>
          </w:pPr>
          <w:r>
            <w:fldChar w:fldCharType="begin"/>
          </w:r>
          <w:r>
            <w:instrText xml:space="preserve"> HYPERLINK \l "_Toc52180102" </w:instrText>
          </w:r>
          <w:r>
            <w:fldChar w:fldCharType="separate"/>
          </w:r>
          <w:r>
            <w:rPr>
              <w:rStyle w:val="16"/>
              <w:rFonts w:hint="eastAsia" w:ascii="仿宋" w:hAnsi="仿宋" w:eastAsia="仿宋"/>
            </w:rPr>
            <w:t>三、支出决算表</w:t>
          </w:r>
          <w:r>
            <w:tab/>
          </w:r>
          <w:r>
            <w:fldChar w:fldCharType="begin"/>
          </w:r>
          <w:r>
            <w:instrText xml:space="preserve"> PAGEREF _Toc52180102 \h </w:instrText>
          </w:r>
          <w:r>
            <w:fldChar w:fldCharType="separate"/>
          </w:r>
          <w:r>
            <w:t>2</w:t>
          </w:r>
          <w:r>
            <w:rPr>
              <w:rFonts w:hint="eastAsia"/>
            </w:rPr>
            <w:t>6</w:t>
          </w:r>
          <w:r>
            <w:fldChar w:fldCharType="end"/>
          </w:r>
          <w:r>
            <w:fldChar w:fldCharType="end"/>
          </w:r>
        </w:p>
        <w:p>
          <w:pPr>
            <w:pStyle w:val="12"/>
            <w:rPr>
              <w:rFonts w:asciiTheme="minorHAnsi" w:hAnsiTheme="minorHAnsi" w:eastAsiaTheme="minorEastAsia" w:cstheme="minorBidi"/>
              <w:szCs w:val="22"/>
            </w:rPr>
          </w:pPr>
          <w:r>
            <w:fldChar w:fldCharType="begin"/>
          </w:r>
          <w:r>
            <w:instrText xml:space="preserve"> HYPERLINK \l "_Toc52180103" </w:instrText>
          </w:r>
          <w:r>
            <w:fldChar w:fldCharType="separate"/>
          </w:r>
          <w:r>
            <w:rPr>
              <w:rStyle w:val="16"/>
              <w:rFonts w:hint="eastAsia" w:ascii="仿宋" w:hAnsi="仿宋" w:eastAsia="仿宋"/>
            </w:rPr>
            <w:t>四、财政拨款收入支出决算总表</w:t>
          </w:r>
          <w:r>
            <w:tab/>
          </w:r>
          <w:r>
            <w:fldChar w:fldCharType="begin"/>
          </w:r>
          <w:r>
            <w:instrText xml:space="preserve"> PAGEREF _Toc52180103 \h </w:instrText>
          </w:r>
          <w:r>
            <w:fldChar w:fldCharType="separate"/>
          </w:r>
          <w:r>
            <w:t>2</w:t>
          </w:r>
          <w:r>
            <w:rPr>
              <w:rFonts w:hint="eastAsia"/>
            </w:rPr>
            <w:t>6</w:t>
          </w:r>
          <w:r>
            <w:fldChar w:fldCharType="end"/>
          </w:r>
          <w:r>
            <w:fldChar w:fldCharType="end"/>
          </w:r>
        </w:p>
        <w:p>
          <w:pPr>
            <w:pStyle w:val="12"/>
            <w:rPr>
              <w:rFonts w:asciiTheme="minorHAnsi" w:hAnsiTheme="minorHAnsi" w:eastAsiaTheme="minorEastAsia" w:cstheme="minorBidi"/>
              <w:szCs w:val="22"/>
            </w:rPr>
          </w:pPr>
          <w:r>
            <w:fldChar w:fldCharType="begin"/>
          </w:r>
          <w:r>
            <w:instrText xml:space="preserve"> HYPERLINK \l "_Toc52180104" </w:instrText>
          </w:r>
          <w:r>
            <w:fldChar w:fldCharType="separate"/>
          </w:r>
          <w:r>
            <w:rPr>
              <w:rStyle w:val="16"/>
              <w:rFonts w:hint="eastAsia" w:ascii="仿宋" w:hAnsi="仿宋" w:eastAsia="仿宋"/>
            </w:rPr>
            <w:t>五、财政拨款支出决算明细表</w:t>
          </w:r>
          <w:r>
            <w:tab/>
          </w:r>
          <w:r>
            <w:fldChar w:fldCharType="begin"/>
          </w:r>
          <w:r>
            <w:instrText xml:space="preserve"> PAGEREF _Toc52180104 \h </w:instrText>
          </w:r>
          <w:r>
            <w:fldChar w:fldCharType="separate"/>
          </w:r>
          <w:r>
            <w:t>2</w:t>
          </w:r>
          <w:r>
            <w:rPr>
              <w:rFonts w:hint="eastAsia"/>
            </w:rPr>
            <w:t>6</w:t>
          </w:r>
          <w:r>
            <w:fldChar w:fldCharType="end"/>
          </w:r>
          <w:r>
            <w:fldChar w:fldCharType="end"/>
          </w:r>
        </w:p>
        <w:p>
          <w:pPr>
            <w:pStyle w:val="12"/>
            <w:rPr>
              <w:rFonts w:asciiTheme="minorHAnsi" w:hAnsiTheme="minorHAnsi" w:eastAsiaTheme="minorEastAsia" w:cstheme="minorBidi"/>
              <w:szCs w:val="22"/>
            </w:rPr>
          </w:pPr>
          <w:r>
            <w:fldChar w:fldCharType="begin"/>
          </w:r>
          <w:r>
            <w:instrText xml:space="preserve"> HYPERLINK \l "_Toc52180105" </w:instrText>
          </w:r>
          <w:r>
            <w:fldChar w:fldCharType="separate"/>
          </w:r>
          <w:r>
            <w:rPr>
              <w:rStyle w:val="16"/>
              <w:rFonts w:hint="eastAsia" w:ascii="仿宋" w:hAnsi="仿宋" w:eastAsia="仿宋"/>
            </w:rPr>
            <w:t>六、一般公共预算财政拨款支出决算表</w:t>
          </w:r>
          <w:r>
            <w:tab/>
          </w:r>
          <w:r>
            <w:fldChar w:fldCharType="begin"/>
          </w:r>
          <w:r>
            <w:instrText xml:space="preserve"> PAGEREF _Toc52180105 \h </w:instrText>
          </w:r>
          <w:r>
            <w:fldChar w:fldCharType="separate"/>
          </w:r>
          <w:r>
            <w:t>2</w:t>
          </w:r>
          <w:r>
            <w:rPr>
              <w:rFonts w:hint="eastAsia"/>
            </w:rPr>
            <w:t>6</w:t>
          </w:r>
          <w:r>
            <w:fldChar w:fldCharType="end"/>
          </w:r>
          <w:r>
            <w:fldChar w:fldCharType="end"/>
          </w:r>
        </w:p>
        <w:p>
          <w:pPr>
            <w:pStyle w:val="12"/>
            <w:rPr>
              <w:rFonts w:asciiTheme="minorHAnsi" w:hAnsiTheme="minorHAnsi" w:eastAsiaTheme="minorEastAsia" w:cstheme="minorBidi"/>
              <w:szCs w:val="22"/>
            </w:rPr>
          </w:pPr>
          <w:r>
            <w:fldChar w:fldCharType="begin"/>
          </w:r>
          <w:r>
            <w:instrText xml:space="preserve"> HYPERLINK \l "_Toc52180106" </w:instrText>
          </w:r>
          <w:r>
            <w:fldChar w:fldCharType="separate"/>
          </w:r>
          <w:r>
            <w:rPr>
              <w:rStyle w:val="16"/>
              <w:rFonts w:hint="eastAsia" w:ascii="仿宋" w:hAnsi="仿宋" w:eastAsia="仿宋"/>
            </w:rPr>
            <w:t>七、一般公共预算财政拨款支出决算明细表</w:t>
          </w:r>
          <w:r>
            <w:tab/>
          </w:r>
          <w:r>
            <w:fldChar w:fldCharType="begin"/>
          </w:r>
          <w:r>
            <w:instrText xml:space="preserve"> PAGEREF _Toc52180106 \h </w:instrText>
          </w:r>
          <w:r>
            <w:fldChar w:fldCharType="separate"/>
          </w:r>
          <w:r>
            <w:t>2</w:t>
          </w:r>
          <w:r>
            <w:rPr>
              <w:rFonts w:hint="eastAsia"/>
            </w:rPr>
            <w:t>6</w:t>
          </w:r>
          <w:r>
            <w:fldChar w:fldCharType="end"/>
          </w:r>
          <w:r>
            <w:fldChar w:fldCharType="end"/>
          </w:r>
        </w:p>
        <w:p>
          <w:pPr>
            <w:pStyle w:val="12"/>
            <w:rPr>
              <w:rFonts w:asciiTheme="minorHAnsi" w:hAnsiTheme="minorHAnsi" w:eastAsiaTheme="minorEastAsia" w:cstheme="minorBidi"/>
              <w:szCs w:val="22"/>
            </w:rPr>
          </w:pPr>
          <w:r>
            <w:fldChar w:fldCharType="begin"/>
          </w:r>
          <w:r>
            <w:instrText xml:space="preserve"> HYPERLINK \l "_Toc52180107" </w:instrText>
          </w:r>
          <w:r>
            <w:fldChar w:fldCharType="separate"/>
          </w:r>
          <w:r>
            <w:rPr>
              <w:rStyle w:val="16"/>
              <w:rFonts w:hint="eastAsia" w:ascii="仿宋" w:hAnsi="仿宋" w:eastAsia="仿宋"/>
            </w:rPr>
            <w:t>八、一般公共预算财政拨款基本支出决算表</w:t>
          </w:r>
          <w:r>
            <w:tab/>
          </w:r>
          <w:r>
            <w:fldChar w:fldCharType="begin"/>
          </w:r>
          <w:r>
            <w:instrText xml:space="preserve"> PAGEREF _Toc52180107 \h </w:instrText>
          </w:r>
          <w:r>
            <w:fldChar w:fldCharType="separate"/>
          </w:r>
          <w:r>
            <w:t>2</w:t>
          </w:r>
          <w:r>
            <w:rPr>
              <w:rFonts w:hint="eastAsia"/>
            </w:rPr>
            <w:t>6</w:t>
          </w:r>
          <w:r>
            <w:fldChar w:fldCharType="end"/>
          </w:r>
          <w:r>
            <w:fldChar w:fldCharType="end"/>
          </w:r>
        </w:p>
        <w:p>
          <w:pPr>
            <w:pStyle w:val="12"/>
            <w:rPr>
              <w:rFonts w:asciiTheme="minorHAnsi" w:hAnsiTheme="minorHAnsi" w:eastAsiaTheme="minorEastAsia" w:cstheme="minorBidi"/>
              <w:szCs w:val="22"/>
            </w:rPr>
          </w:pPr>
          <w:r>
            <w:fldChar w:fldCharType="begin"/>
          </w:r>
          <w:r>
            <w:instrText xml:space="preserve"> HYPERLINK \l "_Toc52180108" </w:instrText>
          </w:r>
          <w:r>
            <w:fldChar w:fldCharType="separate"/>
          </w:r>
          <w:r>
            <w:rPr>
              <w:rStyle w:val="16"/>
              <w:rFonts w:hint="eastAsia" w:ascii="仿宋" w:hAnsi="仿宋" w:eastAsia="仿宋"/>
            </w:rPr>
            <w:t>九、一般公共预算财政拨款项目支出决算表</w:t>
          </w:r>
          <w:r>
            <w:tab/>
          </w:r>
          <w:r>
            <w:fldChar w:fldCharType="begin"/>
          </w:r>
          <w:r>
            <w:instrText xml:space="preserve"> PAGEREF _Toc52180108 \h </w:instrText>
          </w:r>
          <w:r>
            <w:fldChar w:fldCharType="separate"/>
          </w:r>
          <w:r>
            <w:t>2</w:t>
          </w:r>
          <w:r>
            <w:rPr>
              <w:rFonts w:hint="eastAsia"/>
            </w:rPr>
            <w:t>6</w:t>
          </w:r>
          <w:r>
            <w:fldChar w:fldCharType="end"/>
          </w:r>
          <w:r>
            <w:fldChar w:fldCharType="end"/>
          </w:r>
        </w:p>
        <w:p>
          <w:pPr>
            <w:pStyle w:val="12"/>
            <w:rPr>
              <w:rFonts w:asciiTheme="minorHAnsi" w:hAnsiTheme="minorHAnsi" w:eastAsiaTheme="minorEastAsia" w:cstheme="minorBidi"/>
              <w:szCs w:val="22"/>
            </w:rPr>
          </w:pPr>
          <w:r>
            <w:fldChar w:fldCharType="begin"/>
          </w:r>
          <w:r>
            <w:instrText xml:space="preserve"> HYPERLINK \l "_Toc52180109" </w:instrText>
          </w:r>
          <w:r>
            <w:fldChar w:fldCharType="separate"/>
          </w:r>
          <w:r>
            <w:rPr>
              <w:rStyle w:val="16"/>
              <w:rFonts w:hint="eastAsia" w:ascii="仿宋" w:hAnsi="仿宋" w:eastAsia="仿宋"/>
            </w:rPr>
            <w:t>十、一般公共预算财政拨款“三公”经费支出决算表</w:t>
          </w:r>
          <w:r>
            <w:tab/>
          </w:r>
          <w:r>
            <w:fldChar w:fldCharType="begin"/>
          </w:r>
          <w:r>
            <w:instrText xml:space="preserve"> PAGEREF _Toc52180109 \h </w:instrText>
          </w:r>
          <w:r>
            <w:fldChar w:fldCharType="separate"/>
          </w:r>
          <w:r>
            <w:t>2</w:t>
          </w:r>
          <w:r>
            <w:rPr>
              <w:rFonts w:hint="eastAsia"/>
            </w:rPr>
            <w:t>6</w:t>
          </w:r>
          <w:r>
            <w:fldChar w:fldCharType="end"/>
          </w:r>
          <w:r>
            <w:fldChar w:fldCharType="end"/>
          </w:r>
        </w:p>
        <w:p>
          <w:pPr>
            <w:pStyle w:val="12"/>
            <w:rPr>
              <w:rFonts w:asciiTheme="minorHAnsi" w:hAnsiTheme="minorHAnsi" w:eastAsiaTheme="minorEastAsia" w:cstheme="minorBidi"/>
              <w:szCs w:val="22"/>
            </w:rPr>
          </w:pPr>
          <w:r>
            <w:fldChar w:fldCharType="begin"/>
          </w:r>
          <w:r>
            <w:instrText xml:space="preserve"> HYPERLINK \l "_Toc52180110" </w:instrText>
          </w:r>
          <w:r>
            <w:fldChar w:fldCharType="separate"/>
          </w:r>
          <w:r>
            <w:rPr>
              <w:rStyle w:val="16"/>
              <w:rFonts w:hint="eastAsia" w:ascii="仿宋" w:hAnsi="仿宋" w:eastAsia="仿宋"/>
            </w:rPr>
            <w:t>十一、政府性基金预算财政拨款收入支出决算表</w:t>
          </w:r>
          <w:r>
            <w:tab/>
          </w:r>
          <w:r>
            <w:fldChar w:fldCharType="begin"/>
          </w:r>
          <w:r>
            <w:instrText xml:space="preserve"> PAGEREF _Toc52180110 \h </w:instrText>
          </w:r>
          <w:r>
            <w:fldChar w:fldCharType="separate"/>
          </w:r>
          <w:r>
            <w:t>2</w:t>
          </w:r>
          <w:r>
            <w:rPr>
              <w:rFonts w:hint="eastAsia"/>
            </w:rPr>
            <w:t>6</w:t>
          </w:r>
          <w:r>
            <w:fldChar w:fldCharType="end"/>
          </w:r>
          <w:r>
            <w:fldChar w:fldCharType="end"/>
          </w:r>
        </w:p>
        <w:p>
          <w:pPr>
            <w:pStyle w:val="12"/>
            <w:rPr>
              <w:rFonts w:asciiTheme="minorHAnsi" w:hAnsiTheme="minorHAnsi" w:eastAsiaTheme="minorEastAsia" w:cstheme="minorBidi"/>
              <w:szCs w:val="22"/>
            </w:rPr>
          </w:pPr>
          <w:r>
            <w:fldChar w:fldCharType="begin"/>
          </w:r>
          <w:r>
            <w:instrText xml:space="preserve"> HYPERLINK \l "_Toc52180111" </w:instrText>
          </w:r>
          <w:r>
            <w:fldChar w:fldCharType="separate"/>
          </w:r>
          <w:r>
            <w:rPr>
              <w:rStyle w:val="16"/>
              <w:rFonts w:hint="eastAsia" w:ascii="仿宋" w:hAnsi="仿宋" w:eastAsia="仿宋"/>
            </w:rPr>
            <w:t>十二、政府性基金预算财政拨款“三公”经费支出决算表</w:t>
          </w:r>
          <w:r>
            <w:tab/>
          </w:r>
          <w:r>
            <w:fldChar w:fldCharType="begin"/>
          </w:r>
          <w:r>
            <w:instrText xml:space="preserve"> PAGEREF _Toc52180111 \h </w:instrText>
          </w:r>
          <w:r>
            <w:fldChar w:fldCharType="separate"/>
          </w:r>
          <w:r>
            <w:t>2</w:t>
          </w:r>
          <w:r>
            <w:rPr>
              <w:rFonts w:hint="eastAsia"/>
            </w:rPr>
            <w:t>6</w:t>
          </w:r>
          <w:r>
            <w:fldChar w:fldCharType="end"/>
          </w:r>
          <w:r>
            <w:fldChar w:fldCharType="end"/>
          </w:r>
        </w:p>
        <w:p>
          <w:pPr>
            <w:pStyle w:val="12"/>
            <w:rPr>
              <w:rFonts w:asciiTheme="minorHAnsi" w:hAnsiTheme="minorHAnsi" w:eastAsiaTheme="minorEastAsia" w:cstheme="minorBidi"/>
              <w:szCs w:val="22"/>
            </w:rPr>
          </w:pPr>
          <w:r>
            <w:fldChar w:fldCharType="begin"/>
          </w:r>
          <w:r>
            <w:instrText xml:space="preserve"> HYPERLINK \l "_Toc52180112" </w:instrText>
          </w:r>
          <w:r>
            <w:fldChar w:fldCharType="separate"/>
          </w:r>
          <w:r>
            <w:rPr>
              <w:rStyle w:val="16"/>
              <w:rFonts w:hint="eastAsia" w:ascii="仿宋" w:hAnsi="仿宋" w:eastAsia="仿宋"/>
            </w:rPr>
            <w:t>十三、国有资本经营预算支出决算表</w:t>
          </w:r>
          <w:r>
            <w:tab/>
          </w:r>
          <w:r>
            <w:fldChar w:fldCharType="begin"/>
          </w:r>
          <w:r>
            <w:instrText xml:space="preserve"> PAGEREF _Toc52180112 \h </w:instrText>
          </w:r>
          <w:r>
            <w:fldChar w:fldCharType="separate"/>
          </w:r>
          <w:r>
            <w:t>2</w:t>
          </w:r>
          <w:r>
            <w:rPr>
              <w:rFonts w:hint="eastAsia"/>
            </w:rPr>
            <w:t>6</w:t>
          </w:r>
          <w:r>
            <w:fldChar w:fldCharType="end"/>
          </w:r>
          <w:r>
            <w:fldChar w:fldCharType="end"/>
          </w:r>
        </w:p>
        <w:p>
          <w:pPr>
            <w:widowControl/>
            <w:jc w:val="center"/>
          </w:pPr>
          <w:r>
            <w:fldChar w:fldCharType="end"/>
          </w:r>
        </w:p>
      </w:sdtContent>
    </w:sdt>
    <w:p>
      <w:pPr>
        <w:widowControl/>
        <w:jc w:val="center"/>
        <w:rPr>
          <w:rFonts w:ascii="仿宋" w:hAnsi="仿宋" w:eastAsia="仿宋"/>
          <w:color w:val="000000"/>
          <w:sz w:val="24"/>
        </w:rPr>
      </w:pPr>
      <w:r>
        <w:rPr>
          <w:rFonts w:ascii="仿宋" w:hAnsi="仿宋" w:eastAsia="仿宋"/>
          <w:color w:val="000000"/>
          <w:sz w:val="24"/>
        </w:rPr>
        <w:t xml:space="preserve"> </w:t>
      </w:r>
    </w:p>
    <w:p>
      <w:pPr>
        <w:widowControl/>
        <w:jc w:val="left"/>
        <w:rPr>
          <w:rFonts w:ascii="仿宋" w:hAnsi="仿宋" w:eastAsia="仿宋"/>
          <w:color w:val="000000"/>
          <w:sz w:val="24"/>
        </w:rPr>
      </w:pP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Fonts w:ascii="黑体" w:eastAsia="黑体"/>
          <w:color w:val="000000"/>
          <w:sz w:val="32"/>
          <w:szCs w:val="32"/>
        </w:rPr>
      </w:pPr>
      <w:r>
        <w:rPr>
          <w:rFonts w:hint="eastAsia" w:ascii="黑体" w:hAnsi="黑体" w:eastAsia="黑体"/>
          <w:b w:val="0"/>
        </w:rPr>
        <w:t>第一部分</w:t>
      </w:r>
      <w:r>
        <w:rPr>
          <w:rStyle w:val="17"/>
          <w:rFonts w:hint="eastAsia" w:ascii="黑体" w:hAnsi="黑体" w:eastAsia="黑体"/>
          <w:b w:val="0"/>
          <w:bCs w:val="0"/>
        </w:rPr>
        <w:t>部门概况</w:t>
      </w:r>
      <w:bookmarkEnd w:id="12"/>
      <w:bookmarkEnd w:id="13"/>
    </w:p>
    <w:p>
      <w:pPr>
        <w:pStyle w:val="3"/>
        <w:ind w:firstLine="640" w:firstLineChars="200"/>
        <w:rPr>
          <w:rStyle w:val="18"/>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18"/>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4" w:firstLineChars="210"/>
        <w:outlineLvl w:val="2"/>
        <w:rPr>
          <w:rFonts w:ascii="仿宋" w:hAnsi="仿宋" w:eastAsia="仿宋"/>
          <w:b/>
          <w:color w:val="000000"/>
          <w:sz w:val="32"/>
          <w:szCs w:val="32"/>
        </w:rPr>
      </w:pPr>
      <w:bookmarkStart w:id="16" w:name="_Toc15378445"/>
      <w:bookmarkStart w:id="17" w:name="_Toc15377198"/>
      <w:r>
        <w:rPr>
          <w:rFonts w:hint="eastAsia" w:ascii="仿宋" w:hAnsi="仿宋" w:eastAsia="仿宋"/>
          <w:b/>
          <w:color w:val="000000"/>
          <w:sz w:val="32"/>
          <w:szCs w:val="32"/>
        </w:rPr>
        <w:t>（一）主要职能</w:t>
      </w:r>
      <w:bookmarkEnd w:id="16"/>
      <w:bookmarkEnd w:id="17"/>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bCs/>
          <w:color w:val="000000"/>
          <w:sz w:val="32"/>
          <w:szCs w:val="32"/>
        </w:rPr>
        <w:t>盐县人民医院是盐边县域内医疗卫生中心和农村三级医疗卫生服务龙头，与市级医院分工协作，主要为县域居民提供基本医疗服务，包括运用适宜医疗技术和药物，开展常见病、多发病诊疗，危急重症病人救治，重大疑难疾病接治转诊；推广应用适宜医疗技术，为农村基层医疗卫生机构人员提供培训和技术指导；承担部分公共卫生服务，以及自然灾害和突发事件医疗救治等工作。医院以病人为中心，加强内部管理，不断完善功能，提高技术水平和服务质量满足人民群众日益增长的医疗服务需求，实现小病不出乡大病不出县，切实解决群众看病难看病贵问题。</w:t>
      </w:r>
    </w:p>
    <w:p>
      <w:pPr>
        <w:pStyle w:val="5"/>
        <w:adjustRightInd w:val="0"/>
        <w:snapToGrid w:val="0"/>
        <w:spacing w:before="93" w:line="600" w:lineRule="exact"/>
        <w:ind w:firstLine="674" w:firstLineChars="210"/>
        <w:outlineLvl w:val="2"/>
        <w:rPr>
          <w:rFonts w:ascii="仿宋" w:hAnsi="仿宋" w:eastAsia="仿宋"/>
          <w:bCs/>
          <w:color w:val="000000"/>
          <w:sz w:val="32"/>
          <w:szCs w:val="32"/>
        </w:rPr>
      </w:pPr>
      <w:bookmarkStart w:id="18" w:name="_Toc15378446"/>
      <w:bookmarkStart w:id="19" w:name="_Toc15377199"/>
      <w:r>
        <w:rPr>
          <w:rFonts w:hint="eastAsia" w:ascii="仿宋" w:hAnsi="仿宋" w:eastAsia="仿宋"/>
          <w:b/>
          <w:color w:val="000000"/>
          <w:sz w:val="32"/>
          <w:szCs w:val="32"/>
        </w:rPr>
        <w:t>（二）</w:t>
      </w:r>
      <w:r>
        <w:rPr>
          <w:rFonts w:ascii="仿宋" w:hAnsi="仿宋" w:eastAsia="仿宋"/>
          <w:b/>
          <w:color w:val="000000"/>
          <w:sz w:val="32"/>
          <w:szCs w:val="32"/>
        </w:rPr>
        <w:t>201</w:t>
      </w:r>
      <w:r>
        <w:rPr>
          <w:rFonts w:hint="eastAsia" w:ascii="仿宋" w:hAnsi="仿宋" w:eastAsia="仿宋"/>
          <w:b/>
          <w:color w:val="000000"/>
          <w:sz w:val="32"/>
          <w:szCs w:val="32"/>
        </w:rPr>
        <w:t>9年重点工作完成情况。</w:t>
      </w:r>
      <w:bookmarkEnd w:id="18"/>
      <w:bookmarkEnd w:id="19"/>
    </w:p>
    <w:p>
      <w:pPr>
        <w:pStyle w:val="27"/>
        <w:numPr>
          <w:ilvl w:val="0"/>
          <w:numId w:val="0"/>
        </w:numPr>
        <w:spacing w:before="93" w:line="560" w:lineRule="exact"/>
        <w:ind w:left="1203" w:leftChars="0"/>
        <w:rPr>
          <w:rFonts w:ascii="仿宋" w:hAnsi="仿宋" w:eastAsia="仿宋"/>
          <w:color w:val="262626"/>
          <w:sz w:val="33"/>
          <w:szCs w:val="33"/>
        </w:rPr>
      </w:pPr>
      <w:r>
        <w:rPr>
          <w:rFonts w:hint="eastAsia" w:ascii="仿宋" w:hAnsi="仿宋" w:eastAsia="仿宋"/>
          <w:color w:val="262626"/>
          <w:sz w:val="33"/>
          <w:szCs w:val="33"/>
          <w:lang w:val="en-US" w:eastAsia="zh-CN"/>
        </w:rPr>
        <w:t>1.</w:t>
      </w:r>
      <w:r>
        <w:rPr>
          <w:rFonts w:hint="eastAsia" w:ascii="仿宋" w:hAnsi="仿宋" w:eastAsia="仿宋"/>
          <w:color w:val="262626"/>
          <w:sz w:val="33"/>
          <w:szCs w:val="33"/>
        </w:rPr>
        <w:t>党建引领，筑牢为民服务政治保障</w:t>
      </w:r>
    </w:p>
    <w:p>
      <w:pPr>
        <w:spacing w:line="560" w:lineRule="exact"/>
        <w:ind w:firstLine="1120" w:firstLineChars="350"/>
        <w:rPr>
          <w:rFonts w:ascii="仿宋_GB2312" w:eastAsia="仿宋_GB2312"/>
          <w:bCs/>
          <w:color w:val="000000"/>
          <w:kern w:val="0"/>
          <w:sz w:val="32"/>
          <w:szCs w:val="32"/>
        </w:rPr>
      </w:pPr>
      <w:r>
        <w:rPr>
          <w:rFonts w:hint="eastAsia" w:ascii="仿宋_GB2312" w:eastAsia="仿宋_GB2312"/>
          <w:bCs/>
          <w:color w:val="000000"/>
          <w:kern w:val="0"/>
          <w:sz w:val="32"/>
          <w:szCs w:val="32"/>
        </w:rPr>
        <w:t>按照《关于加强公立医院党的建设工作的意见》要求，积极探索党委领导下的院长负责制，深入推进“两学一做”学习教育常态化、制度化。通过抓好党员干部的教育管理，规范党的基层组织建设，牢固树立“四个意识”和“四个自信”。扎实开展学习教育，用理论武装人。对习近平新时代中国特色社会主义思想和党的十九大精神进行了重点学习，开展“不忘初心、牢记使命”主题教育。</w:t>
      </w:r>
    </w:p>
    <w:p>
      <w:pPr>
        <w:pStyle w:val="27"/>
        <w:spacing w:line="560" w:lineRule="exact"/>
        <w:ind w:firstLine="825" w:firstLineChars="250"/>
        <w:rPr>
          <w:rFonts w:ascii="仿宋" w:hAnsi="仿宋" w:eastAsia="仿宋"/>
          <w:sz w:val="33"/>
          <w:szCs w:val="33"/>
        </w:rPr>
      </w:pPr>
      <w:r>
        <w:rPr>
          <w:rFonts w:hint="eastAsia" w:ascii="仿宋" w:hAnsi="仿宋" w:eastAsia="仿宋"/>
          <w:sz w:val="33"/>
          <w:szCs w:val="33"/>
          <w:lang w:val="en-US" w:eastAsia="zh-CN"/>
        </w:rPr>
        <w:t>2.</w:t>
      </w:r>
      <w:r>
        <w:rPr>
          <w:rFonts w:hint="eastAsia" w:ascii="仿宋" w:hAnsi="仿宋" w:eastAsia="仿宋"/>
          <w:sz w:val="33"/>
          <w:szCs w:val="33"/>
        </w:rPr>
        <w:t>医院工作稳步发展，成绩显著</w:t>
      </w:r>
    </w:p>
    <w:p>
      <w:pPr>
        <w:spacing w:line="560" w:lineRule="exact"/>
        <w:ind w:firstLine="800" w:firstLineChars="250"/>
        <w:rPr>
          <w:rFonts w:ascii="仿宋_GB2312" w:eastAsia="仿宋_GB2312"/>
          <w:bCs/>
          <w:color w:val="000000"/>
          <w:kern w:val="0"/>
          <w:sz w:val="32"/>
          <w:szCs w:val="32"/>
        </w:rPr>
      </w:pPr>
      <w:r>
        <w:rPr>
          <w:rFonts w:hint="eastAsia" w:ascii="仿宋" w:hAnsi="仿宋" w:eastAsia="仿宋"/>
          <w:bCs/>
          <w:color w:val="000000"/>
          <w:kern w:val="0"/>
          <w:sz w:val="32"/>
          <w:szCs w:val="32"/>
        </w:rPr>
        <w:t>全年完成门诊94914人次，同比增长12.1%;</w:t>
      </w:r>
      <w:r>
        <w:rPr>
          <w:rFonts w:hint="eastAsia" w:ascii="仿宋_GB2312" w:eastAsia="仿宋_GB2312"/>
          <w:bCs/>
          <w:color w:val="000000"/>
          <w:kern w:val="0"/>
          <w:sz w:val="32"/>
          <w:szCs w:val="32"/>
        </w:rPr>
        <w:t>出院病人6794人次，同比增长4.66%；开展手术1500台，同比增长4%；病床使用率97.44%，同比去年增长0.35%;平均住院日7.69天，同比去年下降0.53天。</w:t>
      </w:r>
    </w:p>
    <w:p>
      <w:pPr>
        <w:spacing w:line="560" w:lineRule="exact"/>
        <w:ind w:firstLine="660" w:firstLineChars="200"/>
        <w:rPr>
          <w:rFonts w:ascii="仿宋" w:hAnsi="仿宋" w:eastAsia="仿宋"/>
          <w:sz w:val="33"/>
          <w:szCs w:val="33"/>
        </w:rPr>
      </w:pPr>
      <w:r>
        <w:rPr>
          <w:rFonts w:hint="eastAsia" w:ascii="仿宋" w:hAnsi="仿宋" w:eastAsia="仿宋"/>
          <w:sz w:val="33"/>
          <w:szCs w:val="33"/>
          <w:lang w:val="en-US" w:eastAsia="zh-CN"/>
        </w:rPr>
        <w:t>3.</w:t>
      </w:r>
      <w:r>
        <w:rPr>
          <w:rFonts w:hint="eastAsia" w:ascii="仿宋" w:hAnsi="仿宋" w:eastAsia="仿宋"/>
          <w:sz w:val="33"/>
          <w:szCs w:val="33"/>
        </w:rPr>
        <w:t>主要开展工作</w:t>
      </w:r>
    </w:p>
    <w:p>
      <w:pPr>
        <w:spacing w:line="560" w:lineRule="exact"/>
        <w:ind w:firstLine="495" w:firstLineChars="150"/>
        <w:rPr>
          <w:rFonts w:ascii="仿宋" w:hAnsi="仿宋" w:eastAsia="仿宋"/>
          <w:sz w:val="33"/>
          <w:szCs w:val="33"/>
        </w:rPr>
      </w:pPr>
      <w:r>
        <w:rPr>
          <w:rFonts w:hint="eastAsia" w:ascii="仿宋" w:hAnsi="仿宋" w:eastAsia="仿宋"/>
          <w:sz w:val="33"/>
          <w:szCs w:val="33"/>
        </w:rPr>
        <w:t>（1）提高医疗质量，在内涵建设上取得新突破</w:t>
      </w:r>
    </w:p>
    <w:p>
      <w:pPr>
        <w:spacing w:line="560" w:lineRule="exact"/>
        <w:ind w:firstLine="640" w:firstLineChars="200"/>
        <w:rPr>
          <w:rFonts w:hint="eastAsia" w:ascii="仿宋_GB2312" w:eastAsia="仿宋_GB2312"/>
          <w:bCs/>
          <w:color w:val="000000"/>
          <w:kern w:val="0"/>
          <w:sz w:val="32"/>
          <w:szCs w:val="32"/>
        </w:rPr>
      </w:pPr>
      <w:r>
        <w:rPr>
          <w:rFonts w:hint="eastAsia" w:ascii="仿宋_GB2312" w:eastAsia="仿宋_GB2312"/>
          <w:bCs/>
          <w:color w:val="000000"/>
          <w:kern w:val="0"/>
          <w:sz w:val="32"/>
          <w:szCs w:val="32"/>
        </w:rPr>
        <w:t>进一步加强全院职工的质量意识，持续推进“优质服务”，不断健全质量体系建设，强化核心制度执行，有力促进了医疗、护理、感染控制等管理水平全面提升。</w:t>
      </w:r>
    </w:p>
    <w:p>
      <w:pPr>
        <w:spacing w:line="560" w:lineRule="exact"/>
        <w:ind w:firstLine="640" w:firstLineChars="200"/>
        <w:rPr>
          <w:rFonts w:hint="eastAsia" w:ascii="仿宋_GB2312" w:eastAsia="仿宋_GB2312"/>
          <w:bCs/>
          <w:color w:val="000000"/>
          <w:kern w:val="0"/>
          <w:sz w:val="32"/>
          <w:szCs w:val="32"/>
        </w:rPr>
      </w:pPr>
      <w:r>
        <w:rPr>
          <w:rFonts w:hint="eastAsia" w:ascii="仿宋_GB2312" w:eastAsia="仿宋_GB2312"/>
          <w:bCs/>
          <w:color w:val="000000"/>
          <w:kern w:val="0"/>
          <w:sz w:val="32"/>
          <w:szCs w:val="32"/>
        </w:rPr>
        <w:t>切实抓好医疗质量安全。严格执行医德医风奖惩制度，通过激励机制进一步提高全院医疗服务，建立健全相关制度、规范服务流程，强化核心制度的执行落实力度，严抓病历质量，积极推进临床路径工作。</w:t>
      </w:r>
    </w:p>
    <w:p>
      <w:pPr>
        <w:spacing w:line="560" w:lineRule="exact"/>
        <w:ind w:firstLine="640" w:firstLineChars="200"/>
        <w:rPr>
          <w:rFonts w:hint="eastAsia" w:ascii="仿宋_GB2312" w:eastAsia="仿宋_GB2312"/>
          <w:bCs/>
          <w:color w:val="000000"/>
          <w:kern w:val="0"/>
          <w:sz w:val="32"/>
          <w:szCs w:val="32"/>
        </w:rPr>
      </w:pPr>
      <w:r>
        <w:rPr>
          <w:rFonts w:hint="eastAsia" w:ascii="仿宋_GB2312" w:eastAsia="仿宋_GB2312"/>
          <w:bCs/>
          <w:color w:val="000000"/>
          <w:kern w:val="0"/>
          <w:sz w:val="32"/>
          <w:szCs w:val="32"/>
        </w:rPr>
        <w:t>提高护理质量，提升服务能力。更新了护理质控手册和护士长手册，重新制定护理质量安全考核标准，定期组织召开质量管理委员会及护士长会议，强化“三基三严”培训、日常护理工作督查工作。</w:t>
      </w:r>
    </w:p>
    <w:p>
      <w:pPr>
        <w:spacing w:line="560" w:lineRule="exact"/>
        <w:ind w:firstLine="640" w:firstLineChars="200"/>
        <w:rPr>
          <w:rFonts w:hint="eastAsia" w:ascii="仿宋_GB2312" w:eastAsia="仿宋_GB2312"/>
          <w:bCs/>
          <w:color w:val="000000"/>
          <w:kern w:val="0"/>
          <w:sz w:val="32"/>
          <w:szCs w:val="32"/>
        </w:rPr>
      </w:pPr>
      <w:r>
        <w:rPr>
          <w:rFonts w:hint="eastAsia" w:ascii="仿宋_GB2312" w:eastAsia="仿宋_GB2312"/>
          <w:bCs/>
          <w:color w:val="000000"/>
          <w:kern w:val="0"/>
          <w:sz w:val="32"/>
          <w:szCs w:val="32"/>
        </w:rPr>
        <w:t>做好医院感染管理控制工作。重新修订了盐边县基层医疗机构和县级医疗机构院感考核标准并进行了质量控制督导检查。持续强化院感培训、院感监测，认真排查隐患，有效降低医院感染率的发生。</w:t>
      </w:r>
    </w:p>
    <w:p>
      <w:pPr>
        <w:spacing w:line="560" w:lineRule="exact"/>
        <w:ind w:firstLine="640" w:firstLineChars="200"/>
        <w:rPr>
          <w:rFonts w:ascii="仿宋_GB2312" w:eastAsia="仿宋_GB2312"/>
          <w:bCs/>
          <w:color w:val="000000"/>
          <w:kern w:val="0"/>
          <w:sz w:val="32"/>
          <w:szCs w:val="32"/>
        </w:rPr>
      </w:pPr>
      <w:r>
        <w:rPr>
          <w:rFonts w:hint="eastAsia" w:ascii="仿宋_GB2312" w:eastAsia="仿宋_GB2312"/>
          <w:bCs/>
          <w:color w:val="000000"/>
          <w:kern w:val="0"/>
          <w:sz w:val="32"/>
          <w:szCs w:val="32"/>
        </w:rPr>
        <w:t>加强科教工作，推进全县卫健工作开展。组织全院的教学活动26次，科级学80次，参加人员896人次。为全县16个乡镇卫生院的护理骨干开展护理管理、护理理论与实践操作培训。承办的全县乡村医生培训班，为全县164个村卫生室的228村医开展培训，并通过培训极大提升乡村医生的职业技能。</w:t>
      </w:r>
    </w:p>
    <w:p>
      <w:pPr>
        <w:spacing w:line="560" w:lineRule="exact"/>
        <w:ind w:firstLine="660" w:firstLineChars="200"/>
        <w:rPr>
          <w:rFonts w:ascii="仿宋" w:hAnsi="仿宋" w:eastAsia="仿宋" w:cs="宋体"/>
          <w:color w:val="333333"/>
          <w:sz w:val="33"/>
          <w:szCs w:val="33"/>
        </w:rPr>
      </w:pPr>
      <w:r>
        <w:rPr>
          <w:rFonts w:hint="eastAsia" w:ascii="仿宋" w:hAnsi="仿宋" w:eastAsia="仿宋" w:cs="宋体"/>
          <w:color w:val="333333"/>
          <w:sz w:val="33"/>
          <w:szCs w:val="33"/>
        </w:rPr>
        <w:t>（2）加大支持保障力度，在规范化管理开启新篇章</w:t>
      </w:r>
    </w:p>
    <w:p>
      <w:pPr>
        <w:spacing w:line="560" w:lineRule="exact"/>
        <w:ind w:firstLine="960" w:firstLineChars="300"/>
        <w:rPr>
          <w:rFonts w:hint="eastAsia" w:ascii="仿宋_GB2312" w:eastAsia="仿宋_GB2312"/>
          <w:bCs/>
          <w:color w:val="000000"/>
          <w:kern w:val="0"/>
          <w:sz w:val="32"/>
          <w:szCs w:val="32"/>
        </w:rPr>
      </w:pPr>
      <w:r>
        <w:rPr>
          <w:rFonts w:hint="eastAsia" w:ascii="仿宋" w:hAnsi="仿宋" w:eastAsia="仿宋"/>
          <w:bCs/>
          <w:color w:val="000000"/>
          <w:kern w:val="0"/>
          <w:sz w:val="32"/>
          <w:szCs w:val="32"/>
        </w:rPr>
        <w:t>医保工作。一是开展的免费提供巡回医疗服务，将</w:t>
      </w:r>
      <w:r>
        <w:rPr>
          <w:rFonts w:hint="eastAsia" w:ascii="仿宋_GB2312" w:eastAsia="仿宋_GB2312"/>
          <w:bCs/>
          <w:color w:val="000000"/>
          <w:kern w:val="0"/>
          <w:sz w:val="32"/>
          <w:szCs w:val="32"/>
        </w:rPr>
        <w:t>盐边县精准扶贫住院患者的自付费用均控制在8%以内，米易精准扶贫住院患者自付费用控制在6%以内。二是严格执行各项医保政策，加强对医保资金的管理，规范医疗行为。特别是城乡医保整合后，为更好的开展好这项工作，多次召开专题会议进行医保新政的培训学习，按医保要求进一步规范医疗文书书写。三是安排部署对码工作，解决医保系统的更新、升级带来的诊疗项目、药品目录等与医保库不相符合的问题。四是精心开展健康扶贫工作，助力脱贫攻坚。对贫困群众通过开展巡回医疗义诊、住院诊疗、院内会诊、住院分娩、白内障手术等免费服务。</w:t>
      </w:r>
    </w:p>
    <w:p>
      <w:pPr>
        <w:spacing w:line="560" w:lineRule="exact"/>
        <w:ind w:firstLine="960" w:firstLineChars="300"/>
        <w:rPr>
          <w:rFonts w:hint="eastAsia" w:ascii="仿宋_GB2312" w:eastAsia="仿宋_GB2312"/>
          <w:bCs/>
          <w:color w:val="000000"/>
          <w:kern w:val="0"/>
          <w:sz w:val="32"/>
          <w:szCs w:val="32"/>
        </w:rPr>
      </w:pPr>
      <w:r>
        <w:rPr>
          <w:rFonts w:hint="eastAsia" w:ascii="仿宋_GB2312" w:eastAsia="仿宋_GB2312"/>
          <w:bCs/>
          <w:color w:val="000000"/>
          <w:kern w:val="0"/>
          <w:sz w:val="32"/>
          <w:szCs w:val="32"/>
        </w:rPr>
        <w:t>加快信息化建设，促进医院信息化管理。一是继续巩固数字化医院创建成果，及时做好全院网络及计算机的维修维护工作，按照各级各部门要求，及时升级改动了药房、住院医保、门诊医生站、住院医生站等多个程序。二是推行“互联网+”工作，对三医平台上传数据进行分析，按照中间库，修改上传角本，提高了上传数据的符合率，现已从76%上升到94%，位列全市前三名。</w:t>
      </w:r>
    </w:p>
    <w:p>
      <w:pPr>
        <w:spacing w:line="560" w:lineRule="exact"/>
        <w:ind w:firstLine="960" w:firstLineChars="300"/>
        <w:rPr>
          <w:rFonts w:ascii="仿宋_GB2312" w:eastAsia="仿宋_GB2312"/>
          <w:bCs/>
          <w:color w:val="000000"/>
          <w:kern w:val="0"/>
          <w:sz w:val="32"/>
          <w:szCs w:val="32"/>
        </w:rPr>
      </w:pPr>
      <w:r>
        <w:rPr>
          <w:rFonts w:hint="eastAsia" w:ascii="仿宋_GB2312" w:eastAsia="仿宋_GB2312"/>
          <w:bCs/>
          <w:color w:val="000000"/>
          <w:kern w:val="0"/>
          <w:sz w:val="32"/>
          <w:szCs w:val="32"/>
        </w:rPr>
        <w:t>提高后勤保障，为医院发展奠定基础。后勤工作是保障临床工作正常开展的重要支撑，逐步形成“后勤围绕临床转，临床围绕病人转”的工作格局，加强后勤管理，根据临床科室需要，开展物资下送工作。</w:t>
      </w:r>
    </w:p>
    <w:p>
      <w:pPr>
        <w:spacing w:line="560" w:lineRule="exact"/>
        <w:ind w:firstLine="660" w:firstLineChars="200"/>
        <w:rPr>
          <w:rFonts w:hint="eastAsia" w:ascii="仿宋" w:hAnsi="仿宋" w:eastAsia="仿宋"/>
          <w:sz w:val="33"/>
          <w:szCs w:val="33"/>
        </w:rPr>
      </w:pPr>
      <w:r>
        <w:rPr>
          <w:rFonts w:hint="eastAsia" w:ascii="仿宋" w:hAnsi="仿宋" w:eastAsia="仿宋"/>
          <w:sz w:val="33"/>
          <w:szCs w:val="33"/>
        </w:rPr>
        <w:t>（3）加强公共卫生及妇幼保健管理工作</w:t>
      </w:r>
    </w:p>
    <w:p>
      <w:pPr>
        <w:spacing w:line="560" w:lineRule="exact"/>
        <w:ind w:firstLine="640" w:firstLineChars="200"/>
        <w:rPr>
          <w:rFonts w:hint="eastAsia" w:ascii="仿宋_GB2312" w:eastAsia="仿宋_GB2312"/>
          <w:bCs/>
          <w:color w:val="000000"/>
          <w:kern w:val="0"/>
          <w:sz w:val="32"/>
          <w:szCs w:val="32"/>
        </w:rPr>
      </w:pPr>
      <w:r>
        <w:rPr>
          <w:rFonts w:hint="eastAsia" w:ascii="仿宋_GB2312" w:eastAsia="仿宋_GB2312"/>
          <w:bCs/>
          <w:color w:val="000000"/>
          <w:kern w:val="0"/>
          <w:sz w:val="32"/>
          <w:szCs w:val="32"/>
        </w:rPr>
        <w:t>传染病信息报告工作。全年上报17种传染病435例。传染病网报直报率达到100%，报告卡填写基本规范、正确，网报准确无误。</w:t>
      </w:r>
    </w:p>
    <w:p>
      <w:pPr>
        <w:spacing w:line="560" w:lineRule="exact"/>
        <w:ind w:firstLine="640" w:firstLineChars="200"/>
        <w:rPr>
          <w:rFonts w:hint="eastAsia" w:ascii="仿宋" w:hAnsi="仿宋" w:eastAsia="仿宋"/>
          <w:sz w:val="32"/>
          <w:szCs w:val="32"/>
        </w:rPr>
      </w:pPr>
      <w:r>
        <w:rPr>
          <w:rFonts w:hint="eastAsia" w:ascii="仿宋_GB2312" w:eastAsia="仿宋_GB2312"/>
          <w:bCs/>
          <w:color w:val="000000"/>
          <w:kern w:val="0"/>
          <w:sz w:val="32"/>
          <w:szCs w:val="32"/>
        </w:rPr>
        <w:t>艾滋病治疗管理工作。根据上级相关文件精神，盐</w:t>
      </w:r>
      <w:r>
        <w:rPr>
          <w:rFonts w:hint="eastAsia" w:ascii="仿宋" w:hAnsi="仿宋" w:eastAsia="仿宋"/>
          <w:sz w:val="32"/>
          <w:szCs w:val="32"/>
        </w:rPr>
        <w:t>边县人民医院按要求成立了盐边县艾滋病治疗管理办公室，配置了必要的办公设施设备；抗病毒治疗管理办公室实行“一把手”负责制，由院长担任办公室主任，分管院长任办公室副主任，按要求配备专职人员3名。抗病毒治疗管理办公室对全县16个乡镇的艾滋病治疗管理工作实行分片包干，由一名院领导和一名专职人员负责5-6各个乡镇，责任到人，将治疗成功率提升为94.33%。</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妇幼保健工作。全年共开具出生医学证明269份，其中首次签发264份，换发5份，废证0份，符合废证率小于1%的要求。艾滋病、梅毒、乙肝母婴传播阻断工作更加规范，2019年免费为初检孕妇做艾滋病、梅毒、乙肝免费检测156人次；规范治疗和管理HIV阳性孕妇1人，并对1例艾滋病孕产妇所生新生儿进行阻断用药。梅毒孕产妇预防性治疗7人，梅毒孕产妇所生新生儿预防性治疗2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健康教育工作。单位组织各种义诊活动及参加卫生局组织各种的大型宣传活动共10余次，免费测血压、血糖及诊疗3000余人次，发放各种宣传资料5000余份；各科室级门诊大厅的宣传架上均存放有各种疾病的防控宣传资料，方便来院患者及家属了解各种疾病的防控常识。</w:t>
      </w:r>
    </w:p>
    <w:p>
      <w:pPr>
        <w:spacing w:line="560" w:lineRule="exact"/>
        <w:ind w:left="420" w:leftChars="200" w:firstLine="165" w:firstLineChars="50"/>
        <w:rPr>
          <w:rFonts w:ascii="仿宋" w:hAnsi="仿宋" w:eastAsia="仿宋"/>
          <w:sz w:val="33"/>
          <w:szCs w:val="33"/>
        </w:rPr>
      </w:pPr>
      <w:r>
        <w:rPr>
          <w:rFonts w:hint="eastAsia" w:ascii="仿宋" w:hAnsi="仿宋" w:eastAsia="仿宋"/>
          <w:sz w:val="33"/>
          <w:szCs w:val="33"/>
          <w:lang w:val="en-US" w:eastAsia="zh-CN"/>
        </w:rPr>
        <w:t>4.</w:t>
      </w:r>
      <w:r>
        <w:rPr>
          <w:rFonts w:hint="eastAsia" w:ascii="仿宋" w:hAnsi="仿宋" w:eastAsia="仿宋"/>
          <w:sz w:val="33"/>
          <w:szCs w:val="33"/>
        </w:rPr>
        <w:t>履行医疗龙头职责，为推进全县医疗质量做出新的努力</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为了促进盐边县各医疗机构医疗质量更上一个台阶，按县卫健局要求，牵头组建了病案、护理、院感、药剂、放射、超声、检验等7个质量控制中心。于2019年11月组织7个质控中心10人对全县医疗机构进行了医疗质量督导检查，对存在的问题进行了现场反馈，为推进全县卫生计生事业更加规范发展做出了新的贡献。</w:t>
      </w:r>
    </w:p>
    <w:p>
      <w:pPr>
        <w:spacing w:line="560" w:lineRule="exact"/>
        <w:ind w:firstLine="660" w:firstLineChars="200"/>
        <w:rPr>
          <w:rFonts w:ascii="仿宋" w:hAnsi="仿宋" w:eastAsia="仿宋"/>
          <w:sz w:val="33"/>
          <w:szCs w:val="33"/>
        </w:rPr>
      </w:pPr>
      <w:r>
        <w:rPr>
          <w:rFonts w:hint="eastAsia" w:ascii="仿宋" w:hAnsi="仿宋" w:eastAsia="仿宋"/>
          <w:sz w:val="33"/>
          <w:szCs w:val="33"/>
          <w:lang w:val="en-US" w:eastAsia="zh-CN"/>
        </w:rPr>
        <w:t>5.</w:t>
      </w:r>
      <w:r>
        <w:rPr>
          <w:rFonts w:hint="eastAsia" w:ascii="仿宋" w:hAnsi="仿宋" w:eastAsia="仿宋"/>
          <w:sz w:val="33"/>
          <w:szCs w:val="33"/>
        </w:rPr>
        <w:t>加强文化建设，在医院软实力上实现新提升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高度重视文化内涵建设，以迎接“五.四”青年节、“护士节”、“七一”建党节、国庆节为契机，积极开展参与文艺演出、演讲比赛、运动会、技能竞赛等活动，充分展现了我院干部职工积极向上的精神风貌。同时对医院新面貌、新项目开展情况及时进行宣传，坚持做好工作信息上报工作，畅通新闻信息传递通道，大力营造我院浓厚的舆论宣传氛围。</w:t>
      </w:r>
      <w:r>
        <w:rPr>
          <w:rFonts w:hint="eastAsia" w:ascii="仿宋" w:hAnsi="仿宋" w:eastAsia="仿宋"/>
          <w:sz w:val="32"/>
          <w:szCs w:val="32"/>
          <w:lang w:eastAsia="zh-CN"/>
        </w:rPr>
        <w:t>截至目前</w:t>
      </w:r>
      <w:bookmarkStart w:id="75" w:name="_GoBack"/>
      <w:bookmarkEnd w:id="75"/>
      <w:r>
        <w:rPr>
          <w:rFonts w:hint="eastAsia" w:ascii="仿宋" w:hAnsi="仿宋" w:eastAsia="仿宋"/>
          <w:sz w:val="32"/>
          <w:szCs w:val="32"/>
        </w:rPr>
        <w:t>共上报县卫计局政务信息60余期，完成“盐边医苑”院刊的免费发行工作。医院组织拍摄的微电影《梦回木里》，在2019年获得12个奖，并被人民网、东方财富网、腾讯、优酷等网站及四川省政府网、电视台和攀枝花市人民政府网站、攀枝花日报、电视台多次播出。</w:t>
      </w:r>
    </w:p>
    <w:p>
      <w:pPr>
        <w:pStyle w:val="3"/>
        <w:ind w:firstLine="640" w:firstLineChars="200"/>
        <w:rPr>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18"/>
          <w:rFonts w:hint="eastAsia" w:ascii="黑体" w:hAnsi="黑体" w:eastAsia="黑体"/>
          <w:b w:val="0"/>
          <w:bCs w:val="0"/>
        </w:rPr>
        <w:t>构设置</w:t>
      </w:r>
      <w:bookmarkEnd w:id="20"/>
      <w:bookmarkEnd w:id="21"/>
    </w:p>
    <w:p>
      <w:pPr>
        <w:pStyle w:val="5"/>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纳入盐边县人民医院2019年度部门决算编制范围的二级预算单位1个。</w:t>
      </w:r>
    </w:p>
    <w:p>
      <w:pPr>
        <w:pStyle w:val="5"/>
        <w:adjustRightInd w:val="0"/>
        <w:snapToGrid w:val="0"/>
        <w:spacing w:before="93" w:line="600" w:lineRule="exact"/>
        <w:ind w:firstLine="480" w:firstLineChars="150"/>
        <w:rPr>
          <w:color w:val="000000"/>
          <w:sz w:val="32"/>
          <w:szCs w:val="32"/>
        </w:rPr>
      </w:pPr>
      <w:r>
        <w:rPr>
          <w:rFonts w:hint="eastAsia" w:ascii="宋体" w:hAnsi="宋体" w:cs="宋体"/>
          <w:sz w:val="32"/>
          <w:szCs w:val="32"/>
        </w:rPr>
        <w:t>我院</w:t>
      </w:r>
      <w:r>
        <w:rPr>
          <w:rFonts w:ascii="宋体" w:hAnsi="宋体" w:cs="宋体"/>
          <w:sz w:val="32"/>
          <w:szCs w:val="32"/>
        </w:rPr>
        <w:t>核定编制</w:t>
      </w:r>
      <w:r>
        <w:rPr>
          <w:rFonts w:hint="eastAsia" w:ascii="宋体" w:hAnsi="宋体" w:cs="宋体"/>
          <w:sz w:val="32"/>
          <w:szCs w:val="32"/>
        </w:rPr>
        <w:t>165</w:t>
      </w:r>
      <w:r>
        <w:rPr>
          <w:rFonts w:ascii="宋体" w:hAnsi="宋体" w:cs="宋体"/>
          <w:sz w:val="32"/>
          <w:szCs w:val="32"/>
        </w:rPr>
        <w:t>人，</w:t>
      </w:r>
      <w:r>
        <w:rPr>
          <w:rFonts w:hint="eastAsia" w:ascii="宋体" w:hAnsi="宋体" w:cs="宋体"/>
          <w:sz w:val="32"/>
          <w:szCs w:val="32"/>
        </w:rPr>
        <w:t>实</w:t>
      </w:r>
      <w:r>
        <w:rPr>
          <w:rFonts w:ascii="宋体" w:hAnsi="宋体" w:cs="宋体"/>
          <w:sz w:val="32"/>
          <w:szCs w:val="32"/>
        </w:rPr>
        <w:t>有在职职工</w:t>
      </w:r>
      <w:r>
        <w:rPr>
          <w:rFonts w:hint="eastAsia" w:ascii="宋体" w:hAnsi="宋体" w:cs="宋体"/>
          <w:sz w:val="32"/>
          <w:szCs w:val="32"/>
        </w:rPr>
        <w:t>225</w:t>
      </w:r>
      <w:r>
        <w:rPr>
          <w:rFonts w:ascii="宋体" w:hAnsi="宋体" w:cs="宋体"/>
          <w:sz w:val="32"/>
          <w:szCs w:val="32"/>
        </w:rPr>
        <w:t>人，其中编制内1</w:t>
      </w:r>
      <w:r>
        <w:rPr>
          <w:rFonts w:hint="eastAsia" w:ascii="宋体" w:hAnsi="宋体" w:cs="宋体"/>
          <w:sz w:val="32"/>
          <w:szCs w:val="32"/>
        </w:rPr>
        <w:t>34</w:t>
      </w:r>
      <w:r>
        <w:rPr>
          <w:rFonts w:ascii="宋体" w:hAnsi="宋体" w:cs="宋体"/>
          <w:sz w:val="32"/>
          <w:szCs w:val="32"/>
        </w:rPr>
        <w:t>人，临聘</w:t>
      </w:r>
      <w:r>
        <w:rPr>
          <w:rFonts w:hint="eastAsia" w:ascii="宋体" w:hAnsi="宋体" w:cs="宋体"/>
          <w:sz w:val="32"/>
          <w:szCs w:val="32"/>
        </w:rPr>
        <w:t>91</w:t>
      </w:r>
      <w:r>
        <w:rPr>
          <w:rFonts w:ascii="宋体" w:hAnsi="宋体" w:cs="宋体"/>
          <w:sz w:val="32"/>
          <w:szCs w:val="32"/>
        </w:rPr>
        <w:t>人</w:t>
      </w:r>
      <w:r>
        <w:rPr>
          <w:rFonts w:hint="eastAsia" w:ascii="宋体" w:hAnsi="宋体" w:cs="宋体"/>
          <w:sz w:val="32"/>
          <w:szCs w:val="32"/>
        </w:rPr>
        <w:t>，</w:t>
      </w:r>
      <w:r>
        <w:rPr>
          <w:rFonts w:hint="eastAsia"/>
          <w:color w:val="000000"/>
          <w:sz w:val="32"/>
          <w:szCs w:val="32"/>
        </w:rPr>
        <w:t>退休职工110人。</w:t>
      </w:r>
    </w:p>
    <w:p>
      <w:pPr>
        <w:ind w:firstLine="480" w:firstLineChars="150"/>
        <w:rPr>
          <w:rFonts w:ascii="宋体" w:hAnsi="宋体" w:eastAsia="仿宋_GB2312" w:cs="宋体"/>
          <w:kern w:val="0"/>
          <w:sz w:val="32"/>
          <w:szCs w:val="32"/>
        </w:rPr>
      </w:pPr>
      <w:r>
        <w:rPr>
          <w:rFonts w:hint="eastAsia" w:ascii="宋体" w:hAnsi="宋体" w:eastAsia="仿宋_GB2312" w:cs="宋体"/>
          <w:kern w:val="0"/>
          <w:sz w:val="32"/>
          <w:szCs w:val="32"/>
        </w:rPr>
        <w:t>我院现有车辆4辆，其中公务车1辆，救护车3辆。</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pPr>
      <w:bookmarkStart w:id="22" w:name="_Toc15396602"/>
      <w:bookmarkStart w:id="23" w:name="_Toc15377204"/>
      <w:r>
        <w:rPr>
          <w:rFonts w:hint="eastAsia" w:ascii="黑体" w:hAnsi="黑体" w:eastAsia="黑体"/>
          <w:b w:val="0"/>
          <w:color w:val="000000"/>
        </w:rPr>
        <w:t>第二部分</w:t>
      </w:r>
      <w:r>
        <w:rPr>
          <w:rStyle w:val="17"/>
          <w:rFonts w:ascii="黑体" w:hAnsi="黑体" w:eastAsia="黑体"/>
          <w:b w:val="0"/>
          <w:bCs w:val="0"/>
        </w:rPr>
        <w:t>201</w:t>
      </w:r>
      <w:r>
        <w:rPr>
          <w:rStyle w:val="17"/>
          <w:rFonts w:hint="eastAsia" w:ascii="黑体" w:hAnsi="黑体" w:eastAsia="黑体"/>
          <w:b w:val="0"/>
          <w:bCs w:val="0"/>
        </w:rPr>
        <w:t>9年度部门决算情况说明</w:t>
      </w:r>
      <w:bookmarkEnd w:id="22"/>
      <w:bookmarkEnd w:id="23"/>
    </w:p>
    <w:p>
      <w:pPr>
        <w:pStyle w:val="27"/>
        <w:numPr>
          <w:ilvl w:val="0"/>
          <w:numId w:val="1"/>
        </w:numPr>
        <w:spacing w:line="600" w:lineRule="exact"/>
        <w:ind w:firstLineChars="0"/>
        <w:outlineLvl w:val="1"/>
        <w:rPr>
          <w:rStyle w:val="18"/>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18"/>
          <w:rFonts w:hint="eastAsia" w:ascii="黑体" w:hAnsi="黑体" w:eastAsia="黑体"/>
          <w:b w:val="0"/>
        </w:rPr>
        <w:t>入支出决算总体情况说明</w:t>
      </w:r>
      <w:bookmarkEnd w:id="24"/>
      <w:bookmarkEnd w:id="25"/>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2019年收入合计5960.01万元，比2018年增加574.63万元，增长10.67%，主要是由于事业收入增长导致总收入增长。</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2019年支出合计5638.41万元，比2018年增加54.37万元，增长0.97%。主要是由于临时人员工资支出增加造成的。</w:t>
      </w:r>
    </w:p>
    <w:p>
      <w:pPr>
        <w:pStyle w:val="27"/>
        <w:numPr>
          <w:ilvl w:val="0"/>
          <w:numId w:val="1"/>
        </w:numPr>
        <w:spacing w:line="600" w:lineRule="exact"/>
        <w:ind w:firstLineChars="0"/>
        <w:outlineLvl w:val="1"/>
        <w:rPr>
          <w:rStyle w:val="18"/>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18"/>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9年本年收入合计5960.01万元，其中：一般公共预算财政拨款收入1659万元，占27.83</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；国有资本经营预算财政拨款收入0万元，占0</w:t>
      </w:r>
      <w:r>
        <w:rPr>
          <w:rFonts w:ascii="仿宋" w:hAnsi="仿宋" w:eastAsia="仿宋"/>
          <w:color w:val="000000"/>
          <w:sz w:val="32"/>
          <w:szCs w:val="32"/>
        </w:rPr>
        <w:t>%</w:t>
      </w:r>
      <w:r>
        <w:rPr>
          <w:rFonts w:hint="eastAsia" w:ascii="仿宋" w:hAnsi="仿宋" w:eastAsia="仿宋"/>
          <w:color w:val="000000"/>
          <w:sz w:val="32"/>
          <w:szCs w:val="32"/>
        </w:rPr>
        <w:t>；事业收入4225.97万元，占70.9</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；其他收入75.04万元，占1.25</w:t>
      </w:r>
      <w:r>
        <w:rPr>
          <w:rFonts w:ascii="仿宋" w:hAnsi="仿宋" w:eastAsia="仿宋"/>
          <w:color w:val="000000"/>
          <w:sz w:val="32"/>
          <w:szCs w:val="32"/>
        </w:rPr>
        <w:t>%</w:t>
      </w:r>
      <w:r>
        <w:rPr>
          <w:rFonts w:hint="eastAsia" w:ascii="仿宋" w:hAnsi="仿宋" w:eastAsia="仿宋"/>
          <w:color w:val="000000"/>
          <w:sz w:val="32"/>
          <w:szCs w:val="32"/>
        </w:rPr>
        <w:t>。</w:t>
      </w:r>
    </w:p>
    <w:p>
      <w:pPr>
        <w:pStyle w:val="27"/>
        <w:numPr>
          <w:ilvl w:val="0"/>
          <w:numId w:val="1"/>
        </w:numPr>
        <w:spacing w:line="600" w:lineRule="exact"/>
        <w:ind w:firstLineChars="0"/>
        <w:outlineLvl w:val="1"/>
        <w:rPr>
          <w:rStyle w:val="18"/>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18"/>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9年本年支出合计5638.41万元，其中：基本支出5566.93万元，占98.73</w:t>
      </w:r>
      <w:r>
        <w:rPr>
          <w:rFonts w:ascii="仿宋" w:hAnsi="仿宋" w:eastAsia="仿宋"/>
          <w:color w:val="000000"/>
          <w:sz w:val="32"/>
          <w:szCs w:val="32"/>
        </w:rPr>
        <w:t>%</w:t>
      </w:r>
      <w:r>
        <w:rPr>
          <w:rFonts w:hint="eastAsia" w:ascii="仿宋" w:hAnsi="仿宋" w:eastAsia="仿宋"/>
          <w:color w:val="000000"/>
          <w:sz w:val="32"/>
          <w:szCs w:val="32"/>
        </w:rPr>
        <w:t>；项目支出71.48万元，占1.27</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Style w:val="18"/>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18"/>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19年财政拨款收入总计1659万元,比2018财政拨款收入增加241.17万元,增长17.10%。主要原因是2019年在编人员工资有所增长。</w:t>
      </w:r>
      <w:r>
        <w:rPr>
          <w:rFonts w:ascii="仿宋" w:hAnsi="仿宋" w:eastAsia="仿宋"/>
          <w:color w:val="000000"/>
          <w:sz w:val="32"/>
          <w:szCs w:val="32"/>
        </w:rPr>
        <w:t>201</w:t>
      </w:r>
      <w:r>
        <w:rPr>
          <w:rFonts w:hint="eastAsia" w:ascii="仿宋" w:hAnsi="仿宋" w:eastAsia="仿宋"/>
          <w:color w:val="000000"/>
          <w:sz w:val="32"/>
          <w:szCs w:val="32"/>
        </w:rPr>
        <w:t>9年财政拨款支出总计1709.48万元，比2018年增加26.7万元，增长1.58%。</w:t>
      </w:r>
      <w:bookmarkStart w:id="32" w:name="_Toc15377209"/>
      <w:bookmarkStart w:id="33" w:name="_Toc15396607"/>
      <w:r>
        <w:rPr>
          <w:rFonts w:hint="eastAsia" w:ascii="仿宋" w:hAnsi="仿宋" w:eastAsia="仿宋"/>
          <w:color w:val="000000"/>
          <w:sz w:val="32"/>
          <w:szCs w:val="32"/>
        </w:rPr>
        <w:t>主要原因是2019年在编人员工资有所增长。</w:t>
      </w:r>
    </w:p>
    <w:p>
      <w:pPr>
        <w:spacing w:line="600" w:lineRule="exact"/>
        <w:ind w:firstLine="640" w:firstLineChars="200"/>
        <w:rPr>
          <w:rStyle w:val="18"/>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8"/>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9年一般公共预算财政拨款支出1709.48元，占本年支出合计的30.21</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8年相比，一般公共预算财政拨款增加26.7万元，增长1.58</w:t>
      </w:r>
      <w:r>
        <w:rPr>
          <w:rFonts w:ascii="仿宋" w:hAnsi="仿宋" w:eastAsia="仿宋"/>
          <w:color w:val="000000"/>
          <w:sz w:val="32"/>
          <w:szCs w:val="32"/>
        </w:rPr>
        <w:t>%</w:t>
      </w:r>
      <w:r>
        <w:rPr>
          <w:rFonts w:hint="eastAsia" w:ascii="仿宋" w:hAnsi="仿宋" w:eastAsia="仿宋"/>
          <w:color w:val="000000"/>
          <w:sz w:val="32"/>
          <w:szCs w:val="32"/>
        </w:rPr>
        <w:t>。</w:t>
      </w:r>
      <w:bookmarkStart w:id="35" w:name="_Toc15377211"/>
      <w:r>
        <w:rPr>
          <w:rFonts w:hint="eastAsia" w:ascii="仿宋" w:hAnsi="仿宋" w:eastAsia="仿宋"/>
          <w:color w:val="000000"/>
          <w:sz w:val="32"/>
          <w:szCs w:val="32"/>
        </w:rPr>
        <w:t>主要原因是2019年在编人员工资有所增长。</w:t>
      </w:r>
    </w:p>
    <w:p>
      <w:pPr>
        <w:spacing w:line="600" w:lineRule="exact"/>
        <w:ind w:firstLine="642" w:firstLineChars="200"/>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9年一般公共预算财政拨款支出1709.48万元，主要用于以下方面</w:t>
      </w:r>
      <w:r>
        <w:rPr>
          <w:rFonts w:ascii="仿宋" w:hAnsi="仿宋" w:eastAsia="仿宋"/>
          <w:color w:val="000000"/>
          <w:sz w:val="32"/>
          <w:szCs w:val="32"/>
        </w:rPr>
        <w:t>:</w:t>
      </w:r>
      <w:r>
        <w:rPr>
          <w:rFonts w:hint="eastAsia" w:ascii="仿宋" w:hAnsi="仿宋" w:eastAsia="仿宋"/>
          <w:b/>
          <w:color w:val="000000"/>
          <w:sz w:val="32"/>
          <w:szCs w:val="32"/>
        </w:rPr>
        <w:t>一般公共服务（类）</w:t>
      </w:r>
      <w:r>
        <w:rPr>
          <w:rFonts w:hint="eastAsia" w:ascii="仿宋" w:hAnsi="仿宋" w:eastAsia="仿宋"/>
          <w:color w:val="000000"/>
          <w:sz w:val="32"/>
          <w:szCs w:val="32"/>
        </w:rPr>
        <w:t>支出0万元，占0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教育支出（类）</w:t>
      </w:r>
      <w:r>
        <w:rPr>
          <w:rFonts w:hint="eastAsia" w:ascii="仿宋" w:hAnsi="仿宋" w:eastAsia="仿宋"/>
          <w:color w:val="000000"/>
          <w:sz w:val="32"/>
          <w:szCs w:val="32"/>
        </w:rPr>
        <w:t>0万元，占0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科学技术（类）</w:t>
      </w:r>
      <w:r>
        <w:rPr>
          <w:rFonts w:hint="eastAsia" w:ascii="仿宋" w:hAnsi="仿宋" w:eastAsia="仿宋"/>
          <w:color w:val="000000"/>
          <w:sz w:val="32"/>
          <w:szCs w:val="32"/>
        </w:rPr>
        <w:t>支出0万元，占0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支出160.97万元，占9.41</w:t>
      </w:r>
      <w:r>
        <w:rPr>
          <w:rFonts w:ascii="仿宋" w:hAnsi="仿宋" w:eastAsia="仿宋"/>
          <w:color w:val="000000"/>
          <w:sz w:val="32"/>
          <w:szCs w:val="32"/>
        </w:rPr>
        <w:t>%</w:t>
      </w:r>
      <w:r>
        <w:rPr>
          <w:rFonts w:hint="eastAsia" w:ascii="仿宋" w:hAnsi="仿宋" w:eastAsia="仿宋"/>
          <w:color w:val="000000"/>
          <w:sz w:val="32"/>
          <w:szCs w:val="32"/>
        </w:rPr>
        <w:t>；卫生健康支出1423.56万元，占83.27</w:t>
      </w:r>
      <w:r>
        <w:rPr>
          <w:rFonts w:ascii="仿宋" w:hAnsi="仿宋" w:eastAsia="仿宋"/>
          <w:color w:val="000000"/>
          <w:sz w:val="32"/>
          <w:szCs w:val="32"/>
        </w:rPr>
        <w:t>%</w:t>
      </w:r>
      <w:r>
        <w:rPr>
          <w:rFonts w:hint="eastAsia" w:ascii="仿宋" w:hAnsi="仿宋" w:eastAsia="仿宋"/>
          <w:color w:val="000000"/>
          <w:sz w:val="32"/>
          <w:szCs w:val="32"/>
        </w:rPr>
        <w:t>；住房保障支出124.95万元，占7.31</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2"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2" w:firstLineChars="200"/>
        <w:outlineLvl w:val="2"/>
        <w:rPr>
          <w:rFonts w:ascii="仿宋" w:hAnsi="仿宋" w:eastAsia="仿宋"/>
          <w:color w:val="FF0000"/>
          <w:sz w:val="32"/>
          <w:szCs w:val="32"/>
        </w:rPr>
      </w:pPr>
      <w:bookmarkStart w:id="37" w:name="_Toc15377213"/>
      <w:bookmarkStart w:id="38" w:name="_Toc15378460"/>
      <w:bookmarkStart w:id="39" w:name="_Toc15377444"/>
      <w:r>
        <w:rPr>
          <w:rFonts w:ascii="仿宋" w:hAnsi="仿宋" w:eastAsia="仿宋"/>
          <w:b/>
          <w:color w:val="000000"/>
          <w:sz w:val="32"/>
          <w:szCs w:val="32"/>
        </w:rPr>
        <w:t>201</w:t>
      </w:r>
      <w:r>
        <w:rPr>
          <w:rFonts w:hint="eastAsia" w:ascii="仿宋" w:hAnsi="仿宋" w:eastAsia="仿宋"/>
          <w:b/>
          <w:color w:val="000000"/>
          <w:sz w:val="32"/>
          <w:szCs w:val="32"/>
        </w:rPr>
        <w:t>9年一般公共预算支出决算数为1709.48万元</w:t>
      </w:r>
      <w:r>
        <w:rPr>
          <w:rFonts w:hint="eastAsia" w:ascii="仿宋" w:hAnsi="仿宋" w:eastAsia="仿宋"/>
          <w:color w:val="000000"/>
          <w:sz w:val="32"/>
          <w:szCs w:val="32"/>
        </w:rPr>
        <w:t>，</w:t>
      </w:r>
      <w:r>
        <w:rPr>
          <w:rStyle w:val="15"/>
          <w:rFonts w:hint="eastAsia" w:ascii="仿宋" w:hAnsi="仿宋" w:eastAsia="仿宋"/>
          <w:bCs/>
          <w:color w:val="000000"/>
          <w:sz w:val="32"/>
          <w:szCs w:val="32"/>
        </w:rPr>
        <w:t>完成预算100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7"/>
      <w:bookmarkEnd w:id="38"/>
      <w:bookmarkEnd w:id="39"/>
    </w:p>
    <w:p>
      <w:pPr>
        <w:ind w:firstLine="472" w:firstLineChars="147"/>
        <w:rPr>
          <w:rStyle w:val="15"/>
          <w:rFonts w:ascii="仿宋" w:hAnsi="仿宋" w:eastAsia="仿宋"/>
          <w:b w:val="0"/>
          <w:bCs/>
          <w:sz w:val="32"/>
          <w:szCs w:val="32"/>
        </w:rPr>
      </w:pPr>
      <w:r>
        <w:rPr>
          <w:rStyle w:val="15"/>
          <w:rFonts w:ascii="仿宋" w:hAnsi="仿宋" w:eastAsia="仿宋"/>
          <w:bCs/>
          <w:color w:val="000000"/>
          <w:sz w:val="32"/>
          <w:szCs w:val="32"/>
        </w:rPr>
        <w:t>1.</w:t>
      </w:r>
      <w:r>
        <w:rPr>
          <w:rStyle w:val="15"/>
          <w:rFonts w:hint="eastAsia" w:ascii="仿宋" w:hAnsi="仿宋" w:eastAsia="仿宋"/>
          <w:bCs/>
          <w:color w:val="000000"/>
          <w:sz w:val="32"/>
          <w:szCs w:val="32"/>
        </w:rPr>
        <w:t>社会保障和就业（2080505）</w:t>
      </w:r>
      <w:r>
        <w:rPr>
          <w:rStyle w:val="15"/>
          <w:rFonts w:hint="eastAsia" w:ascii="仿宋" w:hAnsi="仿宋" w:eastAsia="仿宋"/>
          <w:b w:val="0"/>
          <w:bCs/>
          <w:sz w:val="32"/>
          <w:szCs w:val="32"/>
        </w:rPr>
        <w:t>机关事业单位基本养老保险缴费支出</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决算为158.33万元，完成预算100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Style w:val="15"/>
          <w:rFonts w:hint="eastAsia" w:ascii="仿宋" w:hAnsi="仿宋" w:eastAsia="仿宋"/>
          <w:bCs/>
          <w:color w:val="000000"/>
          <w:sz w:val="32"/>
          <w:szCs w:val="32"/>
        </w:rPr>
        <w:t>（2080202</w:t>
      </w:r>
      <w:r>
        <w:rPr>
          <w:rStyle w:val="15"/>
          <w:rFonts w:ascii="仿宋" w:hAnsi="仿宋" w:eastAsia="仿宋"/>
          <w:bCs/>
          <w:color w:val="000000"/>
          <w:sz w:val="32"/>
          <w:szCs w:val="32"/>
        </w:rPr>
        <w:t>）</w:t>
      </w:r>
      <w:r>
        <w:rPr>
          <w:rFonts w:hint="eastAsia" w:ascii="宋体" w:hAnsi="宋体" w:cs="Arial"/>
          <w:kern w:val="0"/>
          <w:sz w:val="22"/>
          <w:szCs w:val="22"/>
        </w:rPr>
        <w:t>伤</w:t>
      </w:r>
      <w:r>
        <w:rPr>
          <w:rStyle w:val="15"/>
          <w:rFonts w:hint="eastAsia" w:ascii="仿宋" w:hAnsi="仿宋" w:eastAsia="仿宋"/>
          <w:b w:val="0"/>
          <w:bCs/>
          <w:color w:val="000000"/>
          <w:sz w:val="32"/>
          <w:szCs w:val="32"/>
        </w:rPr>
        <w:t>残抚恤支出为2.64万元。</w:t>
      </w:r>
    </w:p>
    <w:p>
      <w:pPr>
        <w:ind w:firstLine="472" w:firstLineChars="147"/>
        <w:rPr>
          <w:rFonts w:ascii="宋体" w:hAnsi="宋体" w:cs="Arial"/>
          <w:b/>
          <w:color w:val="000000"/>
          <w:kern w:val="0"/>
          <w:sz w:val="22"/>
          <w:szCs w:val="22"/>
        </w:rPr>
      </w:pPr>
      <w:r>
        <w:rPr>
          <w:rStyle w:val="15"/>
          <w:rFonts w:hint="eastAsia" w:ascii="仿宋" w:hAnsi="仿宋" w:eastAsia="仿宋"/>
          <w:bCs/>
          <w:color w:val="000000"/>
          <w:sz w:val="32"/>
          <w:szCs w:val="32"/>
        </w:rPr>
        <w:t>2.卫生健康支出（2100201）</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综合医院支出决算为1352.08万元，完成预算100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Style w:val="15"/>
          <w:rFonts w:hint="eastAsia" w:ascii="仿宋" w:hAnsi="仿宋" w:eastAsia="仿宋"/>
          <w:bCs/>
          <w:color w:val="000000"/>
          <w:sz w:val="32"/>
          <w:szCs w:val="32"/>
        </w:rPr>
        <w:t>(</w:t>
      </w:r>
      <w:r>
        <w:rPr>
          <w:rStyle w:val="15"/>
          <w:rFonts w:hint="eastAsia" w:ascii="仿宋" w:hAnsi="仿宋" w:eastAsia="仿宋"/>
          <w:bCs/>
          <w:sz w:val="32"/>
          <w:szCs w:val="32"/>
        </w:rPr>
        <w:t>2100299)</w:t>
      </w:r>
      <w:r>
        <w:rPr>
          <w:rStyle w:val="15"/>
          <w:rFonts w:hint="eastAsia" w:ascii="仿宋" w:hAnsi="仿宋" w:eastAsia="仿宋"/>
          <w:b w:val="0"/>
          <w:bCs/>
          <w:sz w:val="32"/>
          <w:szCs w:val="32"/>
        </w:rPr>
        <w:t>其他公立医院支出决算为63.48万元，</w:t>
      </w:r>
      <w:r>
        <w:rPr>
          <w:rStyle w:val="15"/>
          <w:rFonts w:hint="eastAsia" w:ascii="仿宋" w:hAnsi="仿宋" w:eastAsia="仿宋"/>
          <w:bCs/>
          <w:color w:val="000000"/>
          <w:sz w:val="32"/>
          <w:szCs w:val="32"/>
        </w:rPr>
        <w:t>(</w:t>
      </w:r>
      <w:r>
        <w:rPr>
          <w:rStyle w:val="15"/>
          <w:rFonts w:hint="eastAsia" w:ascii="仿宋" w:hAnsi="仿宋" w:eastAsia="仿宋"/>
          <w:bCs/>
          <w:sz w:val="32"/>
          <w:szCs w:val="32"/>
        </w:rPr>
        <w:t>2100409)</w:t>
      </w:r>
      <w:r>
        <w:rPr>
          <w:rStyle w:val="15"/>
          <w:rFonts w:hint="eastAsia" w:ascii="仿宋" w:hAnsi="仿宋" w:eastAsia="仿宋"/>
          <w:b w:val="0"/>
          <w:bCs/>
          <w:sz w:val="32"/>
          <w:szCs w:val="32"/>
        </w:rPr>
        <w:t>重大公共卫生专项支出决算数为8万元。</w:t>
      </w:r>
    </w:p>
    <w:p>
      <w:pPr>
        <w:spacing w:line="600" w:lineRule="exact"/>
        <w:ind w:firstLine="642" w:firstLineChars="200"/>
        <w:rPr>
          <w:rFonts w:ascii="仿宋" w:hAnsi="仿宋" w:eastAsia="仿宋"/>
          <w:color w:val="000000"/>
          <w:sz w:val="32"/>
          <w:szCs w:val="32"/>
        </w:rPr>
      </w:pPr>
      <w:r>
        <w:rPr>
          <w:rFonts w:hint="eastAsia" w:ascii="仿宋" w:hAnsi="仿宋" w:eastAsia="仿宋"/>
          <w:b/>
          <w:color w:val="000000"/>
          <w:sz w:val="32"/>
          <w:szCs w:val="32"/>
        </w:rPr>
        <w:t>3.住房保障2210201</w:t>
      </w:r>
      <w:r>
        <w:rPr>
          <w:rFonts w:hint="eastAsia" w:ascii="仿宋" w:hAnsi="仿宋" w:eastAsia="仿宋"/>
          <w:color w:val="000000"/>
          <w:sz w:val="32"/>
          <w:szCs w:val="32"/>
        </w:rPr>
        <w:t>：</w:t>
      </w:r>
      <w:r>
        <w:rPr>
          <w:rStyle w:val="15"/>
          <w:rFonts w:hint="eastAsia" w:ascii="仿宋" w:hAnsi="仿宋" w:eastAsia="仿宋"/>
          <w:b w:val="0"/>
          <w:bCs/>
          <w:color w:val="000000"/>
          <w:sz w:val="32"/>
          <w:szCs w:val="32"/>
        </w:rPr>
        <w:t>支出决算为124.95万元，完成预算100%。</w:t>
      </w:r>
    </w:p>
    <w:p>
      <w:pPr>
        <w:tabs>
          <w:tab w:val="right" w:pos="8306"/>
        </w:tabs>
        <w:spacing w:line="600" w:lineRule="exact"/>
        <w:ind w:firstLine="640"/>
        <w:outlineLvl w:val="1"/>
        <w:rPr>
          <w:rStyle w:val="18"/>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8"/>
          <w:rFonts w:hint="eastAsia" w:ascii="黑体" w:hAnsi="黑体" w:eastAsia="黑体"/>
          <w:b w:val="0"/>
        </w:rPr>
        <w:t>般公共预算财政拨款基本支出决算情况说明</w:t>
      </w:r>
      <w:bookmarkEnd w:id="40"/>
      <w:bookmarkEnd w:id="41"/>
      <w:r>
        <w:rPr>
          <w:rStyle w:val="18"/>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9年一般公共预算财政拨款基本支出1709.48万元，其中：</w:t>
      </w:r>
    </w:p>
    <w:p>
      <w:pPr>
        <w:spacing w:line="600" w:lineRule="exact"/>
        <w:ind w:firstLine="645"/>
        <w:rPr>
          <w:rFonts w:hint="eastAsia" w:ascii="仿宋" w:hAnsi="仿宋" w:eastAsia="仿宋"/>
          <w:color w:val="000000"/>
          <w:sz w:val="32"/>
          <w:szCs w:val="32"/>
        </w:rPr>
      </w:pPr>
      <w:r>
        <w:rPr>
          <w:rFonts w:hint="eastAsia" w:ascii="仿宋" w:hAnsi="仿宋" w:eastAsia="仿宋"/>
          <w:color w:val="000000"/>
          <w:sz w:val="32"/>
          <w:szCs w:val="32"/>
        </w:rPr>
        <w:t>人员经费1638.01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公用经费0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18"/>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18"/>
          <w:rFonts w:hint="eastAsia" w:ascii="黑体" w:hAnsi="黑体" w:eastAsia="黑体"/>
        </w:rPr>
        <w:t>“</w:t>
      </w:r>
      <w:r>
        <w:rPr>
          <w:rStyle w:val="18"/>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9年“三公”经费财政拨款支出决算为0万元。</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9年“三公”经费财政拨款支出决算中，因公出国（境）费支出决算0万元，公务用车购置及运行维护费支出决算为0万元，公务接待费支出决算为0万元。</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0万元</w:t>
      </w:r>
      <w:r>
        <w:rPr>
          <w:rStyle w:val="15"/>
          <w:rFonts w:hint="eastAsia" w:ascii="仿宋" w:hAnsi="仿宋" w:eastAsia="仿宋"/>
          <w:b w:val="0"/>
          <w:bCs/>
          <w:color w:val="000000"/>
          <w:sz w:val="32"/>
          <w:szCs w:val="32"/>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0万元。全年按规定更新购置公务用车0辆，其中：轿车0辆、金额0万元，越野车0辆、金额0万元，载客汽车0辆、金额0万元。截至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月底，单位共有公务用车4辆，其中：轿车0辆、越野车0辆、载客汽车4辆。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0万元。</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0万元。</w:t>
      </w:r>
    </w:p>
    <w:p>
      <w:pPr>
        <w:spacing w:line="600" w:lineRule="exact"/>
        <w:ind w:firstLine="642" w:firstLineChars="200"/>
        <w:rPr>
          <w:rFonts w:ascii="仿宋_GB2312" w:eastAsia="仿宋_GB2312"/>
          <w:color w:val="000000"/>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p>
    <w:p>
      <w:pPr>
        <w:spacing w:line="600" w:lineRule="exact"/>
        <w:ind w:firstLine="640"/>
        <w:rPr>
          <w:rFonts w:ascii="黑体" w:eastAsia="黑体"/>
          <w:color w:val="000000"/>
          <w:sz w:val="32"/>
          <w:szCs w:val="32"/>
        </w:rPr>
      </w:pPr>
      <w:r>
        <w:rPr>
          <w:rFonts w:hint="eastAsia" w:ascii="仿宋" w:hAnsi="仿宋" w:eastAsia="仿宋"/>
          <w:b/>
          <w:color w:val="000000"/>
          <w:sz w:val="32"/>
          <w:szCs w:val="32"/>
        </w:rPr>
        <w:t>其他国内公务接待支出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bookmarkStart w:id="46" w:name="_Toc15396610"/>
      <w:bookmarkStart w:id="47" w:name="_Toc15377218"/>
    </w:p>
    <w:p>
      <w:pPr>
        <w:spacing w:line="600" w:lineRule="exact"/>
        <w:ind w:firstLine="640"/>
        <w:outlineLvl w:val="1"/>
        <w:rPr>
          <w:rStyle w:val="18"/>
          <w:rFonts w:ascii="黑体" w:hAnsi="黑体" w:eastAsia="黑体"/>
        </w:rPr>
      </w:pPr>
      <w:r>
        <w:rPr>
          <w:rFonts w:hint="eastAsia" w:ascii="黑体" w:eastAsia="黑体"/>
          <w:color w:val="000000"/>
          <w:sz w:val="32"/>
          <w:szCs w:val="32"/>
        </w:rPr>
        <w:t>八、</w:t>
      </w:r>
      <w:r>
        <w:rPr>
          <w:rStyle w:val="18"/>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9年政府性基金预算拨款支出0万元。</w:t>
      </w:r>
    </w:p>
    <w:p>
      <w:pPr>
        <w:numPr>
          <w:ilvl w:val="0"/>
          <w:numId w:val="2"/>
        </w:numPr>
        <w:spacing w:line="600" w:lineRule="exact"/>
        <w:ind w:firstLine="640"/>
        <w:outlineLvl w:val="1"/>
        <w:rPr>
          <w:rStyle w:val="18"/>
          <w:rFonts w:ascii="黑体" w:hAnsi="黑体" w:eastAsia="黑体"/>
          <w:b w:val="0"/>
        </w:rPr>
      </w:pPr>
      <w:bookmarkStart w:id="48" w:name="_Toc15396611"/>
      <w:bookmarkStart w:id="49" w:name="_Toc15377219"/>
      <w:r>
        <w:rPr>
          <w:rStyle w:val="18"/>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9年国有资本经营预算拨款支出0万元。</w:t>
      </w:r>
    </w:p>
    <w:p>
      <w:pPr>
        <w:spacing w:line="600" w:lineRule="exact"/>
        <w:ind w:firstLine="800" w:firstLineChars="250"/>
        <w:outlineLvl w:val="1"/>
        <w:rPr>
          <w:rStyle w:val="18"/>
          <w:rFonts w:ascii="黑体" w:hAnsi="黑体" w:eastAsia="黑体"/>
        </w:rPr>
      </w:pPr>
      <w:bookmarkStart w:id="50" w:name="_Toc52180091"/>
      <w:r>
        <w:rPr>
          <w:rFonts w:hint="eastAsia" w:ascii="黑体" w:hAnsi="黑体" w:eastAsia="黑体"/>
          <w:color w:val="000000"/>
          <w:sz w:val="32"/>
          <w:szCs w:val="32"/>
        </w:rPr>
        <w:t>十</w:t>
      </w:r>
      <w:r>
        <w:rPr>
          <w:rStyle w:val="18"/>
          <w:rFonts w:hint="eastAsia" w:ascii="黑体" w:hAnsi="黑体" w:eastAsia="黑体"/>
        </w:rPr>
        <w:t>、其他重要事项的情况说明</w:t>
      </w:r>
      <w:bookmarkEnd w:id="50"/>
    </w:p>
    <w:p>
      <w:pPr>
        <w:spacing w:line="600" w:lineRule="exact"/>
        <w:ind w:firstLine="642" w:firstLineChars="200"/>
        <w:outlineLvl w:val="2"/>
        <w:rPr>
          <w:rFonts w:ascii="仿宋" w:hAnsi="仿宋" w:eastAsia="仿宋"/>
          <w:color w:val="000000"/>
          <w:sz w:val="32"/>
          <w:szCs w:val="32"/>
        </w:rPr>
      </w:pPr>
      <w:bookmarkStart w:id="51" w:name="_Toc52180092"/>
      <w:r>
        <w:rPr>
          <w:rFonts w:hint="eastAsia" w:ascii="仿宋" w:hAnsi="仿宋" w:eastAsia="仿宋"/>
          <w:b/>
          <w:color w:val="000000"/>
          <w:sz w:val="32"/>
          <w:szCs w:val="32"/>
        </w:rPr>
        <w:t>（一）机关运行经费支出情况</w:t>
      </w:r>
      <w:bookmarkEnd w:id="51"/>
    </w:p>
    <w:p>
      <w:pPr>
        <w:spacing w:line="600" w:lineRule="exact"/>
        <w:ind w:firstLine="640" w:firstLineChars="200"/>
        <w:rPr>
          <w:rFonts w:ascii="仿宋_GB2312" w:eastAsia="仿宋_GB2312"/>
          <w:color w:val="000000" w:themeColor="text1"/>
          <w:sz w:val="32"/>
          <w:szCs w:val="32"/>
        </w:rPr>
      </w:pPr>
      <w:r>
        <w:rPr>
          <w:rFonts w:ascii="仿宋_GB2312" w:eastAsia="仿宋_GB2312"/>
          <w:color w:val="000000"/>
          <w:sz w:val="32"/>
          <w:szCs w:val="32"/>
        </w:rPr>
        <w:t>201</w:t>
      </w:r>
      <w:r>
        <w:rPr>
          <w:rFonts w:hint="eastAsia" w:ascii="仿宋_GB2312" w:eastAsia="仿宋_GB2312"/>
          <w:color w:val="000000"/>
          <w:sz w:val="32"/>
          <w:szCs w:val="32"/>
        </w:rPr>
        <w:t>9年，机关运行经费支出0万元与</w:t>
      </w:r>
      <w:r>
        <w:rPr>
          <w:rFonts w:ascii="仿宋_GB2312" w:eastAsia="仿宋_GB2312"/>
          <w:color w:val="000000"/>
          <w:sz w:val="32"/>
          <w:szCs w:val="32"/>
        </w:rPr>
        <w:t>201</w:t>
      </w:r>
      <w:r>
        <w:rPr>
          <w:rFonts w:hint="eastAsia" w:ascii="仿宋_GB2312" w:eastAsia="仿宋_GB2312"/>
          <w:color w:val="000000"/>
          <w:sz w:val="32"/>
          <w:szCs w:val="32"/>
        </w:rPr>
        <w:t>8年决算数持平。</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2" w:name="_Toc52180093"/>
      <w:r>
        <w:rPr>
          <w:rFonts w:hint="eastAsia" w:ascii="仿宋" w:hAnsi="仿宋" w:eastAsia="仿宋"/>
          <w:b/>
          <w:color w:val="000000"/>
          <w:sz w:val="32"/>
          <w:szCs w:val="32"/>
        </w:rPr>
        <w:t>（二）政府采购支出情况</w:t>
      </w:r>
      <w:bookmarkEnd w:id="52"/>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盐边县人民医院政府采购支出总额28.8万元，其中：政府采购货物支出28.8万元、政府采购工程支出0万元、政府采购服务支出0万元。主要用于妇产科盆底康复仪购置。授予中小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，其中：授予小微企业合同金额0万元，占政府采购支出总额的0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3" w:name="_Toc52180094"/>
      <w:r>
        <w:rPr>
          <w:rFonts w:hint="eastAsia" w:ascii="仿宋" w:hAnsi="仿宋" w:eastAsia="仿宋"/>
          <w:b/>
          <w:color w:val="000000"/>
          <w:sz w:val="32"/>
          <w:szCs w:val="32"/>
        </w:rPr>
        <w:t>（三）国有资产占有使用情况</w:t>
      </w:r>
      <w:bookmarkEnd w:id="53"/>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日，盐边县人民医院共有车辆4辆，其中：主要领导干部用车0辆、机要通信用车0辆、应急保障用车1辆、其他用车3辆，</w:t>
      </w:r>
      <w:r>
        <w:rPr>
          <w:rFonts w:hint="eastAsia" w:ascii="仿宋_GB2312" w:eastAsia="仿宋_GB2312"/>
          <w:color w:val="000000" w:themeColor="text1"/>
          <w:sz w:val="32"/>
          <w:szCs w:val="32"/>
        </w:rPr>
        <w:t>其他用车主要是用于救护病人的救护车，单价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万元以上通用设备1台（套），单价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万元以上专用设备3台（套）。</w:t>
      </w:r>
    </w:p>
    <w:p>
      <w:pPr>
        <w:spacing w:line="580" w:lineRule="exact"/>
        <w:ind w:firstLine="314" w:firstLineChars="98"/>
        <w:rPr>
          <w:rFonts w:ascii="仿宋" w:hAnsi="仿宋" w:eastAsia="仿宋" w:cs="楷体_GB2312"/>
          <w:b/>
          <w:bCs/>
          <w:sz w:val="32"/>
          <w:szCs w:val="32"/>
        </w:rPr>
      </w:pPr>
      <w:r>
        <w:rPr>
          <w:rFonts w:hint="eastAsia" w:ascii="仿宋" w:hAnsi="仿宋" w:eastAsia="仿宋"/>
          <w:b/>
          <w:color w:val="000000"/>
          <w:sz w:val="32"/>
          <w:szCs w:val="32"/>
        </w:rPr>
        <w:t>（四）</w:t>
      </w:r>
      <w:r>
        <w:rPr>
          <w:rFonts w:hint="eastAsia" w:ascii="仿宋" w:hAnsi="仿宋" w:eastAsia="仿宋" w:cs="楷体_GB2312"/>
          <w:b/>
          <w:bCs/>
          <w:sz w:val="32"/>
          <w:szCs w:val="32"/>
        </w:rPr>
        <w:t>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专用材料等项目开展了预算事前绩效评估，对2个项目编制了绩效目标，预算执行过程中，选取2个项目开展绩效监控，年终执行完毕后，对2个项目开展了绩效目标完成情况梳理填报。</w:t>
      </w:r>
    </w:p>
    <w:p>
      <w:pPr>
        <w:pStyle w:val="7"/>
        <w:spacing w:line="600" w:lineRule="exact"/>
        <w:ind w:firstLine="640" w:firstLineChars="200"/>
        <w:jc w:val="left"/>
        <w:rPr>
          <w:rFonts w:ascii="Times New Roman" w:hAnsi="Times New Roman" w:eastAsia="仿宋_GB2312"/>
          <w:sz w:val="32"/>
          <w:szCs w:val="32"/>
        </w:rPr>
      </w:pPr>
      <w:r>
        <w:rPr>
          <w:rFonts w:hint="eastAsia" w:ascii="仿宋" w:hAnsi="仿宋" w:eastAsia="仿宋" w:cs="仿宋"/>
          <w:sz w:val="32"/>
          <w:szCs w:val="32"/>
        </w:rPr>
        <w:t>本部门按要求对2019年部门整体支出开展绩效自评，从评价情况来看</w:t>
      </w:r>
      <w:r>
        <w:rPr>
          <w:rFonts w:hint="eastAsia" w:ascii="仿宋_GB2312" w:hAnsi="仿宋_GB2312" w:eastAsia="仿宋_GB2312" w:cs="仿宋_GB2312"/>
          <w:sz w:val="32"/>
          <w:szCs w:val="32"/>
        </w:rPr>
        <w:t>，医院建立健全了收入、支出、政府采购、资产管理以及公务接待管理、差旅费、培训费等财务管理制度，成立了内部控制小组，加强内部控制和监督。资金使用符合国家财经法规和财务管理制度规定以及有关专项资金管理办法的规定。各项经费支出实行一支笔审批制度，严格公务接待费、差旅费、会议费和培训费审核审批程序，“三公”经费的控制在预算范围之内，有效杜绝可资金使用挤占、挪用、虚列支出等情况，确保了资金使用的规范性、安全性和有效性，切实降低医院运行成本。本部门还自行组织了2个项目绩效评价，从评价情况来看</w:t>
      </w:r>
      <w:r>
        <w:rPr>
          <w:rFonts w:ascii="Times New Roman" w:hAnsi="Times New Roman" w:eastAsia="仿宋_GB2312"/>
          <w:sz w:val="32"/>
          <w:szCs w:val="32"/>
        </w:rPr>
        <w:t>各项目工作开展顺利，其他项目资金完成率好，基本达到预期指标</w:t>
      </w:r>
      <w:r>
        <w:rPr>
          <w:rFonts w:hint="eastAsia" w:ascii="Times New Roman" w:hAnsi="Times New Roman" w:eastAsia="仿宋_GB2312"/>
          <w:sz w:val="32"/>
          <w:szCs w:val="32"/>
        </w:rPr>
        <w:t>。</w:t>
      </w:r>
    </w:p>
    <w:p>
      <w:pPr>
        <w:spacing w:line="580" w:lineRule="exact"/>
        <w:ind w:firstLine="642" w:firstLineChars="200"/>
        <w:rPr>
          <w:rFonts w:hint="eastAsia" w:ascii="仿宋" w:hAnsi="仿宋" w:eastAsia="仿宋" w:cs="楷体_GB2312"/>
          <w:b/>
          <w:bCs/>
          <w:sz w:val="32"/>
          <w:szCs w:val="32"/>
        </w:rPr>
      </w:pPr>
      <w:r>
        <w:rPr>
          <w:rFonts w:hint="eastAsia" w:ascii="仿宋" w:hAnsi="仿宋" w:eastAsia="仿宋" w:cs="楷体_GB2312"/>
          <w:b/>
          <w:bCs/>
          <w:sz w:val="32"/>
          <w:szCs w:val="32"/>
        </w:rPr>
        <w:t>1.项目绩效目标完成情况。</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本部门在2019年度部门决算中反映医疗服务能力提升</w:t>
      </w:r>
      <w:r>
        <w:rPr>
          <w:rFonts w:ascii="仿宋" w:hAnsi="仿宋" w:eastAsia="仿宋" w:cs="仿宋"/>
          <w:color w:val="000000"/>
          <w:sz w:val="32"/>
          <w:szCs w:val="32"/>
        </w:rPr>
        <w:t>、</w:t>
      </w:r>
      <w:r>
        <w:rPr>
          <w:rFonts w:hint="eastAsia" w:ascii="仿宋_GB2312" w:hAnsi="仿宋_GB2312" w:eastAsia="仿宋_GB2312" w:cs="仿宋_GB2312"/>
          <w:sz w:val="32"/>
          <w:szCs w:val="32"/>
        </w:rPr>
        <w:t>医院运行其他经费项目</w:t>
      </w:r>
      <w:r>
        <w:rPr>
          <w:rFonts w:hint="eastAsia" w:ascii="仿宋" w:hAnsi="仿宋" w:eastAsia="仿宋" w:cs="仿宋"/>
          <w:sz w:val="32"/>
          <w:szCs w:val="32"/>
        </w:rPr>
        <w:t>等2个项目绩效目标实际完成情况。（本单位部门项目绩效目标个数在5个以上的，选取5个项目进行公开，目标个数在5个以下的，全部进行公开，公开内容包括完成情况综述和完成情况表）。</w:t>
      </w:r>
    </w:p>
    <w:p>
      <w:pPr>
        <w:tabs>
          <w:tab w:val="left" w:pos="312"/>
        </w:tabs>
        <w:spacing w:line="580" w:lineRule="exact"/>
        <w:ind w:left="141" w:leftChars="67"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1）医院运行专用材料等项目目标完成情况综述。项目全年预算数2100万元，执行数为1572.23万元，完成预算数的74.86%。其中财政拨款为13万，使用率100%完成。通过项目的实施，保障了医院的正常运行，发现的问题：医院所用专用材料（如：药品及卫生材料等）采购价格医院不可控，所以导致执行数大于不购准确。</w:t>
      </w:r>
    </w:p>
    <w:p>
      <w:pPr>
        <w:tabs>
          <w:tab w:val="left" w:pos="312"/>
        </w:tabs>
        <w:spacing w:line="580" w:lineRule="exact"/>
        <w:ind w:left="143" w:leftChars="68"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（2）医疗服务能力提升项目。项目全年预算数8万元，执行数为8万元，完成预算的100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。通过项目实施，提升了医务人员的业务水平。发现的主要问题：科室人员积极性不够，学习方式不够多元化。下一步改进措施：创新模式提高医务人员的积极性。</w:t>
      </w:r>
    </w:p>
    <w:p>
      <w:pPr>
        <w:tabs>
          <w:tab w:val="left" w:pos="312"/>
        </w:tabs>
        <w:spacing w:line="580" w:lineRule="exact"/>
        <w:rPr>
          <w:rFonts w:ascii="仿宋" w:hAnsi="仿宋" w:eastAsia="仿宋" w:cs="仿宋"/>
          <w:sz w:val="32"/>
          <w:szCs w:val="32"/>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441"/>
        <w:gridCol w:w="1316"/>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7"/>
              <w:widowControl/>
              <w:ind w:firstLine="0" w:firstLineChars="0"/>
              <w:jc w:val="center"/>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(201</w:t>
            </w:r>
            <w:r>
              <w:rPr>
                <w:rFonts w:hint="eastAsia" w:ascii="宋体" w:hAnsi="宋体" w:cs="宋体"/>
                <w:color w:val="000000"/>
                <w:kern w:val="0"/>
                <w:sz w:val="36"/>
                <w:szCs w:val="36"/>
              </w:rPr>
              <w:t>9</w:t>
            </w:r>
            <w:r>
              <w:rPr>
                <w:rFonts w:ascii="宋体" w:hAnsi="宋体" w:cs="宋体"/>
                <w:color w:val="000000"/>
                <w:kern w:val="0"/>
                <w:sz w:val="36"/>
                <w:szCs w:val="36"/>
              </w:rPr>
              <w:t xml:space="preserve">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医疗服务能力提升项目</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盐边县</w:t>
            </w:r>
            <w:r>
              <w:rPr>
                <w:rFonts w:ascii="宋体" w:cs="宋体"/>
                <w:color w:val="000000"/>
                <w:sz w:val="24"/>
              </w:rPr>
              <w:t>人民医院</w:t>
            </w:r>
          </w:p>
        </w:tc>
      </w:tr>
      <w:tr>
        <w:tblPrEx>
          <w:tblCellMar>
            <w:top w:w="0" w:type="dxa"/>
            <w:left w:w="0" w:type="dxa"/>
            <w:bottom w:w="0" w:type="dxa"/>
            <w:right w:w="0" w:type="dxa"/>
          </w:tblCellMar>
        </w:tblPrEx>
        <w:trPr>
          <w:trHeight w:val="276" w:hRule="atLeast"/>
        </w:trPr>
        <w:tc>
          <w:tcPr>
            <w:tcW w:w="44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highlight w:val="yellow"/>
              </w:rPr>
            </w:pPr>
            <w:r>
              <w:rPr>
                <w:rFonts w:hint="eastAsia" w:ascii="宋体" w:hAnsi="宋体" w:cs="宋体"/>
                <w:color w:val="000000"/>
                <w:kern w:val="0"/>
                <w:sz w:val="24"/>
              </w:rPr>
              <w:t>8</w:t>
            </w:r>
          </w:p>
        </w:tc>
      </w:tr>
      <w:tr>
        <w:tblPrEx>
          <w:tblCellMar>
            <w:top w:w="0" w:type="dxa"/>
            <w:left w:w="0" w:type="dxa"/>
            <w:bottom w:w="0" w:type="dxa"/>
            <w:right w:w="0" w:type="dxa"/>
          </w:tblCellMar>
        </w:tblPrEx>
        <w:trPr>
          <w:trHeight w:val="276" w:hRule="atLeast"/>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21</w:t>
            </w:r>
          </w:p>
        </w:tc>
      </w:tr>
      <w:tr>
        <w:tblPrEx>
          <w:tblCellMar>
            <w:top w:w="0" w:type="dxa"/>
            <w:left w:w="0" w:type="dxa"/>
            <w:bottom w:w="0" w:type="dxa"/>
            <w:right w:w="0" w:type="dxa"/>
          </w:tblCellMar>
        </w:tblPrEx>
        <w:trPr>
          <w:trHeight w:val="1511" w:hRule="atLeast"/>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4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4"/>
              </w:rPr>
            </w:pPr>
            <w:r>
              <w:rPr>
                <w:rFonts w:hint="eastAsia" w:ascii="宋体" w:cs="宋体"/>
                <w:color w:val="000000"/>
                <w:sz w:val="24"/>
              </w:rPr>
              <w:t>0</w:t>
            </w:r>
          </w:p>
        </w:tc>
      </w:tr>
      <w:tr>
        <w:tblPrEx>
          <w:tblCellMar>
            <w:top w:w="0" w:type="dxa"/>
            <w:left w:w="0" w:type="dxa"/>
            <w:bottom w:w="0" w:type="dxa"/>
            <w:right w:w="0" w:type="dxa"/>
          </w:tblCellMar>
        </w:tblPrEx>
        <w:trPr>
          <w:trHeight w:val="276" w:hRule="atLeast"/>
        </w:trPr>
        <w:tc>
          <w:tcPr>
            <w:tcW w:w="44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3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3087" w:hRule="atLeast"/>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473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通过医疗服务能力提升项目，提高医院医疗业务水平</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60" w:lineRule="exact"/>
              <w:ind w:firstLine="420" w:firstLineChars="200"/>
              <w:rPr>
                <w:rFonts w:ascii="宋体" w:cs="宋体"/>
                <w:color w:val="000000"/>
                <w:szCs w:val="21"/>
              </w:rPr>
            </w:pPr>
            <w:r>
              <w:rPr>
                <w:rFonts w:hint="eastAsia" w:ascii="宋体" w:hAnsi="宋体" w:cs="宋体"/>
                <w:color w:val="000000"/>
                <w:kern w:val="0"/>
                <w:szCs w:val="21"/>
              </w:rPr>
              <w:t>组织全院的教学活动26次，科级学80次，参加人员896人次。为全县16个乡镇卫生院的护理骨干开展护理管理、护理理论与实践操作培训。承办的全县乡村医生培训班，为全县164个村卫生室的228村医开展培训，完成目标</w:t>
            </w:r>
            <w:r>
              <w:rPr>
                <w:rFonts w:ascii="宋体" w:hAnsi="宋体" w:cs="宋体"/>
                <w:color w:val="000000"/>
                <w:kern w:val="0"/>
                <w:szCs w:val="21"/>
              </w:rPr>
              <w:t xml:space="preserve"> </w:t>
            </w:r>
          </w:p>
        </w:tc>
      </w:tr>
      <w:tr>
        <w:tblPrEx>
          <w:tblCellMar>
            <w:top w:w="0" w:type="dxa"/>
            <w:left w:w="0" w:type="dxa"/>
            <w:bottom w:w="0" w:type="dxa"/>
            <w:right w:w="0" w:type="dxa"/>
          </w:tblCellMar>
        </w:tblPrEx>
        <w:trPr>
          <w:trHeight w:val="1042" w:hRule="atLeast"/>
        </w:trPr>
        <w:tc>
          <w:tcPr>
            <w:tcW w:w="44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544" w:hRule="atLeast"/>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16" w:type="dxa"/>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医疗服务能力提升项目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8</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8</w:t>
            </w:r>
          </w:p>
        </w:tc>
      </w:tr>
      <w:tr>
        <w:tblPrEx>
          <w:tblCellMar>
            <w:top w:w="0" w:type="dxa"/>
            <w:left w:w="0" w:type="dxa"/>
            <w:bottom w:w="0" w:type="dxa"/>
            <w:right w:w="0" w:type="dxa"/>
          </w:tblCellMar>
        </w:tblPrEx>
        <w:trPr>
          <w:trHeight w:val="1297" w:hRule="atLeast"/>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highlight w:val="yellow"/>
              </w:rPr>
            </w:pPr>
            <w:r>
              <w:rPr>
                <w:rFonts w:hint="eastAsia" w:ascii="宋体" w:cs="宋体"/>
                <w:color w:val="000000"/>
                <w:sz w:val="24"/>
              </w:rPr>
              <w:t>全年按实际发生支付</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2019年每月支付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2019年每月支付</w:t>
            </w:r>
          </w:p>
        </w:tc>
      </w:tr>
      <w:tr>
        <w:tblPrEx>
          <w:tblCellMar>
            <w:top w:w="0" w:type="dxa"/>
            <w:left w:w="0" w:type="dxa"/>
            <w:bottom w:w="0" w:type="dxa"/>
            <w:right w:w="0" w:type="dxa"/>
          </w:tblCellMar>
        </w:tblPrEx>
        <w:trPr>
          <w:trHeight w:val="1042" w:hRule="atLeast"/>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highlight w:val="yellow"/>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s="宋体"/>
                <w:color w:val="000000"/>
                <w:sz w:val="24"/>
              </w:rPr>
            </w:pPr>
            <w:r>
              <w:rPr>
                <w:rFonts w:hint="eastAsia" w:ascii="宋体" w:cs="宋体"/>
                <w:color w:val="000000"/>
                <w:sz w:val="24"/>
              </w:rPr>
              <w:t xml:space="preserve">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highlight w:val="yellow"/>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highlight w:val="yellow"/>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highlight w:val="yellow"/>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42" w:hRule="atLeast"/>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经济指标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highlight w:val="yellow"/>
              </w:rPr>
            </w:pPr>
            <w:r>
              <w:rPr>
                <w:rFonts w:hint="eastAsia" w:ascii="宋体" w:hAnsi="宋体" w:cs="宋体"/>
                <w:color w:val="000000"/>
                <w:kern w:val="0"/>
                <w:sz w:val="24"/>
              </w:rPr>
              <w:t>医疗服务能力提升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r>
      <w:tr>
        <w:tblPrEx>
          <w:tblCellMar>
            <w:top w:w="0" w:type="dxa"/>
            <w:left w:w="0" w:type="dxa"/>
            <w:bottom w:w="0" w:type="dxa"/>
            <w:right w:w="0" w:type="dxa"/>
          </w:tblCellMar>
        </w:tblPrEx>
        <w:trPr>
          <w:trHeight w:val="1297" w:hRule="atLeast"/>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s="宋体"/>
                <w:color w:val="000000"/>
                <w:sz w:val="24"/>
              </w:rPr>
            </w:pPr>
            <w:r>
              <w:rPr>
                <w:rFonts w:hint="eastAsia" w:asci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120" w:firstLineChars="50"/>
              <w:textAlignment w:val="center"/>
              <w:rPr>
                <w:rFonts w:ascii="宋体" w:cs="宋体"/>
                <w:color w:val="000000"/>
                <w:sz w:val="24"/>
                <w:highlight w:val="yellow"/>
              </w:rPr>
            </w:pPr>
            <w:r>
              <w:rPr>
                <w:rFonts w:hint="eastAsia" w:ascii="宋体" w:cs="宋体"/>
                <w:color w:val="000000"/>
                <w:sz w:val="24"/>
              </w:rPr>
              <w:t>增强</w:t>
            </w:r>
            <w:r>
              <w:rPr>
                <w:rFonts w:ascii="宋体" w:cs="宋体"/>
                <w:color w:val="000000"/>
                <w:sz w:val="24"/>
              </w:rPr>
              <w:t>职工满意度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r>
      <w:tr>
        <w:tblPrEx>
          <w:tblCellMar>
            <w:top w:w="0" w:type="dxa"/>
            <w:left w:w="0" w:type="dxa"/>
            <w:bottom w:w="0" w:type="dxa"/>
            <w:right w:w="0" w:type="dxa"/>
          </w:tblCellMar>
        </w:tblPrEx>
        <w:trPr>
          <w:trHeight w:val="1297" w:hRule="atLeast"/>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highlight w:val="yellow"/>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CellMar>
            <w:top w:w="0" w:type="dxa"/>
            <w:left w:w="0" w:type="dxa"/>
            <w:bottom w:w="0" w:type="dxa"/>
            <w:right w:w="0" w:type="dxa"/>
          </w:tblCellMar>
        </w:tblPrEx>
        <w:trPr>
          <w:trHeight w:val="1050" w:hRule="atLeast"/>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highlight w:val="yellow"/>
              </w:rPr>
            </w:pPr>
            <w:r>
              <w:rPr>
                <w:rFonts w:hint="eastAsia" w:ascii="宋体" w:cs="宋体"/>
                <w:color w:val="000000"/>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抽样调查达到群众基本满意及以上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抽样调查达到群众基本满意及以上</w:t>
            </w:r>
          </w:p>
        </w:tc>
      </w:tr>
    </w:tbl>
    <w:p>
      <w:pPr>
        <w:spacing w:line="580" w:lineRule="exact"/>
        <w:rPr>
          <w:rFonts w:ascii="仿宋_GB2312" w:hAnsi="仿宋_GB2312" w:eastAsia="仿宋_GB2312" w:cs="仿宋_GB2312"/>
          <w:sz w:val="32"/>
          <w:szCs w:val="32"/>
        </w:rPr>
      </w:pPr>
    </w:p>
    <w:p>
      <w:pPr>
        <w:spacing w:line="580" w:lineRule="exact"/>
        <w:ind w:firstLine="642" w:firstLineChars="200"/>
        <w:rPr>
          <w:rFonts w:ascii="仿宋" w:hAnsi="仿宋" w:eastAsia="仿宋" w:cs="仿宋_GB2312"/>
          <w:sz w:val="32"/>
          <w:szCs w:val="32"/>
        </w:rPr>
      </w:pPr>
      <w:r>
        <w:rPr>
          <w:rFonts w:hint="eastAsia" w:ascii="仿宋" w:hAnsi="仿宋" w:eastAsia="仿宋" w:cs="楷体_GB2312"/>
          <w:b/>
          <w:bCs/>
          <w:sz w:val="32"/>
          <w:szCs w:val="32"/>
        </w:rPr>
        <w:t>2.部门开展绩效评价结果。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19年部门整体支出绩效评价情况开展自评，《盐边县人民医院部门</w:t>
      </w:r>
      <w:r>
        <w:rPr>
          <w:rFonts w:ascii="仿宋_GB2312" w:hAnsi="仿宋_GB2312" w:eastAsia="仿宋_GB2312" w:cs="仿宋_GB2312"/>
          <w:sz w:val="32"/>
          <w:szCs w:val="32"/>
        </w:rPr>
        <w:t>201</w:t>
      </w:r>
      <w:r>
        <w:rPr>
          <w:rFonts w:hint="eastAsia" w:ascii="仿宋_GB2312" w:hAnsi="仿宋_GB2312" w:eastAsia="仿宋_GB2312" w:cs="仿宋_GB2312"/>
          <w:sz w:val="32"/>
          <w:szCs w:val="32"/>
        </w:rPr>
        <w:t>9年部门整体支出绩效评价报告》见附件。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本部门自行组织对医院服务能力提升项目、开展了绩效评价，《医院服务能力提升项目</w:t>
      </w:r>
      <w:r>
        <w:rPr>
          <w:rFonts w:ascii="仿宋_GB2312" w:hAnsi="仿宋_GB2312" w:eastAsia="仿宋_GB2312" w:cs="仿宋_GB2312"/>
          <w:sz w:val="32"/>
          <w:szCs w:val="32"/>
        </w:rPr>
        <w:t>201</w:t>
      </w:r>
      <w:r>
        <w:rPr>
          <w:rFonts w:hint="eastAsia" w:ascii="仿宋_GB2312" w:hAnsi="仿宋_GB2312" w:eastAsia="仿宋_GB2312" w:cs="仿宋_GB2312"/>
          <w:sz w:val="32"/>
          <w:szCs w:val="32"/>
        </w:rPr>
        <w:t>9年绩效评价报告》见附件。</w:t>
      </w:r>
    </w:p>
    <w:p>
      <w:pPr>
        <w:spacing w:line="580" w:lineRule="exact"/>
        <w:jc w:val="center"/>
        <w:rPr>
          <w:rFonts w:ascii="方正小标宋简体" w:hAnsi="方正小标宋简体" w:eastAsia="方正小标宋简体" w:cs="方正小标宋简体"/>
          <w:sz w:val="44"/>
          <w:szCs w:val="44"/>
        </w:rPr>
      </w:pPr>
    </w:p>
    <w:p>
      <w:pPr>
        <w:spacing w:line="600" w:lineRule="atLeast"/>
        <w:ind w:firstLine="642"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3"/>
        </w:numPr>
        <w:spacing w:line="600" w:lineRule="exact"/>
        <w:ind w:firstLine="662" w:firstLineChars="150"/>
        <w:jc w:val="center"/>
        <w:outlineLvl w:val="0"/>
        <w:rPr>
          <w:rStyle w:val="17"/>
          <w:rFonts w:ascii="黑体" w:hAnsi="黑体" w:eastAsia="黑体"/>
          <w:b w:val="0"/>
        </w:rPr>
      </w:pPr>
      <w:bookmarkStart w:id="54" w:name="_Toc15396613"/>
      <w:bookmarkStart w:id="55" w:name="_Toc15377225"/>
      <w:r>
        <w:rPr>
          <w:rFonts w:hint="eastAsia" w:ascii="黑体" w:hAnsi="黑体" w:eastAsia="黑体"/>
          <w:b/>
          <w:color w:val="000000"/>
          <w:sz w:val="44"/>
          <w:szCs w:val="44"/>
        </w:rPr>
        <w:t>名</w:t>
      </w:r>
      <w:r>
        <w:rPr>
          <w:rStyle w:val="17"/>
          <w:rFonts w:hint="eastAsia" w:ascii="黑体" w:hAnsi="黑体" w:eastAsia="黑体"/>
          <w:b w:val="0"/>
        </w:rPr>
        <w:t>词解释</w:t>
      </w:r>
      <w:bookmarkEnd w:id="54"/>
      <w:bookmarkEnd w:id="55"/>
    </w:p>
    <w:p>
      <w:pPr>
        <w:spacing w:line="600" w:lineRule="exact"/>
        <w:jc w:val="left"/>
        <w:rPr>
          <w:rFonts w:ascii="宋体"/>
          <w:b/>
          <w:color w:val="000000"/>
          <w:sz w:val="44"/>
          <w:szCs w:val="44"/>
        </w:rPr>
      </w:pPr>
    </w:p>
    <w:p>
      <w:pPr>
        <w:pStyle w:val="26"/>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6"/>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10</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11</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12</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ascii="仿宋" w:hAnsi="仿宋" w:eastAsia="仿宋"/>
          <w:b/>
          <w:color w:val="000000"/>
          <w:sz w:val="32"/>
          <w:szCs w:val="32"/>
        </w:rPr>
      </w:pPr>
      <w:bookmarkStart w:id="56" w:name="_Toc15396614"/>
      <w:bookmarkStart w:id="57" w:name="_Toc15377226"/>
    </w:p>
    <w:p>
      <w:pPr>
        <w:spacing w:line="600" w:lineRule="exact"/>
        <w:jc w:val="center"/>
        <w:outlineLvl w:val="0"/>
        <w:rPr>
          <w:rFonts w:ascii="仿宋" w:hAnsi="仿宋" w:eastAsia="仿宋"/>
          <w:b/>
          <w:color w:val="000000"/>
          <w:sz w:val="32"/>
          <w:szCs w:val="32"/>
        </w:rPr>
      </w:pPr>
    </w:p>
    <w:p>
      <w:pPr>
        <w:spacing w:line="600" w:lineRule="exact"/>
        <w:jc w:val="center"/>
        <w:outlineLvl w:val="0"/>
        <w:rPr>
          <w:rFonts w:ascii="仿宋" w:hAnsi="仿宋" w:eastAsia="仿宋"/>
          <w:b/>
          <w:color w:val="000000"/>
          <w:sz w:val="32"/>
          <w:szCs w:val="32"/>
        </w:rPr>
      </w:pPr>
    </w:p>
    <w:p>
      <w:pPr>
        <w:spacing w:line="600" w:lineRule="exact"/>
        <w:jc w:val="center"/>
        <w:outlineLvl w:val="0"/>
        <w:rPr>
          <w:rFonts w:ascii="仿宋" w:hAnsi="仿宋" w:eastAsia="仿宋"/>
          <w:b/>
          <w:color w:val="000000"/>
          <w:sz w:val="32"/>
          <w:szCs w:val="32"/>
        </w:rPr>
      </w:pPr>
    </w:p>
    <w:p>
      <w:pPr>
        <w:spacing w:line="600" w:lineRule="exact"/>
        <w:jc w:val="center"/>
        <w:outlineLvl w:val="0"/>
        <w:rPr>
          <w:rFonts w:ascii="仿宋" w:hAnsi="仿宋" w:eastAsia="仿宋"/>
          <w:b/>
          <w:color w:val="000000"/>
          <w:sz w:val="32"/>
          <w:szCs w:val="32"/>
        </w:rPr>
      </w:pPr>
    </w:p>
    <w:p>
      <w:pPr>
        <w:spacing w:line="600" w:lineRule="exact"/>
        <w:jc w:val="center"/>
        <w:outlineLvl w:val="0"/>
        <w:rPr>
          <w:rFonts w:ascii="仿宋" w:hAnsi="仿宋" w:eastAsia="仿宋"/>
          <w:b/>
          <w:color w:val="000000"/>
          <w:sz w:val="32"/>
          <w:szCs w:val="32"/>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17"/>
          <w:rFonts w:ascii="黑体" w:hAnsi="黑体" w:eastAsia="黑体"/>
          <w:b w:val="0"/>
        </w:rPr>
      </w:pPr>
      <w:r>
        <w:rPr>
          <w:rFonts w:hint="eastAsia" w:ascii="黑体" w:hAnsi="黑体" w:eastAsia="黑体"/>
          <w:color w:val="000000"/>
          <w:sz w:val="44"/>
          <w:szCs w:val="44"/>
        </w:rPr>
        <w:t>第</w:t>
      </w:r>
      <w:r>
        <w:rPr>
          <w:rStyle w:val="17"/>
          <w:rFonts w:hint="eastAsia" w:ascii="黑体" w:hAnsi="黑体" w:eastAsia="黑体"/>
          <w:b w:val="0"/>
        </w:rPr>
        <w:t>四部分附件</w:t>
      </w:r>
      <w:bookmarkEnd w:id="56"/>
    </w:p>
    <w:p>
      <w:pPr>
        <w:pStyle w:val="3"/>
        <w:rPr>
          <w:rStyle w:val="17"/>
          <w:rFonts w:ascii="仿宋" w:hAnsi="仿宋" w:eastAsia="仿宋"/>
          <w:b w:val="0"/>
          <w:bCs w:val="0"/>
          <w:sz w:val="32"/>
          <w:szCs w:val="32"/>
        </w:rPr>
      </w:pPr>
      <w:bookmarkStart w:id="58" w:name="_Toc15396615"/>
      <w:r>
        <w:rPr>
          <w:rStyle w:val="17"/>
          <w:rFonts w:hint="eastAsia" w:ascii="仿宋" w:hAnsi="仿宋" w:eastAsia="仿宋"/>
          <w:b w:val="0"/>
          <w:bCs w:val="0"/>
          <w:sz w:val="32"/>
          <w:szCs w:val="32"/>
        </w:rPr>
        <w:t>附件</w:t>
      </w:r>
      <w:r>
        <w:rPr>
          <w:rStyle w:val="17"/>
          <w:rFonts w:ascii="仿宋" w:hAnsi="仿宋" w:eastAsia="仿宋"/>
          <w:b w:val="0"/>
          <w:bCs w:val="0"/>
          <w:sz w:val="32"/>
          <w:szCs w:val="32"/>
        </w:rPr>
        <w:t>1</w:t>
      </w:r>
      <w:bookmarkEnd w:id="58"/>
    </w:p>
    <w:p>
      <w:pPr>
        <w:spacing w:line="600" w:lineRule="exact"/>
        <w:jc w:val="center"/>
        <w:outlineLvl w:val="0"/>
        <w:rPr>
          <w:rFonts w:eastAsia="仿宋_GB2312"/>
          <w:sz w:val="32"/>
          <w:szCs w:val="32"/>
        </w:rPr>
      </w:pPr>
      <w:bookmarkStart w:id="59" w:name="_Toc15396616"/>
      <w:r>
        <w:rPr>
          <w:rFonts w:hint="eastAsia" w:ascii="黑体" w:hAnsi="黑体" w:eastAsia="黑体" w:cs="方正小标宋简体"/>
          <w:sz w:val="36"/>
          <w:szCs w:val="36"/>
        </w:rPr>
        <w:t>盐边县人民</w:t>
      </w:r>
      <w:r>
        <w:rPr>
          <w:rFonts w:ascii="黑体" w:hAnsi="黑体" w:eastAsia="黑体" w:cs="方正小标宋简体"/>
          <w:sz w:val="36"/>
          <w:szCs w:val="36"/>
        </w:rPr>
        <w:t>医院201</w:t>
      </w:r>
      <w:r>
        <w:rPr>
          <w:rFonts w:hint="eastAsia" w:ascii="黑体" w:hAnsi="黑体" w:eastAsia="黑体" w:cs="方正小标宋简体"/>
          <w:sz w:val="36"/>
          <w:szCs w:val="36"/>
        </w:rPr>
        <w:t>9年部门整体支出绩效评价报告</w:t>
      </w:r>
      <w:bookmarkEnd w:id="59"/>
    </w:p>
    <w:p>
      <w:pPr>
        <w:spacing w:line="560" w:lineRule="exact"/>
        <w:ind w:firstLine="640" w:firstLineChars="200"/>
        <w:jc w:val="left"/>
        <w:rPr>
          <w:rFonts w:eastAsia="黑体"/>
          <w:sz w:val="32"/>
          <w:szCs w:val="32"/>
        </w:rPr>
      </w:pPr>
      <w:r>
        <w:rPr>
          <w:rFonts w:eastAsia="黑体"/>
          <w:sz w:val="32"/>
          <w:szCs w:val="32"/>
        </w:rPr>
        <w:t>一、部门概况</w:t>
      </w:r>
    </w:p>
    <w:p>
      <w:pPr>
        <w:pStyle w:val="5"/>
        <w:adjustRightInd w:val="0"/>
        <w:snapToGrid w:val="0"/>
        <w:spacing w:before="93" w:line="600" w:lineRule="exact"/>
        <w:ind w:firstLine="674" w:firstLineChars="210"/>
        <w:rPr>
          <w:rFonts w:ascii="Times New Roman"/>
          <w:b/>
          <w:bCs/>
          <w:sz w:val="32"/>
          <w:szCs w:val="32"/>
        </w:rPr>
      </w:pPr>
      <w:r>
        <w:rPr>
          <w:rFonts w:hint="eastAsia" w:ascii="Times New Roman"/>
          <w:b/>
          <w:bCs/>
          <w:sz w:val="32"/>
          <w:szCs w:val="32"/>
        </w:rPr>
        <w:t>(一）机构组成</w:t>
      </w:r>
    </w:p>
    <w:p>
      <w:pPr>
        <w:pStyle w:val="5"/>
        <w:adjustRightInd w:val="0"/>
        <w:snapToGrid w:val="0"/>
        <w:spacing w:before="93" w:line="600" w:lineRule="exact"/>
        <w:ind w:firstLine="672" w:firstLineChars="210"/>
        <w:rPr>
          <w:bCs/>
          <w:color w:val="000000"/>
          <w:sz w:val="32"/>
          <w:szCs w:val="32"/>
        </w:rPr>
      </w:pPr>
      <w:r>
        <w:rPr>
          <w:rFonts w:hint="eastAsia" w:hAnsi="宋体" w:cs="仿宋_GB2312"/>
          <w:color w:val="000000"/>
          <w:sz w:val="32"/>
          <w:szCs w:val="32"/>
          <w:shd w:val="clear" w:color="auto" w:fill="FFFFFF"/>
        </w:rPr>
        <w:t>盐边县人民医</w:t>
      </w:r>
      <w:r>
        <w:rPr>
          <w:rFonts w:hint="eastAsia" w:hAnsi="宋体" w:cs="仿宋_GB2312"/>
          <w:color w:val="000000"/>
          <w:sz w:val="32"/>
          <w:szCs w:val="32"/>
          <w:shd w:val="clear" w:color="auto" w:fill="FFFFFF"/>
          <w:lang w:val="zh-CN"/>
        </w:rPr>
        <w:t>院是盐边县卫生健康局下属的二级预算单位，独立编制机构数</w:t>
      </w:r>
      <w:r>
        <w:rPr>
          <w:rFonts w:hint="eastAsia" w:hAnsi="宋体" w:cs="仿宋_GB2312"/>
          <w:color w:val="000000"/>
          <w:sz w:val="32"/>
          <w:szCs w:val="32"/>
          <w:shd w:val="clear" w:color="auto" w:fill="FFFFFF"/>
        </w:rPr>
        <w:t>1个，</w:t>
      </w:r>
      <w:r>
        <w:rPr>
          <w:rFonts w:hint="eastAsia" w:hAnsi="宋体" w:cs="仿宋_GB2312"/>
          <w:color w:val="000000"/>
          <w:sz w:val="32"/>
          <w:szCs w:val="32"/>
          <w:shd w:val="clear" w:color="auto" w:fill="FFFFFF"/>
          <w:lang w:val="zh-CN"/>
        </w:rPr>
        <w:t>独立核算机构数</w:t>
      </w:r>
      <w:r>
        <w:rPr>
          <w:rFonts w:hint="eastAsia" w:hAnsi="宋体" w:cs="仿宋_GB2312"/>
          <w:color w:val="000000"/>
          <w:sz w:val="32"/>
          <w:szCs w:val="32"/>
          <w:shd w:val="clear" w:color="auto" w:fill="FFFFFF"/>
        </w:rPr>
        <w:t>1个。</w:t>
      </w:r>
      <w:r>
        <w:rPr>
          <w:rFonts w:ascii="宋体" w:hAnsi="宋体" w:cs="宋体"/>
          <w:sz w:val="32"/>
          <w:szCs w:val="32"/>
        </w:rPr>
        <w:t>我院设</w:t>
      </w:r>
      <w:r>
        <w:rPr>
          <w:rFonts w:hint="eastAsia" w:ascii="宋体" w:hAnsi="宋体" w:cs="宋体"/>
          <w:sz w:val="32"/>
          <w:szCs w:val="32"/>
        </w:rPr>
        <w:t>有</w:t>
      </w:r>
      <w:r>
        <w:rPr>
          <w:rFonts w:ascii="宋体" w:hAnsi="宋体" w:cs="宋体"/>
          <w:sz w:val="32"/>
          <w:szCs w:val="32"/>
        </w:rPr>
        <w:t>院办公室、人事科教科、财务科、医务科、</w:t>
      </w:r>
      <w:r>
        <w:rPr>
          <w:rFonts w:hint="eastAsia" w:ascii="宋体" w:hAnsi="宋体" w:cs="宋体"/>
          <w:sz w:val="32"/>
          <w:szCs w:val="32"/>
        </w:rPr>
        <w:t>质</w:t>
      </w:r>
      <w:r>
        <w:rPr>
          <w:rFonts w:ascii="宋体" w:hAnsi="宋体" w:cs="宋体"/>
          <w:sz w:val="32"/>
          <w:szCs w:val="32"/>
        </w:rPr>
        <w:t>控办、预防保健科、护理部、院感科、信息网络科、医保办、后勤保障科、医学装备科、统计室、病案室等14个职能</w:t>
      </w:r>
      <w:r>
        <w:rPr>
          <w:rFonts w:hint="eastAsia" w:ascii="宋体" w:hAnsi="宋体" w:cs="宋体"/>
          <w:sz w:val="32"/>
          <w:szCs w:val="32"/>
        </w:rPr>
        <w:t>科</w:t>
      </w:r>
      <w:r>
        <w:rPr>
          <w:rFonts w:ascii="宋体" w:hAnsi="宋体" w:cs="宋体"/>
          <w:sz w:val="32"/>
          <w:szCs w:val="32"/>
        </w:rPr>
        <w:t>室；设内科、儿科、血透室、外科、ICU、妇产科、中医康复科、急诊科、手术室麻醉科、药剂科、检验科（输血科、血库）、病理室、放射科（CT室）、功能科（B、彩超室，心电图室、肺功能室、胃肠镜室）、五官、口腔、体检科、消毒供应中心、入（出）院收费室、洗衣房等20个临床医技辅助科室。</w:t>
      </w:r>
    </w:p>
    <w:p>
      <w:pPr>
        <w:pStyle w:val="5"/>
        <w:adjustRightInd w:val="0"/>
        <w:snapToGrid w:val="0"/>
        <w:spacing w:before="93" w:line="600" w:lineRule="exact"/>
        <w:ind w:firstLine="674" w:firstLineChars="210"/>
        <w:rPr>
          <w:rFonts w:ascii="Times New Roman"/>
          <w:b/>
          <w:bCs/>
          <w:sz w:val="32"/>
          <w:szCs w:val="32"/>
        </w:rPr>
      </w:pPr>
      <w:r>
        <w:rPr>
          <w:rFonts w:hint="eastAsia" w:ascii="Times New Roman"/>
          <w:b/>
          <w:bCs/>
          <w:sz w:val="32"/>
          <w:szCs w:val="32"/>
        </w:rPr>
        <w:t>(二）机构职能</w:t>
      </w:r>
    </w:p>
    <w:p>
      <w:pPr>
        <w:pStyle w:val="5"/>
        <w:adjustRightInd w:val="0"/>
        <w:snapToGrid w:val="0"/>
        <w:spacing w:before="93" w:line="600" w:lineRule="exact"/>
        <w:ind w:firstLine="672" w:firstLineChars="210"/>
        <w:rPr>
          <w:bCs/>
          <w:color w:val="000000"/>
          <w:sz w:val="32"/>
          <w:szCs w:val="32"/>
        </w:rPr>
      </w:pPr>
      <w:r>
        <w:rPr>
          <w:rFonts w:hint="eastAsia"/>
          <w:bCs/>
          <w:color w:val="000000"/>
          <w:sz w:val="32"/>
          <w:szCs w:val="32"/>
        </w:rPr>
        <w:t>盐边县人民医院是盐边县域内医疗卫生中心和农村三级医疗卫生服务龙头，与市级医院分工协作，主要为县域居民提供基本医疗服务，包括运用适宜医疗技术和药物，开展常见病、多发病诊疗，危急重症病人救治，重大疑难疾病接治转诊；推广应用适宜医疗技术，为农村基层医疗卫生机构人员提供培训和技术指导；承担部分公共卫生服务，以及自然灾害和突发事件医疗救治等工作。医院以病人为中心，加强内部管理，不断完善功能，提高技术水平和服务质量满足人民群众日益增长的医疗服务需求，实现小病不出乡大病不出县，切实解决群众看病难看病贵问题。</w:t>
      </w:r>
    </w:p>
    <w:p>
      <w:pPr>
        <w:pStyle w:val="5"/>
        <w:adjustRightInd w:val="0"/>
        <w:snapToGrid w:val="0"/>
        <w:spacing w:before="93" w:line="600" w:lineRule="exact"/>
        <w:ind w:firstLine="674" w:firstLineChars="210"/>
        <w:rPr>
          <w:rFonts w:ascii="Times New Roman"/>
          <w:b/>
          <w:bCs/>
          <w:sz w:val="32"/>
          <w:szCs w:val="32"/>
        </w:rPr>
      </w:pPr>
      <w:r>
        <w:rPr>
          <w:rFonts w:hint="eastAsia" w:ascii="Times New Roman"/>
          <w:b/>
          <w:bCs/>
          <w:sz w:val="32"/>
          <w:szCs w:val="32"/>
        </w:rPr>
        <w:t>（三）人员构成情况</w:t>
      </w:r>
    </w:p>
    <w:p>
      <w:pPr>
        <w:spacing w:line="560" w:lineRule="exact"/>
        <w:ind w:firstLine="600" w:firstLineChars="200"/>
        <w:jc w:val="left"/>
        <w:rPr>
          <w:rFonts w:eastAsia="仿宋_GB2312"/>
          <w:sz w:val="30"/>
          <w:szCs w:val="30"/>
        </w:rPr>
      </w:pPr>
      <w:r>
        <w:rPr>
          <w:rFonts w:hint="eastAsia" w:eastAsia="仿宋_GB2312"/>
          <w:sz w:val="30"/>
          <w:szCs w:val="30"/>
        </w:rPr>
        <w:t>我院核定编制165人，实有在职职工225人，其中编内134人，卫技人员180人，（其中医生66人，技师13人，护理90人，药师（士）11人）；工勤人员32人；管理人员13人，退休职工110人，聘用临时工91人。</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2019年全年共计收到财政资金1659万元，其中财政基本补助资金1638万元，</w:t>
      </w:r>
      <w:r>
        <w:rPr>
          <w:rFonts w:hint="eastAsia" w:ascii="仿宋_GB2312" w:hAnsi="仿宋_GB2312" w:eastAsia="仿宋_GB2312" w:cs="仿宋_GB2312"/>
          <w:sz w:val="32"/>
          <w:szCs w:val="32"/>
        </w:rPr>
        <w:t>医院服务能力提升项目</w:t>
      </w:r>
      <w:r>
        <w:rPr>
          <w:rFonts w:hint="eastAsia" w:ascii="仿宋" w:hAnsi="仿宋" w:eastAsia="仿宋" w:cs="仿宋_GB2312"/>
          <w:sz w:val="32"/>
          <w:szCs w:val="32"/>
        </w:rPr>
        <w:t>8万元，取消药品加成补助13万元。</w:t>
      </w:r>
    </w:p>
    <w:p>
      <w:pPr>
        <w:numPr>
          <w:ilvl w:val="0"/>
          <w:numId w:val="4"/>
        </w:num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部门财政资金支出情况。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2019年财政资金支出1709.48万元，其中人员经费支出1638万元，项目支出71.48万元。</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三、部门整体预算绩效管理情况</w:t>
      </w:r>
    </w:p>
    <w:p>
      <w:pPr>
        <w:spacing w:line="580" w:lineRule="exact"/>
        <w:ind w:firstLine="642" w:firstLineChars="200"/>
        <w:rPr>
          <w:rFonts w:ascii="仿宋" w:hAnsi="仿宋" w:eastAsia="仿宋" w:cs="仿宋_GB2312"/>
          <w:b/>
          <w:bCs/>
          <w:sz w:val="32"/>
          <w:szCs w:val="32"/>
        </w:rPr>
      </w:pPr>
      <w:r>
        <w:rPr>
          <w:rFonts w:hint="eastAsia" w:ascii="仿宋" w:hAnsi="仿宋" w:eastAsia="仿宋" w:cs="仿宋_GB2312"/>
          <w:b/>
          <w:bCs/>
          <w:sz w:val="32"/>
          <w:szCs w:val="32"/>
        </w:rPr>
        <w:t>（一）部门预算管理。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2019年我院财政预算收入主要用于保障本单位在编人员基本工资。其中基本支出1638万元，用于保障本单位在编人员的基本工资福利支出。包括基本工资、津贴补贴、住房公积金等。我院严格按工作进度执行预算，按时足额发放工资。专项资金严格按照资金用途使用，做好资金预算管理，合理规划使用资金，严格按照项目完成情况及时支付先相关费用。</w:t>
      </w:r>
    </w:p>
    <w:p>
      <w:pPr>
        <w:widowControl/>
        <w:adjustRightInd w:val="0"/>
        <w:snapToGrid w:val="0"/>
        <w:spacing w:line="580" w:lineRule="exact"/>
        <w:ind w:firstLine="642" w:firstLineChars="200"/>
        <w:contextualSpacing/>
        <w:jc w:val="left"/>
        <w:rPr>
          <w:rFonts w:ascii="仿宋_GB2312" w:hAnsi="宋体" w:eastAsia="仿宋_GB2312" w:cs="宋体"/>
          <w:b/>
          <w:bCs/>
          <w:color w:val="000000"/>
          <w:kern w:val="0"/>
          <w:sz w:val="32"/>
          <w:szCs w:val="32"/>
          <w:shd w:val="clear" w:color="auto" w:fill="FFFFFF"/>
          <w:lang w:val="zh-CN"/>
        </w:rPr>
      </w:pPr>
      <w:r>
        <w:rPr>
          <w:rFonts w:hint="eastAsia" w:ascii="仿宋_GB2312" w:hAnsi="宋体" w:eastAsia="仿宋_GB2312" w:cs="宋体"/>
          <w:b/>
          <w:bCs/>
          <w:color w:val="000000"/>
          <w:kern w:val="0"/>
          <w:sz w:val="32"/>
          <w:szCs w:val="32"/>
          <w:shd w:val="clear" w:color="auto" w:fill="FFFFFF"/>
          <w:lang w:val="zh-CN"/>
        </w:rPr>
        <w:t>（二）结果应用情况。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2019年年初进行了预算公开，严格把控预算情况。</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四、评价结论及建议</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2019年我院基本完成本年的绩效目标，但由于部分政策的变化使我院收入降低，年初的部分目标因资金问题没能按年初计划执行。因医院成本核算复杂，对年初制定的部分绩效目标在实际执行中很难把控；在今后的工作中加强管理，严控绩效目标。</w:t>
      </w:r>
    </w:p>
    <w:p>
      <w:pPr>
        <w:spacing w:line="560" w:lineRule="exact"/>
        <w:rPr>
          <w:rFonts w:ascii="仿宋_GB2312" w:eastAsia="仿宋_GB2312"/>
          <w:sz w:val="32"/>
          <w:szCs w:val="32"/>
        </w:rPr>
      </w:pP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17"/>
          <w:rFonts w:ascii="仿宋" w:hAnsi="仿宋" w:eastAsia="仿宋"/>
          <w:b w:val="0"/>
          <w:bCs w:val="0"/>
          <w:sz w:val="32"/>
          <w:szCs w:val="32"/>
        </w:rPr>
      </w:pPr>
      <w:bookmarkStart w:id="60" w:name="_Toc15396617"/>
      <w:r>
        <w:rPr>
          <w:rStyle w:val="17"/>
          <w:rFonts w:hint="eastAsia" w:ascii="仿宋" w:hAnsi="仿宋" w:eastAsia="仿宋"/>
          <w:b w:val="0"/>
          <w:bCs w:val="0"/>
          <w:sz w:val="32"/>
          <w:szCs w:val="32"/>
        </w:rPr>
        <w:t>附件</w:t>
      </w:r>
      <w:r>
        <w:rPr>
          <w:rStyle w:val="17"/>
          <w:rFonts w:ascii="仿宋" w:hAnsi="仿宋" w:eastAsia="仿宋"/>
          <w:b w:val="0"/>
          <w:bCs w:val="0"/>
          <w:sz w:val="32"/>
          <w:szCs w:val="32"/>
        </w:rPr>
        <w:t>2</w:t>
      </w:r>
      <w:bookmarkEnd w:id="60"/>
    </w:p>
    <w:p>
      <w:pPr>
        <w:spacing w:line="580" w:lineRule="exact"/>
        <w:jc w:val="center"/>
        <w:rPr>
          <w:rFonts w:ascii="黑体" w:hAnsi="黑体" w:eastAsia="黑体" w:cs="方正小标宋简体"/>
          <w:sz w:val="44"/>
          <w:szCs w:val="44"/>
        </w:rPr>
      </w:pPr>
      <w:r>
        <w:rPr>
          <w:rFonts w:ascii="黑体" w:hAnsi="黑体" w:eastAsia="黑体" w:cs="方正小标宋简体"/>
          <w:sz w:val="44"/>
          <w:szCs w:val="44"/>
        </w:rPr>
        <w:t>201</w:t>
      </w:r>
      <w:r>
        <w:rPr>
          <w:rFonts w:hint="eastAsia" w:ascii="黑体" w:hAnsi="黑体" w:eastAsia="黑体" w:cs="方正小标宋简体"/>
          <w:sz w:val="44"/>
          <w:szCs w:val="44"/>
        </w:rPr>
        <w:t>9年医疗服务能力提升项目支出</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绩效评价报告</w:t>
      </w:r>
    </w:p>
    <w:p>
      <w:pPr>
        <w:spacing w:line="580" w:lineRule="exact"/>
        <w:jc w:val="center"/>
        <w:rPr>
          <w:rFonts w:ascii="黑体" w:hAnsi="黑体" w:eastAsia="黑体" w:cs="方正小标宋简体"/>
          <w:sz w:val="44"/>
          <w:szCs w:val="44"/>
        </w:rPr>
      </w:pPr>
    </w:p>
    <w:p>
      <w:pPr>
        <w:spacing w:line="580" w:lineRule="exact"/>
        <w:ind w:firstLine="642" w:firstLineChars="200"/>
        <w:rPr>
          <w:rFonts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一、评价工作开展及项目情况</w:t>
      </w:r>
    </w:p>
    <w:p>
      <w:pPr>
        <w:spacing w:line="560" w:lineRule="exact"/>
        <w:ind w:firstLine="640" w:firstLineChars="200"/>
        <w:rPr>
          <w:rFonts w:ascii="仿宋_GB2312" w:eastAsia="仿宋_GB2312"/>
          <w:bCs/>
          <w:color w:val="000000"/>
          <w:kern w:val="0"/>
          <w:sz w:val="32"/>
          <w:szCs w:val="32"/>
        </w:rPr>
      </w:pPr>
      <w:r>
        <w:rPr>
          <w:rFonts w:hint="eastAsia" w:ascii="仿宋" w:hAnsi="仿宋" w:eastAsia="仿宋" w:cs="仿宋_GB2312"/>
          <w:sz w:val="32"/>
          <w:szCs w:val="32"/>
        </w:rPr>
        <w:t>项目情况：为进一步提高医院医疗服务能力</w:t>
      </w:r>
      <w:r>
        <w:rPr>
          <w:rFonts w:hint="eastAsia" w:ascii="仿宋_GB2312" w:hAnsi="宋体" w:eastAsia="仿宋_GB2312" w:cs="仿宋_GB2312"/>
          <w:color w:val="000000"/>
          <w:kern w:val="0"/>
          <w:sz w:val="32"/>
          <w:szCs w:val="32"/>
          <w:shd w:val="clear" w:color="auto" w:fill="FFFFFF"/>
        </w:rPr>
        <w:t>，</w:t>
      </w:r>
      <w:r>
        <w:rPr>
          <w:rFonts w:hint="eastAsia" w:ascii="仿宋_GB2312" w:eastAsia="仿宋_GB2312"/>
          <w:bCs/>
          <w:color w:val="000000"/>
          <w:kern w:val="0"/>
          <w:sz w:val="32"/>
          <w:szCs w:val="32"/>
        </w:rPr>
        <w:t>加强科教工作，推进全县卫健工作开展。组织全院的教学活动26次，科级学80次，参加人员896人次。为全县16个乡镇卫生院的护理骨干开展护理管理、护理理论与实践操作培训。承办的全县乡村医生培训班，为全县164个村卫生室的228村医开展培训，并通过培训极大提升乡村医生的职业技能。</w:t>
      </w:r>
    </w:p>
    <w:p>
      <w:pPr>
        <w:spacing w:line="580" w:lineRule="exact"/>
        <w:ind w:firstLine="642" w:firstLineChars="200"/>
        <w:rPr>
          <w:rFonts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二、评价结论及绩效分析</w:t>
      </w:r>
    </w:p>
    <w:p>
      <w:pPr>
        <w:spacing w:line="580" w:lineRule="exact"/>
        <w:ind w:firstLine="642" w:firstLineChars="200"/>
        <w:rPr>
          <w:rFonts w:ascii="仿宋" w:hAnsi="仿宋" w:eastAsia="仿宋" w:cs="仿宋_GB2312"/>
          <w:b/>
          <w:bCs/>
          <w:sz w:val="32"/>
          <w:szCs w:val="32"/>
        </w:rPr>
      </w:pPr>
      <w:r>
        <w:rPr>
          <w:rFonts w:hint="eastAsia" w:ascii="仿宋" w:hAnsi="仿宋" w:eastAsia="仿宋" w:cs="仿宋_GB2312"/>
          <w:b/>
          <w:bCs/>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通过项目的实施，对医务人员的医疗业务能力得到提升，医疗业务能力水平有了一定的改善，以后我院将继续坚持为病人服务的工作方针，做好进一步规划，切实执行，争取更好的成效。</w:t>
      </w:r>
    </w:p>
    <w:p>
      <w:pPr>
        <w:spacing w:line="580" w:lineRule="exact"/>
        <w:ind w:firstLine="642" w:firstLineChars="200"/>
        <w:rPr>
          <w:rFonts w:ascii="仿宋" w:hAnsi="仿宋" w:eastAsia="仿宋" w:cs="仿宋_GB2312"/>
          <w:b/>
          <w:bCs/>
          <w:sz w:val="32"/>
          <w:szCs w:val="32"/>
        </w:rPr>
      </w:pPr>
      <w:r>
        <w:rPr>
          <w:rFonts w:hint="eastAsia" w:ascii="仿宋" w:hAnsi="仿宋" w:eastAsia="仿宋" w:cs="仿宋_GB2312"/>
          <w:b/>
          <w:bCs/>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、项目决策</w:t>
      </w:r>
    </w:p>
    <w:p>
      <w:pPr>
        <w:spacing w:line="580" w:lineRule="exact"/>
        <w:ind w:firstLine="640" w:firstLineChars="200"/>
        <w:rPr>
          <w:rFonts w:ascii="仿宋_GB2312" w:hAnsi="宋体" w:eastAsia="仿宋_GB2312" w:cs="仿宋_GB2312"/>
          <w:color w:val="000000"/>
          <w:kern w:val="0"/>
          <w:sz w:val="32"/>
          <w:szCs w:val="32"/>
          <w:shd w:val="clear" w:color="auto" w:fill="FFFFFF"/>
        </w:rPr>
      </w:pPr>
      <w:r>
        <w:rPr>
          <w:rFonts w:hint="eastAsia" w:ascii="仿宋" w:hAnsi="仿宋" w:eastAsia="仿宋" w:cs="仿宋_GB2312"/>
          <w:sz w:val="32"/>
          <w:szCs w:val="32"/>
        </w:rPr>
        <w:t>为进一步提高医院医疗服务能力，</w:t>
      </w:r>
      <w:r>
        <w:rPr>
          <w:rFonts w:hint="eastAsia" w:ascii="仿宋_GB2312" w:hAnsi="宋体" w:eastAsia="仿宋_GB2312" w:cs="仿宋_GB2312"/>
          <w:color w:val="000000"/>
          <w:kern w:val="0"/>
          <w:sz w:val="32"/>
          <w:szCs w:val="32"/>
          <w:shd w:val="clear" w:color="auto" w:fill="FFFFFF"/>
        </w:rPr>
        <w:t>组织医务人员进行岗位大练兵，提高医疗业务水平，更好</w:t>
      </w:r>
      <w:r>
        <w:rPr>
          <w:rFonts w:hint="eastAsia" w:ascii="仿宋_GB2312" w:hAnsi="宋体" w:eastAsia="仿宋_GB2312" w:cs="仿宋_GB2312"/>
          <w:color w:val="000000"/>
          <w:kern w:val="0"/>
          <w:sz w:val="32"/>
          <w:szCs w:val="32"/>
          <w:shd w:val="clear" w:color="auto" w:fill="FFFFFF"/>
          <w:lang w:eastAsia="zh-CN"/>
        </w:rPr>
        <w:t>地</w:t>
      </w:r>
      <w:r>
        <w:rPr>
          <w:rFonts w:hint="eastAsia" w:ascii="仿宋_GB2312" w:hAnsi="宋体" w:eastAsia="仿宋_GB2312" w:cs="仿宋_GB2312"/>
          <w:color w:val="000000"/>
          <w:kern w:val="0"/>
          <w:sz w:val="32"/>
          <w:szCs w:val="32"/>
          <w:shd w:val="clear" w:color="auto" w:fill="FFFFFF"/>
        </w:rPr>
        <w:t>为病人服务。</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、项目管理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2019年该项目我院预算资金8万元；实际使用资金8万元，其中8万元为财政资金—医院医疗服务能力补助。</w:t>
      </w:r>
    </w:p>
    <w:p>
      <w:pPr>
        <w:tabs>
          <w:tab w:val="left" w:pos="1134"/>
        </w:tabs>
        <w:spacing w:line="580" w:lineRule="exact"/>
        <w:ind w:left="709"/>
        <w:rPr>
          <w:rFonts w:ascii="仿宋" w:hAnsi="仿宋" w:eastAsia="仿宋" w:cs="仿宋_GB2312"/>
          <w:sz w:val="32"/>
          <w:szCs w:val="32"/>
        </w:rPr>
      </w:pPr>
      <w:r>
        <w:rPr>
          <w:rFonts w:hint="eastAsia" w:ascii="仿宋" w:hAnsi="仿宋" w:eastAsia="仿宋" w:cs="仿宋_GB2312"/>
          <w:sz w:val="32"/>
          <w:szCs w:val="32"/>
        </w:rPr>
        <w:t>3、项目绩效</w:t>
      </w:r>
    </w:p>
    <w:p>
      <w:pPr>
        <w:spacing w:line="580" w:lineRule="exact"/>
        <w:ind w:firstLine="640" w:firstLineChars="200"/>
        <w:rPr>
          <w:rFonts w:eastAsia="仿宋_GB2312"/>
          <w:sz w:val="32"/>
          <w:szCs w:val="32"/>
        </w:rPr>
      </w:pPr>
      <w:r>
        <w:rPr>
          <w:rFonts w:hint="eastAsia" w:eastAsia="仿宋_GB2312"/>
          <w:sz w:val="32"/>
          <w:szCs w:val="32"/>
        </w:rPr>
        <w:t>2019年为提高医疗业务水平我院完成了对医务人员的学习培训工作，进一步提高我院的医疗业务水平，基本达到预期指标。</w:t>
      </w:r>
    </w:p>
    <w:p>
      <w:pPr>
        <w:spacing w:line="580" w:lineRule="exact"/>
        <w:ind w:firstLine="642" w:firstLineChars="200"/>
        <w:rPr>
          <w:rFonts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三、评价结论及建议</w:t>
      </w:r>
    </w:p>
    <w:p>
      <w:pPr>
        <w:numPr>
          <w:ilvl w:val="1"/>
          <w:numId w:val="5"/>
        </w:numPr>
        <w:spacing w:line="580" w:lineRule="exact"/>
        <w:rPr>
          <w:rFonts w:ascii="仿宋" w:hAnsi="仿宋" w:eastAsia="仿宋" w:cs="仿宋_GB2312"/>
          <w:sz w:val="32"/>
          <w:szCs w:val="32"/>
        </w:rPr>
      </w:pPr>
      <w:r>
        <w:rPr>
          <w:rFonts w:hint="eastAsia" w:ascii="仿宋" w:hAnsi="仿宋" w:eastAsia="仿宋" w:cs="仿宋_GB2312"/>
          <w:sz w:val="32"/>
          <w:szCs w:val="32"/>
        </w:rPr>
        <w:t>存在主要问题</w:t>
      </w:r>
    </w:p>
    <w:p>
      <w:pPr>
        <w:tabs>
          <w:tab w:val="left" w:pos="312"/>
        </w:tabs>
        <w:spacing w:line="58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科室人员积极性不够，学习方式不够多元化。</w:t>
      </w:r>
    </w:p>
    <w:p>
      <w:pPr>
        <w:spacing w:line="580" w:lineRule="exact"/>
        <w:ind w:firstLine="800" w:firstLineChars="250"/>
        <w:rPr>
          <w:rFonts w:ascii="仿宋" w:hAnsi="仿宋" w:eastAsia="仿宋" w:cs="仿宋_GB2312"/>
          <w:sz w:val="32"/>
          <w:szCs w:val="32"/>
        </w:rPr>
      </w:pPr>
      <w:r>
        <w:rPr>
          <w:rFonts w:hint="eastAsia" w:ascii="楷体_GB2312" w:hAnsi="宋体" w:eastAsia="楷体_GB2312"/>
          <w:sz w:val="32"/>
          <w:szCs w:val="32"/>
          <w:lang w:val="zh-CN"/>
        </w:rPr>
        <w:t>（三）</w:t>
      </w:r>
      <w:r>
        <w:rPr>
          <w:rFonts w:hint="eastAsia" w:ascii="仿宋" w:hAnsi="仿宋" w:eastAsia="仿宋" w:cs="仿宋_GB2312"/>
          <w:sz w:val="32"/>
          <w:szCs w:val="32"/>
        </w:rPr>
        <w:t>相关措施建议</w:t>
      </w:r>
    </w:p>
    <w:p>
      <w:pPr>
        <w:tabs>
          <w:tab w:val="left" w:pos="312"/>
        </w:tabs>
        <w:spacing w:line="58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创新模式提高医务人员的积极性。</w:t>
      </w:r>
    </w:p>
    <w:p>
      <w:pPr>
        <w:spacing w:line="580" w:lineRule="exact"/>
        <w:rPr>
          <w:rStyle w:val="17"/>
          <w:rFonts w:ascii="仿宋" w:hAnsi="仿宋" w:eastAsia="仿宋" w:cs="仿宋_GB2312"/>
          <w:b w:val="0"/>
          <w:bCs w:val="0"/>
          <w:kern w:val="2"/>
          <w:sz w:val="32"/>
          <w:szCs w:val="32"/>
        </w:rPr>
      </w:pPr>
    </w:p>
    <w:p>
      <w:pPr>
        <w:spacing w:line="600" w:lineRule="exact"/>
        <w:jc w:val="center"/>
        <w:outlineLvl w:val="0"/>
        <w:rPr>
          <w:rFonts w:ascii="黑体" w:hAnsi="黑体" w:eastAsia="黑体"/>
          <w:color w:val="000000"/>
          <w:sz w:val="44"/>
          <w:szCs w:val="44"/>
        </w:rPr>
      </w:pPr>
      <w:bookmarkStart w:id="61" w:name="_Toc15396618"/>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bCs/>
          <w:kern w:val="44"/>
          <w:sz w:val="44"/>
          <w:szCs w:val="44"/>
        </w:rPr>
      </w:pPr>
      <w:r>
        <w:rPr>
          <w:rFonts w:hint="eastAsia" w:ascii="黑体" w:hAnsi="黑体" w:eastAsia="黑体"/>
          <w:color w:val="000000"/>
          <w:sz w:val="44"/>
          <w:szCs w:val="44"/>
        </w:rPr>
        <w:t>第</w:t>
      </w:r>
      <w:r>
        <w:rPr>
          <w:rStyle w:val="17"/>
          <w:rFonts w:hint="eastAsia" w:ascii="黑体" w:hAnsi="黑体" w:eastAsia="黑体"/>
          <w:b w:val="0"/>
        </w:rPr>
        <w:t>五部分附表</w:t>
      </w:r>
      <w:bookmarkEnd w:id="57"/>
      <w:bookmarkEnd w:id="61"/>
    </w:p>
    <w:p>
      <w:pPr>
        <w:pStyle w:val="3"/>
        <w:rPr>
          <w:rFonts w:ascii="仿宋" w:hAnsi="仿宋" w:eastAsia="仿宋"/>
          <w:color w:val="000000"/>
        </w:rPr>
      </w:pPr>
      <w:bookmarkStart w:id="62" w:name="_Toc15396619"/>
      <w:r>
        <w:rPr>
          <w:rFonts w:hint="eastAsia" w:ascii="仿宋" w:hAnsi="仿宋" w:eastAsia="仿宋"/>
          <w:b w:val="0"/>
          <w:color w:val="000000"/>
        </w:rPr>
        <w:t>一、收</w:t>
      </w:r>
      <w:r>
        <w:rPr>
          <w:rStyle w:val="18"/>
          <w:rFonts w:hint="eastAsia" w:ascii="仿宋" w:hAnsi="仿宋" w:eastAsia="仿宋"/>
          <w:b w:val="0"/>
          <w:bCs w:val="0"/>
        </w:rPr>
        <w:t>入支出决算总表</w:t>
      </w:r>
      <w:bookmarkEnd w:id="62"/>
    </w:p>
    <w:p>
      <w:pPr>
        <w:pStyle w:val="3"/>
        <w:rPr>
          <w:rFonts w:ascii="仿宋" w:hAnsi="仿宋" w:eastAsia="仿宋"/>
          <w:color w:val="000000"/>
        </w:rPr>
      </w:pPr>
      <w:bookmarkStart w:id="63" w:name="_Toc15396620"/>
      <w:r>
        <w:rPr>
          <w:rFonts w:hint="eastAsia" w:ascii="仿宋" w:hAnsi="仿宋" w:eastAsia="仿宋"/>
          <w:b w:val="0"/>
          <w:color w:val="000000"/>
        </w:rPr>
        <w:t>二、收</w:t>
      </w:r>
      <w:r>
        <w:rPr>
          <w:rStyle w:val="18"/>
          <w:rFonts w:hint="eastAsia" w:ascii="仿宋" w:hAnsi="仿宋" w:eastAsia="仿宋"/>
          <w:b w:val="0"/>
          <w:bCs w:val="0"/>
        </w:rPr>
        <w:t>入总表</w:t>
      </w:r>
      <w:bookmarkEnd w:id="63"/>
    </w:p>
    <w:p>
      <w:pPr>
        <w:pStyle w:val="3"/>
        <w:rPr>
          <w:rFonts w:ascii="仿宋" w:hAnsi="仿宋" w:eastAsia="仿宋"/>
          <w:color w:val="000000"/>
        </w:rPr>
      </w:pPr>
      <w:bookmarkStart w:id="64" w:name="_Toc15396621"/>
      <w:r>
        <w:rPr>
          <w:rStyle w:val="18"/>
          <w:rFonts w:hint="eastAsia" w:ascii="仿宋" w:hAnsi="仿宋" w:eastAsia="仿宋"/>
          <w:b w:val="0"/>
          <w:bCs w:val="0"/>
        </w:rPr>
        <w:t>三、</w:t>
      </w:r>
      <w:r>
        <w:rPr>
          <w:rFonts w:hint="eastAsia" w:ascii="仿宋" w:hAnsi="仿宋" w:eastAsia="仿宋"/>
          <w:b w:val="0"/>
          <w:color w:val="000000"/>
        </w:rPr>
        <w:t>支</w:t>
      </w:r>
      <w:r>
        <w:rPr>
          <w:rStyle w:val="18"/>
          <w:rFonts w:hint="eastAsia" w:ascii="仿宋" w:hAnsi="仿宋" w:eastAsia="仿宋"/>
          <w:b w:val="0"/>
          <w:bCs w:val="0"/>
        </w:rPr>
        <w:t>出总表</w:t>
      </w:r>
      <w:bookmarkEnd w:id="64"/>
    </w:p>
    <w:p>
      <w:pPr>
        <w:pStyle w:val="3"/>
        <w:rPr>
          <w:rFonts w:ascii="仿宋" w:hAnsi="仿宋" w:eastAsia="仿宋"/>
          <w:b w:val="0"/>
          <w:color w:val="000000"/>
        </w:rPr>
      </w:pPr>
      <w:bookmarkStart w:id="65" w:name="_Toc15396622"/>
      <w:r>
        <w:rPr>
          <w:rStyle w:val="18"/>
          <w:rFonts w:hint="eastAsia" w:ascii="仿宋" w:hAnsi="仿宋" w:eastAsia="仿宋"/>
          <w:b w:val="0"/>
          <w:bCs w:val="0"/>
        </w:rPr>
        <w:t>四、</w:t>
      </w:r>
      <w:r>
        <w:rPr>
          <w:rFonts w:hint="eastAsia" w:ascii="仿宋" w:hAnsi="仿宋" w:eastAsia="仿宋"/>
          <w:b w:val="0"/>
          <w:color w:val="000000"/>
        </w:rPr>
        <w:t>财</w:t>
      </w:r>
      <w:r>
        <w:rPr>
          <w:rStyle w:val="18"/>
          <w:rFonts w:hint="eastAsia" w:ascii="仿宋" w:hAnsi="仿宋" w:eastAsia="仿宋"/>
          <w:b w:val="0"/>
          <w:bCs w:val="0"/>
        </w:rPr>
        <w:t>政拨款收入支出决算总表</w:t>
      </w:r>
      <w:bookmarkEnd w:id="65"/>
    </w:p>
    <w:p>
      <w:pPr>
        <w:pStyle w:val="3"/>
        <w:rPr>
          <w:rStyle w:val="18"/>
          <w:rFonts w:ascii="仿宋" w:hAnsi="仿宋" w:eastAsia="仿宋"/>
          <w:b w:val="0"/>
          <w:bCs w:val="0"/>
        </w:rPr>
      </w:pPr>
      <w:bookmarkStart w:id="66" w:name="_Toc15396623"/>
      <w:r>
        <w:rPr>
          <w:rStyle w:val="18"/>
          <w:rFonts w:hint="eastAsia" w:ascii="仿宋" w:hAnsi="仿宋" w:eastAsia="仿宋"/>
          <w:b w:val="0"/>
          <w:bCs w:val="0"/>
        </w:rPr>
        <w:t>五、</w:t>
      </w:r>
      <w:r>
        <w:rPr>
          <w:rFonts w:hint="eastAsia" w:ascii="仿宋" w:hAnsi="仿宋" w:eastAsia="仿宋"/>
          <w:b w:val="0"/>
          <w:color w:val="000000"/>
        </w:rPr>
        <w:t>财</w:t>
      </w:r>
      <w:r>
        <w:rPr>
          <w:rStyle w:val="18"/>
          <w:rFonts w:hint="eastAsia" w:ascii="仿宋" w:hAnsi="仿宋" w:eastAsia="仿宋"/>
          <w:b w:val="0"/>
          <w:bCs w:val="0"/>
        </w:rPr>
        <w:t>政拨款支出决算明细表</w:t>
      </w:r>
      <w:bookmarkEnd w:id="66"/>
      <w:bookmarkStart w:id="67" w:name="_Toc15396624"/>
    </w:p>
    <w:p>
      <w:pPr>
        <w:pStyle w:val="3"/>
        <w:rPr>
          <w:rFonts w:ascii="仿宋" w:hAnsi="仿宋" w:eastAsia="仿宋"/>
          <w:color w:val="000000"/>
        </w:rPr>
      </w:pPr>
      <w:r>
        <w:rPr>
          <w:rStyle w:val="18"/>
          <w:rFonts w:hint="eastAsia" w:ascii="仿宋" w:hAnsi="仿宋" w:eastAsia="仿宋"/>
          <w:b w:val="0"/>
          <w:bCs w:val="0"/>
        </w:rPr>
        <w:t>六、</w:t>
      </w:r>
      <w:r>
        <w:rPr>
          <w:rFonts w:hint="eastAsia" w:ascii="仿宋" w:hAnsi="仿宋" w:eastAsia="仿宋"/>
          <w:b w:val="0"/>
          <w:color w:val="000000"/>
        </w:rPr>
        <w:t>一</w:t>
      </w:r>
      <w:r>
        <w:rPr>
          <w:rStyle w:val="18"/>
          <w:rFonts w:hint="eastAsia" w:ascii="仿宋" w:hAnsi="仿宋" w:eastAsia="仿宋"/>
          <w:b w:val="0"/>
          <w:bCs w:val="0"/>
        </w:rPr>
        <w:t>般公共预算财政拨款支出决算表</w:t>
      </w:r>
      <w:bookmarkEnd w:id="67"/>
    </w:p>
    <w:p>
      <w:pPr>
        <w:pStyle w:val="3"/>
        <w:rPr>
          <w:rFonts w:ascii="仿宋" w:hAnsi="仿宋" w:eastAsia="仿宋"/>
          <w:color w:val="000000"/>
        </w:rPr>
      </w:pPr>
      <w:bookmarkStart w:id="68" w:name="_Toc15396625"/>
      <w:r>
        <w:rPr>
          <w:rStyle w:val="18"/>
          <w:rFonts w:hint="eastAsia" w:ascii="仿宋" w:hAnsi="仿宋" w:eastAsia="仿宋"/>
          <w:b w:val="0"/>
          <w:bCs w:val="0"/>
        </w:rPr>
        <w:t>七、</w:t>
      </w:r>
      <w:r>
        <w:rPr>
          <w:rFonts w:hint="eastAsia" w:ascii="仿宋" w:hAnsi="仿宋" w:eastAsia="仿宋"/>
          <w:b w:val="0"/>
          <w:color w:val="000000"/>
        </w:rPr>
        <w:t>一</w:t>
      </w:r>
      <w:r>
        <w:rPr>
          <w:rStyle w:val="18"/>
          <w:rFonts w:hint="eastAsia" w:ascii="仿宋" w:hAnsi="仿宋" w:eastAsia="仿宋"/>
          <w:b w:val="0"/>
          <w:bCs w:val="0"/>
        </w:rPr>
        <w:t>般公共预算财政拨款支出决算明细表</w:t>
      </w:r>
      <w:bookmarkEnd w:id="68"/>
    </w:p>
    <w:p>
      <w:pPr>
        <w:pStyle w:val="3"/>
        <w:rPr>
          <w:rFonts w:ascii="仿宋" w:hAnsi="仿宋" w:eastAsia="仿宋"/>
          <w:color w:val="000000"/>
        </w:rPr>
      </w:pPr>
      <w:bookmarkStart w:id="69" w:name="_Toc15396626"/>
      <w:r>
        <w:rPr>
          <w:rStyle w:val="18"/>
          <w:rFonts w:hint="eastAsia" w:ascii="仿宋" w:hAnsi="仿宋" w:eastAsia="仿宋"/>
          <w:b w:val="0"/>
          <w:bCs w:val="0"/>
        </w:rPr>
        <w:t>八、</w:t>
      </w:r>
      <w:r>
        <w:rPr>
          <w:rFonts w:hint="eastAsia" w:ascii="仿宋" w:hAnsi="仿宋" w:eastAsia="仿宋"/>
          <w:b w:val="0"/>
          <w:color w:val="000000"/>
        </w:rPr>
        <w:t>一</w:t>
      </w:r>
      <w:r>
        <w:rPr>
          <w:rStyle w:val="18"/>
          <w:rFonts w:hint="eastAsia" w:ascii="仿宋" w:hAnsi="仿宋" w:eastAsia="仿宋"/>
          <w:b w:val="0"/>
          <w:bCs w:val="0"/>
        </w:rPr>
        <w:t>般公共预算财政拨款基本支出决算表</w:t>
      </w:r>
      <w:bookmarkEnd w:id="69"/>
    </w:p>
    <w:p>
      <w:pPr>
        <w:pStyle w:val="3"/>
        <w:rPr>
          <w:rFonts w:ascii="仿宋" w:hAnsi="仿宋" w:eastAsia="仿宋"/>
          <w:color w:val="000000"/>
        </w:rPr>
      </w:pPr>
      <w:bookmarkStart w:id="70" w:name="_Toc15396627"/>
      <w:r>
        <w:rPr>
          <w:rStyle w:val="18"/>
          <w:rFonts w:hint="eastAsia" w:ascii="仿宋" w:hAnsi="仿宋" w:eastAsia="仿宋"/>
          <w:b w:val="0"/>
          <w:bCs w:val="0"/>
        </w:rPr>
        <w:t>九、</w:t>
      </w:r>
      <w:r>
        <w:rPr>
          <w:rFonts w:hint="eastAsia" w:ascii="仿宋" w:hAnsi="仿宋" w:eastAsia="仿宋"/>
          <w:b w:val="0"/>
          <w:color w:val="000000"/>
        </w:rPr>
        <w:t>一</w:t>
      </w:r>
      <w:r>
        <w:rPr>
          <w:rStyle w:val="18"/>
          <w:rFonts w:hint="eastAsia" w:ascii="仿宋" w:hAnsi="仿宋" w:eastAsia="仿宋"/>
          <w:b w:val="0"/>
          <w:bCs w:val="0"/>
        </w:rPr>
        <w:t>般公共预算财政拨款项目支出决算表</w:t>
      </w:r>
      <w:bookmarkEnd w:id="70"/>
    </w:p>
    <w:p>
      <w:pPr>
        <w:pStyle w:val="3"/>
        <w:rPr>
          <w:rFonts w:ascii="仿宋" w:hAnsi="仿宋" w:eastAsia="仿宋"/>
          <w:color w:val="000000"/>
        </w:rPr>
      </w:pPr>
      <w:bookmarkStart w:id="71" w:name="_Toc15396628"/>
      <w:r>
        <w:rPr>
          <w:rStyle w:val="18"/>
          <w:rFonts w:hint="eastAsia" w:ascii="仿宋" w:hAnsi="仿宋" w:eastAsia="仿宋"/>
          <w:b w:val="0"/>
          <w:bCs w:val="0"/>
        </w:rPr>
        <w:t>十、</w:t>
      </w:r>
      <w:r>
        <w:rPr>
          <w:rFonts w:hint="eastAsia" w:ascii="仿宋" w:hAnsi="仿宋" w:eastAsia="仿宋"/>
          <w:b w:val="0"/>
          <w:color w:val="000000"/>
        </w:rPr>
        <w:t>一</w:t>
      </w:r>
      <w:r>
        <w:rPr>
          <w:rStyle w:val="18"/>
          <w:rFonts w:hint="eastAsia" w:ascii="仿宋" w:hAnsi="仿宋" w:eastAsia="仿宋"/>
          <w:b w:val="0"/>
          <w:bCs w:val="0"/>
        </w:rPr>
        <w:t>般公共预算财政拨款“三公”经费支出决算表</w:t>
      </w:r>
      <w:bookmarkEnd w:id="71"/>
    </w:p>
    <w:p>
      <w:pPr>
        <w:pStyle w:val="3"/>
        <w:rPr>
          <w:rFonts w:ascii="仿宋" w:hAnsi="仿宋" w:eastAsia="仿宋"/>
          <w:color w:val="000000"/>
        </w:rPr>
      </w:pPr>
      <w:bookmarkStart w:id="72" w:name="_Toc15396629"/>
      <w:r>
        <w:rPr>
          <w:rStyle w:val="18"/>
          <w:rFonts w:hint="eastAsia" w:ascii="仿宋" w:hAnsi="仿宋" w:eastAsia="仿宋"/>
          <w:b w:val="0"/>
          <w:bCs w:val="0"/>
        </w:rPr>
        <w:t>十一、</w:t>
      </w:r>
      <w:r>
        <w:rPr>
          <w:rFonts w:hint="eastAsia" w:ascii="仿宋" w:hAnsi="仿宋" w:eastAsia="仿宋"/>
          <w:b w:val="0"/>
          <w:color w:val="000000"/>
        </w:rPr>
        <w:t>政</w:t>
      </w:r>
      <w:r>
        <w:rPr>
          <w:rStyle w:val="18"/>
          <w:rFonts w:hint="eastAsia" w:ascii="仿宋" w:hAnsi="仿宋" w:eastAsia="仿宋"/>
          <w:b w:val="0"/>
          <w:bCs w:val="0"/>
        </w:rPr>
        <w:t>府性基金预算财政拨款收入支出决算表</w:t>
      </w:r>
      <w:bookmarkEnd w:id="72"/>
    </w:p>
    <w:p>
      <w:pPr>
        <w:pStyle w:val="3"/>
        <w:rPr>
          <w:rFonts w:ascii="仿宋" w:hAnsi="仿宋" w:eastAsia="仿宋"/>
          <w:color w:val="000000"/>
        </w:rPr>
      </w:pPr>
      <w:bookmarkStart w:id="73" w:name="_Toc15396630"/>
      <w:r>
        <w:rPr>
          <w:rStyle w:val="18"/>
          <w:rFonts w:hint="eastAsia" w:ascii="仿宋" w:hAnsi="仿宋" w:eastAsia="仿宋"/>
          <w:b w:val="0"/>
          <w:bCs w:val="0"/>
        </w:rPr>
        <w:t>十二、</w:t>
      </w:r>
      <w:r>
        <w:rPr>
          <w:rFonts w:hint="eastAsia" w:ascii="仿宋" w:hAnsi="仿宋" w:eastAsia="仿宋"/>
          <w:b w:val="0"/>
          <w:color w:val="000000"/>
        </w:rPr>
        <w:t>政</w:t>
      </w:r>
      <w:r>
        <w:rPr>
          <w:rStyle w:val="18"/>
          <w:rFonts w:hint="eastAsia" w:ascii="仿宋" w:hAnsi="仿宋" w:eastAsia="仿宋"/>
          <w:b w:val="0"/>
          <w:bCs w:val="0"/>
        </w:rPr>
        <w:t>府性基金预算财政拨款“三公”经费支出决算表</w:t>
      </w:r>
      <w:bookmarkEnd w:id="73"/>
    </w:p>
    <w:p>
      <w:pPr>
        <w:pStyle w:val="3"/>
        <w:rPr>
          <w:rFonts w:ascii="仿宋" w:hAnsi="仿宋" w:eastAsia="仿宋"/>
          <w:color w:val="000000"/>
        </w:rPr>
      </w:pPr>
      <w:bookmarkStart w:id="74" w:name="_Toc15396631"/>
      <w:r>
        <w:rPr>
          <w:rStyle w:val="18"/>
          <w:rFonts w:hint="eastAsia" w:ascii="仿宋" w:hAnsi="仿宋" w:eastAsia="仿宋"/>
          <w:b w:val="0"/>
          <w:bCs w:val="0"/>
        </w:rPr>
        <w:t>十三、</w:t>
      </w:r>
      <w:r>
        <w:rPr>
          <w:rFonts w:hint="eastAsia" w:ascii="仿宋" w:hAnsi="仿宋" w:eastAsia="仿宋"/>
          <w:b w:val="0"/>
          <w:color w:val="000000"/>
        </w:rPr>
        <w:t>国</w:t>
      </w:r>
      <w:r>
        <w:rPr>
          <w:rStyle w:val="18"/>
          <w:rFonts w:hint="eastAsia" w:ascii="仿宋" w:hAnsi="仿宋" w:eastAsia="仿宋"/>
          <w:b w:val="0"/>
          <w:bCs w:val="0"/>
        </w:rPr>
        <w:t>有资本经营预算支出决算表</w:t>
      </w:r>
      <w:bookmarkEnd w:id="74"/>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A00002BF" w:usb1="38CF7CFA" w:usb2="00082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8</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3">
    <w:nsid w:val="5DA7FD7A"/>
    <w:multiLevelType w:val="singleLevel"/>
    <w:tmpl w:val="5DA7FD7A"/>
    <w:lvl w:ilvl="0" w:tentative="0">
      <w:start w:val="2"/>
      <w:numFmt w:val="chineseCounting"/>
      <w:suff w:val="nothing"/>
      <w:lvlText w:val="（%1）"/>
      <w:lvlJc w:val="left"/>
    </w:lvl>
  </w:abstractNum>
  <w:abstractNum w:abstractNumId="4">
    <w:nsid w:val="694B1F45"/>
    <w:multiLevelType w:val="multilevel"/>
    <w:tmpl w:val="694B1F45"/>
    <w:lvl w:ilvl="0" w:tentative="0">
      <w:start w:val="1"/>
      <w:numFmt w:val="decimal"/>
      <w:lvlText w:val="%1、"/>
      <w:lvlJc w:val="left"/>
      <w:pPr>
        <w:ind w:left="1140" w:hanging="720"/>
      </w:pPr>
      <w:rPr>
        <w:rFonts w:hint="default"/>
      </w:rPr>
    </w:lvl>
    <w:lvl w:ilvl="1" w:tentative="0">
      <w:start w:val="2"/>
      <w:numFmt w:val="japaneseCounting"/>
      <w:lvlText w:val="（%2）"/>
      <w:lvlJc w:val="left"/>
      <w:pPr>
        <w:ind w:left="1920" w:hanging="1080"/>
      </w:pPr>
      <w:rPr>
        <w:rFonts w:hint="default" w:ascii="楷体_GB2312" w:hAnsi="宋体" w:eastAsia="楷体_GB2312" w:cs="Times New Roman"/>
        <w:b w:val="0"/>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F1361C"/>
    <w:rsid w:val="000027AE"/>
    <w:rsid w:val="00006E1C"/>
    <w:rsid w:val="000109F0"/>
    <w:rsid w:val="000172A8"/>
    <w:rsid w:val="000202EB"/>
    <w:rsid w:val="000222C6"/>
    <w:rsid w:val="0002549F"/>
    <w:rsid w:val="00027B62"/>
    <w:rsid w:val="00031EAA"/>
    <w:rsid w:val="00033CB8"/>
    <w:rsid w:val="00041667"/>
    <w:rsid w:val="00042AE6"/>
    <w:rsid w:val="00042F12"/>
    <w:rsid w:val="000538AB"/>
    <w:rsid w:val="000564CA"/>
    <w:rsid w:val="0006487A"/>
    <w:rsid w:val="00065F8F"/>
    <w:rsid w:val="00072D33"/>
    <w:rsid w:val="00074C95"/>
    <w:rsid w:val="000768F2"/>
    <w:rsid w:val="00085365"/>
    <w:rsid w:val="0009184B"/>
    <w:rsid w:val="0009593C"/>
    <w:rsid w:val="000974E5"/>
    <w:rsid w:val="000A00B2"/>
    <w:rsid w:val="000A51B7"/>
    <w:rsid w:val="000A65DE"/>
    <w:rsid w:val="000B047F"/>
    <w:rsid w:val="000B5923"/>
    <w:rsid w:val="000B5A48"/>
    <w:rsid w:val="000B6575"/>
    <w:rsid w:val="000B6FF3"/>
    <w:rsid w:val="000C3008"/>
    <w:rsid w:val="000C3467"/>
    <w:rsid w:val="000C3CA6"/>
    <w:rsid w:val="000D1267"/>
    <w:rsid w:val="000D1D50"/>
    <w:rsid w:val="000D5782"/>
    <w:rsid w:val="000E03A4"/>
    <w:rsid w:val="000E3E7A"/>
    <w:rsid w:val="000E6613"/>
    <w:rsid w:val="000E7119"/>
    <w:rsid w:val="000F7820"/>
    <w:rsid w:val="00114E9B"/>
    <w:rsid w:val="0011730E"/>
    <w:rsid w:val="001227BA"/>
    <w:rsid w:val="00132E81"/>
    <w:rsid w:val="00135E40"/>
    <w:rsid w:val="00136377"/>
    <w:rsid w:val="0014016C"/>
    <w:rsid w:val="0014729F"/>
    <w:rsid w:val="0015661E"/>
    <w:rsid w:val="00157BAB"/>
    <w:rsid w:val="001650C3"/>
    <w:rsid w:val="001654D1"/>
    <w:rsid w:val="001703AC"/>
    <w:rsid w:val="001756AD"/>
    <w:rsid w:val="0018106D"/>
    <w:rsid w:val="0018615F"/>
    <w:rsid w:val="001877A7"/>
    <w:rsid w:val="00191536"/>
    <w:rsid w:val="00196687"/>
    <w:rsid w:val="001A539D"/>
    <w:rsid w:val="001A6AE4"/>
    <w:rsid w:val="001B0A0D"/>
    <w:rsid w:val="001B3BDA"/>
    <w:rsid w:val="001B52BB"/>
    <w:rsid w:val="001C0962"/>
    <w:rsid w:val="001C695E"/>
    <w:rsid w:val="001D16B2"/>
    <w:rsid w:val="001D2D03"/>
    <w:rsid w:val="001D7531"/>
    <w:rsid w:val="001E72FA"/>
    <w:rsid w:val="001E737D"/>
    <w:rsid w:val="001F0592"/>
    <w:rsid w:val="001F21BD"/>
    <w:rsid w:val="001F44B4"/>
    <w:rsid w:val="001F7506"/>
    <w:rsid w:val="002006CD"/>
    <w:rsid w:val="00202B36"/>
    <w:rsid w:val="00204B7A"/>
    <w:rsid w:val="0021101A"/>
    <w:rsid w:val="00211993"/>
    <w:rsid w:val="00211E35"/>
    <w:rsid w:val="00220536"/>
    <w:rsid w:val="002214CA"/>
    <w:rsid w:val="00226528"/>
    <w:rsid w:val="00235629"/>
    <w:rsid w:val="002358E4"/>
    <w:rsid w:val="002401BB"/>
    <w:rsid w:val="002409B2"/>
    <w:rsid w:val="0024455C"/>
    <w:rsid w:val="002479D4"/>
    <w:rsid w:val="00260C38"/>
    <w:rsid w:val="002616C0"/>
    <w:rsid w:val="002662AA"/>
    <w:rsid w:val="00267328"/>
    <w:rsid w:val="00274A43"/>
    <w:rsid w:val="00280496"/>
    <w:rsid w:val="0028174A"/>
    <w:rsid w:val="0028375A"/>
    <w:rsid w:val="00291473"/>
    <w:rsid w:val="0029527E"/>
    <w:rsid w:val="00295495"/>
    <w:rsid w:val="002955F8"/>
    <w:rsid w:val="00295EEC"/>
    <w:rsid w:val="002A0846"/>
    <w:rsid w:val="002A486C"/>
    <w:rsid w:val="002B1EC2"/>
    <w:rsid w:val="002B2613"/>
    <w:rsid w:val="002B6BD2"/>
    <w:rsid w:val="002B7A2E"/>
    <w:rsid w:val="002B7B64"/>
    <w:rsid w:val="002C13CC"/>
    <w:rsid w:val="002C48BF"/>
    <w:rsid w:val="002C6EBF"/>
    <w:rsid w:val="002D6DB6"/>
    <w:rsid w:val="002D7AA7"/>
    <w:rsid w:val="002E1272"/>
    <w:rsid w:val="002F0883"/>
    <w:rsid w:val="002F1818"/>
    <w:rsid w:val="002F2607"/>
    <w:rsid w:val="002F3D26"/>
    <w:rsid w:val="002F567B"/>
    <w:rsid w:val="002F5D37"/>
    <w:rsid w:val="002F7E52"/>
    <w:rsid w:val="00301A92"/>
    <w:rsid w:val="00301CCF"/>
    <w:rsid w:val="003066B4"/>
    <w:rsid w:val="003077FE"/>
    <w:rsid w:val="003105BB"/>
    <w:rsid w:val="003216A9"/>
    <w:rsid w:val="00342D2D"/>
    <w:rsid w:val="00357714"/>
    <w:rsid w:val="003632EA"/>
    <w:rsid w:val="0037013F"/>
    <w:rsid w:val="00371D78"/>
    <w:rsid w:val="003741E6"/>
    <w:rsid w:val="00380C92"/>
    <w:rsid w:val="003A0F03"/>
    <w:rsid w:val="003A484F"/>
    <w:rsid w:val="003B0BE0"/>
    <w:rsid w:val="003B0C1B"/>
    <w:rsid w:val="003B1609"/>
    <w:rsid w:val="003B368E"/>
    <w:rsid w:val="003B5740"/>
    <w:rsid w:val="003B688C"/>
    <w:rsid w:val="003C0291"/>
    <w:rsid w:val="003C39AE"/>
    <w:rsid w:val="003C7B60"/>
    <w:rsid w:val="003D05B8"/>
    <w:rsid w:val="003D1398"/>
    <w:rsid w:val="003D1FB2"/>
    <w:rsid w:val="003D66DA"/>
    <w:rsid w:val="003E02F1"/>
    <w:rsid w:val="003E1310"/>
    <w:rsid w:val="003E6F55"/>
    <w:rsid w:val="003F504A"/>
    <w:rsid w:val="0040470F"/>
    <w:rsid w:val="00406254"/>
    <w:rsid w:val="0041054F"/>
    <w:rsid w:val="00417172"/>
    <w:rsid w:val="00421B27"/>
    <w:rsid w:val="00421E66"/>
    <w:rsid w:val="004223DE"/>
    <w:rsid w:val="00434489"/>
    <w:rsid w:val="00437085"/>
    <w:rsid w:val="00440C73"/>
    <w:rsid w:val="004417E1"/>
    <w:rsid w:val="00442297"/>
    <w:rsid w:val="00443238"/>
    <w:rsid w:val="004433A8"/>
    <w:rsid w:val="00443880"/>
    <w:rsid w:val="00445E49"/>
    <w:rsid w:val="004464F4"/>
    <w:rsid w:val="004668B3"/>
    <w:rsid w:val="00466CB4"/>
    <w:rsid w:val="00471401"/>
    <w:rsid w:val="00473F31"/>
    <w:rsid w:val="0048263A"/>
    <w:rsid w:val="004864A5"/>
    <w:rsid w:val="00487287"/>
    <w:rsid w:val="00487E5D"/>
    <w:rsid w:val="00493EAB"/>
    <w:rsid w:val="00494D52"/>
    <w:rsid w:val="004A3E2B"/>
    <w:rsid w:val="004A711F"/>
    <w:rsid w:val="004B0D43"/>
    <w:rsid w:val="004B1551"/>
    <w:rsid w:val="004B199D"/>
    <w:rsid w:val="004B310D"/>
    <w:rsid w:val="004B4690"/>
    <w:rsid w:val="004B50F0"/>
    <w:rsid w:val="004B76AD"/>
    <w:rsid w:val="004C25F6"/>
    <w:rsid w:val="004D1516"/>
    <w:rsid w:val="004E00E6"/>
    <w:rsid w:val="004E0A2D"/>
    <w:rsid w:val="004E206B"/>
    <w:rsid w:val="004E2189"/>
    <w:rsid w:val="004E6DF7"/>
    <w:rsid w:val="004F0FBD"/>
    <w:rsid w:val="004F29E2"/>
    <w:rsid w:val="004F50A1"/>
    <w:rsid w:val="00503756"/>
    <w:rsid w:val="00505A47"/>
    <w:rsid w:val="0050777F"/>
    <w:rsid w:val="00512688"/>
    <w:rsid w:val="00512FDA"/>
    <w:rsid w:val="00520DA0"/>
    <w:rsid w:val="00542091"/>
    <w:rsid w:val="00542D6C"/>
    <w:rsid w:val="00543C35"/>
    <w:rsid w:val="0056199E"/>
    <w:rsid w:val="0056555D"/>
    <w:rsid w:val="005664BB"/>
    <w:rsid w:val="0057481D"/>
    <w:rsid w:val="0058486E"/>
    <w:rsid w:val="00592D46"/>
    <w:rsid w:val="005952E7"/>
    <w:rsid w:val="005A1DF0"/>
    <w:rsid w:val="005A3A4F"/>
    <w:rsid w:val="005C3C8C"/>
    <w:rsid w:val="005C49E1"/>
    <w:rsid w:val="005D1C8B"/>
    <w:rsid w:val="005D5CED"/>
    <w:rsid w:val="005D6F32"/>
    <w:rsid w:val="005E11C3"/>
    <w:rsid w:val="005E5924"/>
    <w:rsid w:val="005E64BD"/>
    <w:rsid w:val="005E6F1E"/>
    <w:rsid w:val="005F1A4C"/>
    <w:rsid w:val="005F3677"/>
    <w:rsid w:val="00601418"/>
    <w:rsid w:val="006034D7"/>
    <w:rsid w:val="00605688"/>
    <w:rsid w:val="006070AF"/>
    <w:rsid w:val="00607E6C"/>
    <w:rsid w:val="006101B1"/>
    <w:rsid w:val="00612C6E"/>
    <w:rsid w:val="00612FFB"/>
    <w:rsid w:val="00614666"/>
    <w:rsid w:val="00614E44"/>
    <w:rsid w:val="00622830"/>
    <w:rsid w:val="00630AEF"/>
    <w:rsid w:val="006325F8"/>
    <w:rsid w:val="00634C9A"/>
    <w:rsid w:val="006440E4"/>
    <w:rsid w:val="006456DF"/>
    <w:rsid w:val="00651CDE"/>
    <w:rsid w:val="00652DFC"/>
    <w:rsid w:val="00653B57"/>
    <w:rsid w:val="00654FFC"/>
    <w:rsid w:val="0065626F"/>
    <w:rsid w:val="00661790"/>
    <w:rsid w:val="0066343B"/>
    <w:rsid w:val="00664644"/>
    <w:rsid w:val="00664777"/>
    <w:rsid w:val="00667F95"/>
    <w:rsid w:val="00673285"/>
    <w:rsid w:val="006748A4"/>
    <w:rsid w:val="00674EC9"/>
    <w:rsid w:val="00683E73"/>
    <w:rsid w:val="006A0D8E"/>
    <w:rsid w:val="006A1538"/>
    <w:rsid w:val="006A3141"/>
    <w:rsid w:val="006A4DAE"/>
    <w:rsid w:val="006A5E34"/>
    <w:rsid w:val="006B0599"/>
    <w:rsid w:val="006B10B3"/>
    <w:rsid w:val="006B2422"/>
    <w:rsid w:val="006B2B9A"/>
    <w:rsid w:val="006B370E"/>
    <w:rsid w:val="006C1937"/>
    <w:rsid w:val="006C2E90"/>
    <w:rsid w:val="006E3A22"/>
    <w:rsid w:val="006E4348"/>
    <w:rsid w:val="006E775A"/>
    <w:rsid w:val="006F020C"/>
    <w:rsid w:val="006F1E59"/>
    <w:rsid w:val="006F286A"/>
    <w:rsid w:val="006F44E8"/>
    <w:rsid w:val="006F74A6"/>
    <w:rsid w:val="0070547D"/>
    <w:rsid w:val="007127B7"/>
    <w:rsid w:val="0071303E"/>
    <w:rsid w:val="00713AD6"/>
    <w:rsid w:val="00730575"/>
    <w:rsid w:val="00735F2B"/>
    <w:rsid w:val="00737E76"/>
    <w:rsid w:val="007416B6"/>
    <w:rsid w:val="00746F48"/>
    <w:rsid w:val="0075404D"/>
    <w:rsid w:val="00756DE2"/>
    <w:rsid w:val="00757C0A"/>
    <w:rsid w:val="0076182A"/>
    <w:rsid w:val="00767B7E"/>
    <w:rsid w:val="007770C3"/>
    <w:rsid w:val="007840A0"/>
    <w:rsid w:val="00784D24"/>
    <w:rsid w:val="007853B0"/>
    <w:rsid w:val="00785FBA"/>
    <w:rsid w:val="00786E4A"/>
    <w:rsid w:val="007875EB"/>
    <w:rsid w:val="007907DB"/>
    <w:rsid w:val="0079426B"/>
    <w:rsid w:val="007A0198"/>
    <w:rsid w:val="007A32FF"/>
    <w:rsid w:val="007B1BE0"/>
    <w:rsid w:val="007C2200"/>
    <w:rsid w:val="007C60FB"/>
    <w:rsid w:val="007D312A"/>
    <w:rsid w:val="007D31FD"/>
    <w:rsid w:val="007D3F19"/>
    <w:rsid w:val="007E1363"/>
    <w:rsid w:val="007E23B0"/>
    <w:rsid w:val="007E70FF"/>
    <w:rsid w:val="007F1991"/>
    <w:rsid w:val="007F2164"/>
    <w:rsid w:val="007F2C2F"/>
    <w:rsid w:val="007F4006"/>
    <w:rsid w:val="007F55FC"/>
    <w:rsid w:val="007F5665"/>
    <w:rsid w:val="007F7233"/>
    <w:rsid w:val="00800112"/>
    <w:rsid w:val="00805E17"/>
    <w:rsid w:val="008060E3"/>
    <w:rsid w:val="008253BB"/>
    <w:rsid w:val="0083094F"/>
    <w:rsid w:val="008358A8"/>
    <w:rsid w:val="00836E57"/>
    <w:rsid w:val="0083706E"/>
    <w:rsid w:val="008423A5"/>
    <w:rsid w:val="00850625"/>
    <w:rsid w:val="00853718"/>
    <w:rsid w:val="00855221"/>
    <w:rsid w:val="00860645"/>
    <w:rsid w:val="008646D4"/>
    <w:rsid w:val="00871A45"/>
    <w:rsid w:val="00871F71"/>
    <w:rsid w:val="008760C2"/>
    <w:rsid w:val="0087689E"/>
    <w:rsid w:val="008840B8"/>
    <w:rsid w:val="00884472"/>
    <w:rsid w:val="00885AF4"/>
    <w:rsid w:val="00885BC8"/>
    <w:rsid w:val="00886DA0"/>
    <w:rsid w:val="00891264"/>
    <w:rsid w:val="00891563"/>
    <w:rsid w:val="008939CD"/>
    <w:rsid w:val="008A773A"/>
    <w:rsid w:val="008B1CDC"/>
    <w:rsid w:val="008B472D"/>
    <w:rsid w:val="008B768C"/>
    <w:rsid w:val="008C4DB1"/>
    <w:rsid w:val="008C4EAF"/>
    <w:rsid w:val="008C5176"/>
    <w:rsid w:val="008C7FD0"/>
    <w:rsid w:val="008E1DE7"/>
    <w:rsid w:val="008E707C"/>
    <w:rsid w:val="008F4358"/>
    <w:rsid w:val="008F7776"/>
    <w:rsid w:val="00900B08"/>
    <w:rsid w:val="00902155"/>
    <w:rsid w:val="00902FA3"/>
    <w:rsid w:val="009040F5"/>
    <w:rsid w:val="00905B90"/>
    <w:rsid w:val="00907BE1"/>
    <w:rsid w:val="00916244"/>
    <w:rsid w:val="00923564"/>
    <w:rsid w:val="0092392E"/>
    <w:rsid w:val="009315F9"/>
    <w:rsid w:val="00933447"/>
    <w:rsid w:val="0094172E"/>
    <w:rsid w:val="00944958"/>
    <w:rsid w:val="00946945"/>
    <w:rsid w:val="00946A2D"/>
    <w:rsid w:val="00946B6F"/>
    <w:rsid w:val="00950C7D"/>
    <w:rsid w:val="00951248"/>
    <w:rsid w:val="0095152F"/>
    <w:rsid w:val="00954C49"/>
    <w:rsid w:val="00966A00"/>
    <w:rsid w:val="0097099F"/>
    <w:rsid w:val="00971997"/>
    <w:rsid w:val="00971FFC"/>
    <w:rsid w:val="00973740"/>
    <w:rsid w:val="0097444E"/>
    <w:rsid w:val="009756C4"/>
    <w:rsid w:val="00975708"/>
    <w:rsid w:val="00977E53"/>
    <w:rsid w:val="0098660A"/>
    <w:rsid w:val="00987B53"/>
    <w:rsid w:val="0099278B"/>
    <w:rsid w:val="009931C3"/>
    <w:rsid w:val="00994197"/>
    <w:rsid w:val="00996595"/>
    <w:rsid w:val="00997AE2"/>
    <w:rsid w:val="009B2C43"/>
    <w:rsid w:val="009B4EAE"/>
    <w:rsid w:val="009B7573"/>
    <w:rsid w:val="009B7989"/>
    <w:rsid w:val="009C22F4"/>
    <w:rsid w:val="009C2E98"/>
    <w:rsid w:val="009D3155"/>
    <w:rsid w:val="009D3447"/>
    <w:rsid w:val="009D4711"/>
    <w:rsid w:val="009D4C36"/>
    <w:rsid w:val="009D5379"/>
    <w:rsid w:val="009D5BF7"/>
    <w:rsid w:val="009D5E2D"/>
    <w:rsid w:val="009E34D1"/>
    <w:rsid w:val="009E3706"/>
    <w:rsid w:val="009F1185"/>
    <w:rsid w:val="009F18CD"/>
    <w:rsid w:val="009F2A13"/>
    <w:rsid w:val="009F356A"/>
    <w:rsid w:val="009F4179"/>
    <w:rsid w:val="00A04EB0"/>
    <w:rsid w:val="00A05A42"/>
    <w:rsid w:val="00A105EC"/>
    <w:rsid w:val="00A13CC1"/>
    <w:rsid w:val="00A16847"/>
    <w:rsid w:val="00A176E2"/>
    <w:rsid w:val="00A21B86"/>
    <w:rsid w:val="00A223F0"/>
    <w:rsid w:val="00A237D8"/>
    <w:rsid w:val="00A268C4"/>
    <w:rsid w:val="00A307CD"/>
    <w:rsid w:val="00A35FCA"/>
    <w:rsid w:val="00A40A00"/>
    <w:rsid w:val="00A4142F"/>
    <w:rsid w:val="00A41D5C"/>
    <w:rsid w:val="00A52D7F"/>
    <w:rsid w:val="00A554B0"/>
    <w:rsid w:val="00A56DF2"/>
    <w:rsid w:val="00A603C6"/>
    <w:rsid w:val="00A60499"/>
    <w:rsid w:val="00A62EB8"/>
    <w:rsid w:val="00A635A6"/>
    <w:rsid w:val="00A64B44"/>
    <w:rsid w:val="00A67AB5"/>
    <w:rsid w:val="00A70615"/>
    <w:rsid w:val="00A71B2D"/>
    <w:rsid w:val="00A76E9F"/>
    <w:rsid w:val="00A802A7"/>
    <w:rsid w:val="00A91760"/>
    <w:rsid w:val="00A93B00"/>
    <w:rsid w:val="00A93C21"/>
    <w:rsid w:val="00AA3E4C"/>
    <w:rsid w:val="00AB1C22"/>
    <w:rsid w:val="00AB1DD8"/>
    <w:rsid w:val="00AB3453"/>
    <w:rsid w:val="00AC2BF5"/>
    <w:rsid w:val="00AC3C6A"/>
    <w:rsid w:val="00AD5620"/>
    <w:rsid w:val="00AD56F0"/>
    <w:rsid w:val="00AD7C1B"/>
    <w:rsid w:val="00AE16BA"/>
    <w:rsid w:val="00AE1EBE"/>
    <w:rsid w:val="00AE7299"/>
    <w:rsid w:val="00AE7D9D"/>
    <w:rsid w:val="00B02CBE"/>
    <w:rsid w:val="00B03C9D"/>
    <w:rsid w:val="00B060AE"/>
    <w:rsid w:val="00B10331"/>
    <w:rsid w:val="00B10517"/>
    <w:rsid w:val="00B13DD1"/>
    <w:rsid w:val="00B14873"/>
    <w:rsid w:val="00B14E76"/>
    <w:rsid w:val="00B151BB"/>
    <w:rsid w:val="00B161B8"/>
    <w:rsid w:val="00B2048C"/>
    <w:rsid w:val="00B310B9"/>
    <w:rsid w:val="00B33FD5"/>
    <w:rsid w:val="00B35F3F"/>
    <w:rsid w:val="00B36CBB"/>
    <w:rsid w:val="00B425E0"/>
    <w:rsid w:val="00B43C32"/>
    <w:rsid w:val="00B440AA"/>
    <w:rsid w:val="00B44B70"/>
    <w:rsid w:val="00B45894"/>
    <w:rsid w:val="00B51CD6"/>
    <w:rsid w:val="00B53C56"/>
    <w:rsid w:val="00B5448D"/>
    <w:rsid w:val="00B57346"/>
    <w:rsid w:val="00B61E82"/>
    <w:rsid w:val="00B63728"/>
    <w:rsid w:val="00B77EA6"/>
    <w:rsid w:val="00B81598"/>
    <w:rsid w:val="00B841F1"/>
    <w:rsid w:val="00B9038C"/>
    <w:rsid w:val="00B93000"/>
    <w:rsid w:val="00B944D6"/>
    <w:rsid w:val="00BA72A0"/>
    <w:rsid w:val="00BA7E8E"/>
    <w:rsid w:val="00BB4DF0"/>
    <w:rsid w:val="00BB6026"/>
    <w:rsid w:val="00BC289F"/>
    <w:rsid w:val="00BC5361"/>
    <w:rsid w:val="00BC5460"/>
    <w:rsid w:val="00BC5FC2"/>
    <w:rsid w:val="00BC643D"/>
    <w:rsid w:val="00BC6B50"/>
    <w:rsid w:val="00BC7B22"/>
    <w:rsid w:val="00BD0E25"/>
    <w:rsid w:val="00BE15DC"/>
    <w:rsid w:val="00BE74D5"/>
    <w:rsid w:val="00BF0B90"/>
    <w:rsid w:val="00BF445D"/>
    <w:rsid w:val="00BF5BD6"/>
    <w:rsid w:val="00BF76A8"/>
    <w:rsid w:val="00C007B7"/>
    <w:rsid w:val="00C0154B"/>
    <w:rsid w:val="00C03E31"/>
    <w:rsid w:val="00C073EF"/>
    <w:rsid w:val="00C116EE"/>
    <w:rsid w:val="00C207C6"/>
    <w:rsid w:val="00C24AEB"/>
    <w:rsid w:val="00C274DC"/>
    <w:rsid w:val="00C33E72"/>
    <w:rsid w:val="00C354B2"/>
    <w:rsid w:val="00C35554"/>
    <w:rsid w:val="00C42709"/>
    <w:rsid w:val="00C5007D"/>
    <w:rsid w:val="00C509CE"/>
    <w:rsid w:val="00C533CC"/>
    <w:rsid w:val="00C5440F"/>
    <w:rsid w:val="00C55373"/>
    <w:rsid w:val="00C574C9"/>
    <w:rsid w:val="00C5751C"/>
    <w:rsid w:val="00C61BFC"/>
    <w:rsid w:val="00C62308"/>
    <w:rsid w:val="00C62B85"/>
    <w:rsid w:val="00C65438"/>
    <w:rsid w:val="00C84554"/>
    <w:rsid w:val="00C848DE"/>
    <w:rsid w:val="00C91CBB"/>
    <w:rsid w:val="00CA0EFA"/>
    <w:rsid w:val="00CB6CD3"/>
    <w:rsid w:val="00CC09B6"/>
    <w:rsid w:val="00CC3728"/>
    <w:rsid w:val="00CC666F"/>
    <w:rsid w:val="00CD134E"/>
    <w:rsid w:val="00CD1E3F"/>
    <w:rsid w:val="00CD7625"/>
    <w:rsid w:val="00CE44F6"/>
    <w:rsid w:val="00CE49DA"/>
    <w:rsid w:val="00CE7B61"/>
    <w:rsid w:val="00CE7F12"/>
    <w:rsid w:val="00D00095"/>
    <w:rsid w:val="00D027A5"/>
    <w:rsid w:val="00D07E66"/>
    <w:rsid w:val="00D10E39"/>
    <w:rsid w:val="00D131DB"/>
    <w:rsid w:val="00D1456A"/>
    <w:rsid w:val="00D14933"/>
    <w:rsid w:val="00D159B3"/>
    <w:rsid w:val="00D16B82"/>
    <w:rsid w:val="00D20620"/>
    <w:rsid w:val="00D26091"/>
    <w:rsid w:val="00D32216"/>
    <w:rsid w:val="00D34164"/>
    <w:rsid w:val="00D34E7C"/>
    <w:rsid w:val="00D35489"/>
    <w:rsid w:val="00D35EF4"/>
    <w:rsid w:val="00D36D22"/>
    <w:rsid w:val="00D41038"/>
    <w:rsid w:val="00D44740"/>
    <w:rsid w:val="00D456AB"/>
    <w:rsid w:val="00D45D7E"/>
    <w:rsid w:val="00D51276"/>
    <w:rsid w:val="00D516DE"/>
    <w:rsid w:val="00D51C0D"/>
    <w:rsid w:val="00D53450"/>
    <w:rsid w:val="00D55FA7"/>
    <w:rsid w:val="00D64CC9"/>
    <w:rsid w:val="00D7035F"/>
    <w:rsid w:val="00D70FFD"/>
    <w:rsid w:val="00D716A1"/>
    <w:rsid w:val="00D73F6E"/>
    <w:rsid w:val="00D835FB"/>
    <w:rsid w:val="00D9797B"/>
    <w:rsid w:val="00DA360E"/>
    <w:rsid w:val="00DA65AC"/>
    <w:rsid w:val="00DB0F51"/>
    <w:rsid w:val="00DB1913"/>
    <w:rsid w:val="00DB5A76"/>
    <w:rsid w:val="00DC410D"/>
    <w:rsid w:val="00DC61F9"/>
    <w:rsid w:val="00DC68CA"/>
    <w:rsid w:val="00DC7CBA"/>
    <w:rsid w:val="00DD73B7"/>
    <w:rsid w:val="00DF0AA9"/>
    <w:rsid w:val="00DF28BC"/>
    <w:rsid w:val="00DF3205"/>
    <w:rsid w:val="00DF34B9"/>
    <w:rsid w:val="00DF4770"/>
    <w:rsid w:val="00DF7044"/>
    <w:rsid w:val="00DF7E71"/>
    <w:rsid w:val="00E00041"/>
    <w:rsid w:val="00E00E4C"/>
    <w:rsid w:val="00E01053"/>
    <w:rsid w:val="00E0276F"/>
    <w:rsid w:val="00E02C24"/>
    <w:rsid w:val="00E07ACF"/>
    <w:rsid w:val="00E1016C"/>
    <w:rsid w:val="00E3170A"/>
    <w:rsid w:val="00E331A1"/>
    <w:rsid w:val="00E33202"/>
    <w:rsid w:val="00E336A9"/>
    <w:rsid w:val="00E35483"/>
    <w:rsid w:val="00E4369F"/>
    <w:rsid w:val="00E45AF7"/>
    <w:rsid w:val="00E50624"/>
    <w:rsid w:val="00E52D4C"/>
    <w:rsid w:val="00E568DF"/>
    <w:rsid w:val="00E5765F"/>
    <w:rsid w:val="00E64269"/>
    <w:rsid w:val="00E709C1"/>
    <w:rsid w:val="00E76CE8"/>
    <w:rsid w:val="00E82267"/>
    <w:rsid w:val="00E8274F"/>
    <w:rsid w:val="00E82B45"/>
    <w:rsid w:val="00E84DFF"/>
    <w:rsid w:val="00E91588"/>
    <w:rsid w:val="00E95BB6"/>
    <w:rsid w:val="00E97A01"/>
    <w:rsid w:val="00EA010F"/>
    <w:rsid w:val="00EA154E"/>
    <w:rsid w:val="00EA1860"/>
    <w:rsid w:val="00EA21A2"/>
    <w:rsid w:val="00EB5BB0"/>
    <w:rsid w:val="00EC5AD1"/>
    <w:rsid w:val="00ED1B63"/>
    <w:rsid w:val="00ED3C1F"/>
    <w:rsid w:val="00ED4085"/>
    <w:rsid w:val="00ED420E"/>
    <w:rsid w:val="00EE2F57"/>
    <w:rsid w:val="00EE41F8"/>
    <w:rsid w:val="00EE68BF"/>
    <w:rsid w:val="00EF4C34"/>
    <w:rsid w:val="00EF77C6"/>
    <w:rsid w:val="00F03A7F"/>
    <w:rsid w:val="00F05438"/>
    <w:rsid w:val="00F0600E"/>
    <w:rsid w:val="00F1361C"/>
    <w:rsid w:val="00F145B3"/>
    <w:rsid w:val="00F15AEF"/>
    <w:rsid w:val="00F160C7"/>
    <w:rsid w:val="00F16DE3"/>
    <w:rsid w:val="00F24E3D"/>
    <w:rsid w:val="00F25E3D"/>
    <w:rsid w:val="00F311C5"/>
    <w:rsid w:val="00F36714"/>
    <w:rsid w:val="00F36D8F"/>
    <w:rsid w:val="00F377BE"/>
    <w:rsid w:val="00F417B1"/>
    <w:rsid w:val="00F43149"/>
    <w:rsid w:val="00F44C7D"/>
    <w:rsid w:val="00F4517E"/>
    <w:rsid w:val="00F46A43"/>
    <w:rsid w:val="00F602DF"/>
    <w:rsid w:val="00F703FD"/>
    <w:rsid w:val="00F7115B"/>
    <w:rsid w:val="00F81FD9"/>
    <w:rsid w:val="00F841AA"/>
    <w:rsid w:val="00F84B99"/>
    <w:rsid w:val="00F87FCD"/>
    <w:rsid w:val="00F90CFB"/>
    <w:rsid w:val="00FA23E8"/>
    <w:rsid w:val="00FA445B"/>
    <w:rsid w:val="00FA7BF9"/>
    <w:rsid w:val="00FB35D6"/>
    <w:rsid w:val="00FC0B08"/>
    <w:rsid w:val="00FD3CC1"/>
    <w:rsid w:val="00FE49A6"/>
    <w:rsid w:val="00FF1E02"/>
    <w:rsid w:val="00FF2445"/>
    <w:rsid w:val="00FF30B4"/>
    <w:rsid w:val="0ACC6624"/>
    <w:rsid w:val="10C055FF"/>
    <w:rsid w:val="16BB723D"/>
    <w:rsid w:val="194664F2"/>
    <w:rsid w:val="240371BF"/>
    <w:rsid w:val="260F0E8F"/>
    <w:rsid w:val="29FD04D3"/>
    <w:rsid w:val="319F7F4E"/>
    <w:rsid w:val="63074963"/>
    <w:rsid w:val="78535291"/>
    <w:rsid w:val="FFCD16A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9"/>
    <w:qFormat/>
    <w:uiPriority w:val="9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仿宋_GB2312" w:eastAsia="仿宋_GB2312"/>
      <w:kern w:val="0"/>
      <w:sz w:val="24"/>
      <w:szCs w:val="20"/>
    </w:rPr>
  </w:style>
  <w:style w:type="paragraph" w:styleId="6">
    <w:name w:val="toc 3"/>
    <w:basedOn w:val="1"/>
    <w:next w:val="1"/>
    <w:qFormat/>
    <w:uiPriority w:val="99"/>
    <w:pPr>
      <w:tabs>
        <w:tab w:val="right" w:leader="dot" w:pos="8296"/>
      </w:tabs>
      <w:ind w:left="840" w:leftChars="400"/>
    </w:pPr>
  </w:style>
  <w:style w:type="paragraph" w:styleId="7">
    <w:name w:val="Plain Text"/>
    <w:basedOn w:val="1"/>
    <w:link w:val="31"/>
    <w:qFormat/>
    <w:uiPriority w:val="0"/>
    <w:rPr>
      <w:rFonts w:ascii="宋体" w:hAnsi="Courier New"/>
      <w:szCs w:val="21"/>
    </w:rPr>
  </w:style>
  <w:style w:type="paragraph" w:styleId="8">
    <w:name w:val="Balloon Text"/>
    <w:basedOn w:val="1"/>
    <w:link w:val="29"/>
    <w:semiHidden/>
    <w:qFormat/>
    <w:uiPriority w:val="99"/>
    <w:rPr>
      <w:sz w:val="18"/>
      <w:szCs w:val="18"/>
    </w:rPr>
  </w:style>
  <w:style w:type="paragraph" w:styleId="9">
    <w:name w:val="footer"/>
    <w:basedOn w:val="1"/>
    <w:link w:val="24"/>
    <w:qFormat/>
    <w:uiPriority w:val="99"/>
    <w:pPr>
      <w:tabs>
        <w:tab w:val="center" w:pos="4153"/>
        <w:tab w:val="right" w:pos="8306"/>
      </w:tabs>
      <w:snapToGrid w:val="0"/>
      <w:jc w:val="left"/>
    </w:pPr>
    <w:rPr>
      <w:rFonts w:ascii="Calibri" w:hAnsi="Calibri"/>
      <w:kern w:val="0"/>
      <w:sz w:val="18"/>
      <w:szCs w:val="20"/>
    </w:rPr>
  </w:style>
  <w:style w:type="paragraph" w:styleId="10">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1">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2">
    <w:name w:val="toc 2"/>
    <w:basedOn w:val="1"/>
    <w:next w:val="1"/>
    <w:qFormat/>
    <w:uiPriority w:val="99"/>
    <w:pPr>
      <w:tabs>
        <w:tab w:val="right" w:leader="dot" w:pos="8296"/>
      </w:tabs>
      <w:ind w:left="420" w:leftChars="200"/>
    </w:pPr>
    <w:rPr>
      <w:sz w:val="28"/>
      <w:szCs w:val="28"/>
    </w:rPr>
  </w:style>
  <w:style w:type="character" w:styleId="15">
    <w:name w:val="Strong"/>
    <w:qFormat/>
    <w:uiPriority w:val="99"/>
    <w:rPr>
      <w:rFonts w:cs="Times New Roman"/>
      <w:b/>
    </w:rPr>
  </w:style>
  <w:style w:type="character" w:styleId="16">
    <w:name w:val="Hyperlink"/>
    <w:qFormat/>
    <w:uiPriority w:val="99"/>
    <w:rPr>
      <w:rFonts w:cs="Times New Roman"/>
      <w:color w:val="0000FF"/>
      <w:u w:val="single"/>
    </w:rPr>
  </w:style>
  <w:style w:type="character" w:customStyle="1" w:styleId="17">
    <w:name w:val="标题 1 Char"/>
    <w:link w:val="2"/>
    <w:qFormat/>
    <w:locked/>
    <w:uiPriority w:val="99"/>
    <w:rPr>
      <w:rFonts w:ascii="Times New Roman" w:hAnsi="Times New Roman" w:cs="Times New Roman"/>
      <w:b/>
      <w:bCs/>
      <w:kern w:val="44"/>
      <w:sz w:val="44"/>
      <w:szCs w:val="44"/>
    </w:rPr>
  </w:style>
  <w:style w:type="character" w:customStyle="1" w:styleId="18">
    <w:name w:val="标题 2 Char"/>
    <w:link w:val="3"/>
    <w:qFormat/>
    <w:locked/>
    <w:uiPriority w:val="9"/>
    <w:rPr>
      <w:rFonts w:ascii="Cambria" w:hAnsi="Cambria" w:eastAsia="宋体" w:cs="Times New Roman"/>
      <w:b/>
      <w:bCs/>
      <w:kern w:val="2"/>
      <w:sz w:val="32"/>
      <w:szCs w:val="32"/>
    </w:rPr>
  </w:style>
  <w:style w:type="character" w:customStyle="1" w:styleId="19">
    <w:name w:val="标题 3 Char"/>
    <w:link w:val="4"/>
    <w:qFormat/>
    <w:locked/>
    <w:uiPriority w:val="99"/>
    <w:rPr>
      <w:rFonts w:ascii="Times New Roman" w:hAnsi="Times New Roman" w:cs="Times New Roman"/>
      <w:b/>
      <w:bCs/>
      <w:kern w:val="2"/>
      <w:sz w:val="32"/>
      <w:szCs w:val="32"/>
    </w:rPr>
  </w:style>
  <w:style w:type="character" w:customStyle="1" w:styleId="20">
    <w:name w:val="Body Text Char"/>
    <w:semiHidden/>
    <w:qFormat/>
    <w:uiPriority w:val="99"/>
    <w:rPr>
      <w:rFonts w:ascii="Times New Roman" w:hAnsi="Times New Roman" w:cs="Times New Roman"/>
      <w:sz w:val="24"/>
      <w:szCs w:val="24"/>
    </w:rPr>
  </w:style>
  <w:style w:type="character" w:customStyle="1" w:styleId="21">
    <w:name w:val="Footer Char"/>
    <w:semiHidden/>
    <w:qFormat/>
    <w:uiPriority w:val="99"/>
    <w:rPr>
      <w:rFonts w:ascii="Times New Roman" w:hAnsi="Times New Roman" w:cs="Times New Roman"/>
      <w:sz w:val="18"/>
      <w:szCs w:val="18"/>
    </w:rPr>
  </w:style>
  <w:style w:type="character" w:customStyle="1" w:styleId="22">
    <w:name w:val="Header Char"/>
    <w:semiHidden/>
    <w:qFormat/>
    <w:uiPriority w:val="99"/>
    <w:rPr>
      <w:rFonts w:ascii="Times New Roman" w:hAnsi="Times New Roman" w:cs="Times New Roman"/>
      <w:sz w:val="18"/>
      <w:szCs w:val="18"/>
    </w:rPr>
  </w:style>
  <w:style w:type="character" w:customStyle="1" w:styleId="23">
    <w:name w:val="页眉 Char"/>
    <w:link w:val="10"/>
    <w:semiHidden/>
    <w:qFormat/>
    <w:locked/>
    <w:uiPriority w:val="99"/>
    <w:rPr>
      <w:sz w:val="18"/>
    </w:rPr>
  </w:style>
  <w:style w:type="character" w:customStyle="1" w:styleId="24">
    <w:name w:val="页脚 Char"/>
    <w:link w:val="9"/>
    <w:qFormat/>
    <w:locked/>
    <w:uiPriority w:val="99"/>
    <w:rPr>
      <w:sz w:val="18"/>
    </w:rPr>
  </w:style>
  <w:style w:type="character" w:customStyle="1" w:styleId="25">
    <w:name w:val="正文文本 Char"/>
    <w:link w:val="5"/>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paragraph" w:customStyle="1" w:styleId="28">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29">
    <w:name w:val="批注框文本 Char"/>
    <w:link w:val="8"/>
    <w:semiHidden/>
    <w:qFormat/>
    <w:locked/>
    <w:uiPriority w:val="99"/>
    <w:rPr>
      <w:rFonts w:ascii="Times New Roman" w:hAnsi="Times New Roman" w:cs="Times New Roman"/>
      <w:kern w:val="2"/>
      <w:sz w:val="18"/>
      <w:szCs w:val="18"/>
    </w:rPr>
  </w:style>
  <w:style w:type="paragraph" w:customStyle="1" w:styleId="30">
    <w:name w:val="TOC 标题2"/>
    <w:basedOn w:val="2"/>
    <w:next w:val="1"/>
    <w:semiHidden/>
    <w:unhideWhenUsed/>
    <w:qFormat/>
    <w:uiPriority w:val="39"/>
    <w:pPr>
      <w:outlineLvl w:val="9"/>
    </w:pPr>
  </w:style>
  <w:style w:type="character" w:customStyle="1" w:styleId="31">
    <w:name w:val="纯文本 Char"/>
    <w:basedOn w:val="14"/>
    <w:link w:val="7"/>
    <w:qFormat/>
    <w:uiPriority w:val="0"/>
    <w:rPr>
      <w:rFonts w:ascii="宋体" w:hAnsi="Courier New"/>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b:Sources xmlns:b="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107FE555-9A07-4A37-B55E-DDD307E8A2DD}">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27</Pages>
  <Words>1841</Words>
  <Characters>10495</Characters>
  <Lines>87</Lines>
  <Paragraphs>24</Paragraphs>
  <TotalTime>3</TotalTime>
  <ScaleCrop>false</ScaleCrop>
  <LinksUpToDate>false</LinksUpToDate>
  <CharactersWithSpaces>12312</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2019-08-01T09:14:00Z</dcterms:created>
  <dc:creator>张彬茜</dc:creator>
  <cp:lastModifiedBy>ybxwsjkj</cp:lastModifiedBy>
  <cp:lastPrinted>2019-08-01T08:48:00Z</cp:lastPrinted>
  <dcterms:modified xsi:type="dcterms:W3CDTF">2024-12-19T15:51:37Z</dcterms:modified>
  <dc:title>四川省***</dc:title>
  <cp:revision>304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4C4C15BDA96D4013A4982EF5CD7EA60E</vt:lpwstr>
  </property>
</Properties>
</file>