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5A4C">
      <w:pPr>
        <w:spacing w:line="600" w:lineRule="exact"/>
        <w:jc w:val="center"/>
        <w:outlineLvl w:val="0"/>
        <w:rPr>
          <w:rFonts w:hint="default" w:ascii="Times New Roman" w:hAnsi="Times New Roman" w:eastAsia="方正小标宋简体" w:cs="Times New Roman"/>
          <w:sz w:val="72"/>
          <w:szCs w:val="72"/>
        </w:rPr>
      </w:pPr>
      <w:bookmarkStart w:id="0" w:name="_Toc15377425"/>
      <w:bookmarkStart w:id="1" w:name="_Toc15396475"/>
      <w:bookmarkStart w:id="2" w:name="_Toc15377193"/>
      <w:bookmarkStart w:id="3" w:name="_Toc15378441"/>
      <w:bookmarkStart w:id="4" w:name="_Toc15396597"/>
      <w:bookmarkStart w:id="5" w:name="_Toc15306267"/>
    </w:p>
    <w:p w14:paraId="65E99D0A">
      <w:pPr>
        <w:spacing w:line="600" w:lineRule="exact"/>
        <w:jc w:val="center"/>
        <w:outlineLvl w:val="0"/>
        <w:rPr>
          <w:rFonts w:hint="default" w:ascii="Times New Roman" w:hAnsi="Times New Roman" w:eastAsia="方正小标宋简体" w:cs="Times New Roman"/>
          <w:sz w:val="72"/>
          <w:szCs w:val="72"/>
        </w:rPr>
      </w:pPr>
    </w:p>
    <w:p w14:paraId="7FB75904">
      <w:pPr>
        <w:spacing w:line="600" w:lineRule="exact"/>
        <w:jc w:val="center"/>
        <w:outlineLvl w:val="0"/>
        <w:rPr>
          <w:rFonts w:hint="default" w:ascii="Times New Roman" w:hAnsi="Times New Roman" w:eastAsia="方正小标宋简体" w:cs="Times New Roman"/>
          <w:sz w:val="72"/>
          <w:szCs w:val="72"/>
        </w:rPr>
      </w:pPr>
    </w:p>
    <w:p w14:paraId="455FCFAB">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2022年度</w:t>
      </w:r>
      <w:bookmarkEnd w:id="0"/>
      <w:bookmarkEnd w:id="1"/>
      <w:bookmarkEnd w:id="2"/>
      <w:bookmarkEnd w:id="3"/>
      <w:bookmarkEnd w:id="4"/>
    </w:p>
    <w:bookmarkEnd w:id="5"/>
    <w:p w14:paraId="1466B9A8">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96598"/>
      <w:bookmarkStart w:id="7" w:name="_Toc15396476"/>
      <w:bookmarkStart w:id="8" w:name="_Toc15306268"/>
      <w:bookmarkStart w:id="9" w:name="_Toc15377194"/>
      <w:bookmarkStart w:id="10" w:name="_Toc15378442"/>
      <w:bookmarkStart w:id="11" w:name="_Toc15377426"/>
      <w:r>
        <w:rPr>
          <w:rFonts w:hint="default" w:ascii="Times New Roman" w:hAnsi="Times New Roman" w:eastAsia="方正小标宋简体" w:cs="Times New Roman"/>
          <w:sz w:val="72"/>
          <w:szCs w:val="72"/>
          <w:lang w:eastAsia="zh-CN"/>
        </w:rPr>
        <w:t>盐边县医疗保障局</w:t>
      </w:r>
      <w:r>
        <w:rPr>
          <w:rFonts w:hint="default" w:ascii="Times New Roman" w:hAnsi="Times New Roman" w:eastAsia="方正小标宋简体" w:cs="Times New Roman"/>
          <w:sz w:val="72"/>
          <w:szCs w:val="72"/>
          <w:lang w:val="en-US" w:eastAsia="zh-CN"/>
        </w:rPr>
        <w:t xml:space="preserve">      </w:t>
      </w:r>
      <w:r>
        <w:rPr>
          <w:rFonts w:hint="default" w:ascii="Times New Roman" w:hAnsi="Times New Roman" w:eastAsia="方正小标宋简体" w:cs="Times New Roman"/>
          <w:sz w:val="72"/>
          <w:szCs w:val="72"/>
        </w:rPr>
        <w:t>部门决算</w:t>
      </w:r>
      <w:bookmarkEnd w:id="6"/>
      <w:bookmarkEnd w:id="7"/>
      <w:bookmarkEnd w:id="8"/>
      <w:bookmarkEnd w:id="9"/>
      <w:bookmarkEnd w:id="10"/>
      <w:bookmarkEnd w:id="11"/>
    </w:p>
    <w:p w14:paraId="3B8BA79C">
      <w:pPr>
        <w:widowControl/>
        <w:jc w:val="center"/>
        <w:rPr>
          <w:rFonts w:hint="default" w:ascii="Times New Roman" w:hAnsi="Times New Roman" w:eastAsia="仿宋_GB2312" w:cs="Times New Roman"/>
          <w:b/>
          <w:bCs/>
          <w:sz w:val="48"/>
          <w:szCs w:val="48"/>
        </w:rPr>
      </w:pPr>
    </w:p>
    <w:p w14:paraId="1548923A">
      <w:pPr>
        <w:widowControl/>
        <w:jc w:val="center"/>
        <w:rPr>
          <w:rFonts w:hint="default" w:ascii="Times New Roman" w:hAnsi="Times New Roman" w:eastAsia="仿宋_GB2312" w:cs="Times New Roman"/>
          <w:b/>
          <w:bCs/>
          <w:sz w:val="48"/>
          <w:szCs w:val="48"/>
        </w:rPr>
      </w:pPr>
    </w:p>
    <w:p w14:paraId="49018094">
      <w:pPr>
        <w:widowControl/>
        <w:jc w:val="center"/>
        <w:rPr>
          <w:rFonts w:hint="default" w:ascii="Times New Roman" w:hAnsi="Times New Roman" w:eastAsia="仿宋_GB2312" w:cs="Times New Roman"/>
          <w:b/>
          <w:bCs/>
          <w:sz w:val="48"/>
          <w:szCs w:val="48"/>
        </w:rPr>
      </w:pPr>
    </w:p>
    <w:p w14:paraId="50D07DFA">
      <w:pPr>
        <w:widowControl/>
        <w:jc w:val="center"/>
        <w:rPr>
          <w:rFonts w:hint="default" w:ascii="Times New Roman" w:hAnsi="Times New Roman" w:eastAsia="仿宋_GB2312" w:cs="Times New Roman"/>
          <w:b/>
          <w:bCs/>
          <w:sz w:val="48"/>
          <w:szCs w:val="48"/>
        </w:rPr>
      </w:pPr>
    </w:p>
    <w:p w14:paraId="2D39571D">
      <w:pPr>
        <w:widowControl/>
        <w:jc w:val="center"/>
        <w:rPr>
          <w:rFonts w:hint="default" w:ascii="Times New Roman" w:hAnsi="Times New Roman" w:eastAsia="仿宋_GB2312" w:cs="Times New Roman"/>
          <w:b/>
          <w:bCs/>
          <w:sz w:val="48"/>
          <w:szCs w:val="48"/>
        </w:rPr>
      </w:pPr>
    </w:p>
    <w:p w14:paraId="38E759FD">
      <w:pPr>
        <w:widowControl/>
        <w:jc w:val="center"/>
        <w:rPr>
          <w:rFonts w:hint="default" w:ascii="Times New Roman" w:hAnsi="Times New Roman" w:eastAsia="仿宋_GB2312" w:cs="Times New Roman"/>
          <w:b/>
          <w:bCs/>
          <w:sz w:val="48"/>
          <w:szCs w:val="48"/>
        </w:rPr>
      </w:pPr>
    </w:p>
    <w:p w14:paraId="34252085">
      <w:pPr>
        <w:widowControl/>
        <w:jc w:val="center"/>
        <w:rPr>
          <w:rFonts w:hint="default" w:ascii="Times New Roman" w:hAnsi="Times New Roman" w:eastAsia="仿宋_GB2312" w:cs="Times New Roman"/>
          <w:b/>
          <w:bCs/>
          <w:sz w:val="48"/>
          <w:szCs w:val="48"/>
        </w:rPr>
      </w:pPr>
    </w:p>
    <w:p w14:paraId="4D17276C">
      <w:pPr>
        <w:widowControl/>
        <w:jc w:val="center"/>
        <w:rPr>
          <w:rFonts w:hint="default" w:ascii="Times New Roman" w:hAnsi="Times New Roman" w:eastAsia="仿宋_GB2312" w:cs="Times New Roman"/>
          <w:b/>
          <w:bCs/>
          <w:sz w:val="48"/>
          <w:szCs w:val="48"/>
        </w:rPr>
      </w:pPr>
    </w:p>
    <w:p w14:paraId="0683A940">
      <w:pPr>
        <w:widowControl/>
        <w:jc w:val="center"/>
        <w:rPr>
          <w:rFonts w:hint="default" w:ascii="Times New Roman" w:hAnsi="Times New Roman" w:eastAsia="仿宋_GB2312" w:cs="Times New Roman"/>
          <w:b/>
          <w:bCs/>
          <w:sz w:val="48"/>
          <w:szCs w:val="48"/>
        </w:rPr>
      </w:pPr>
    </w:p>
    <w:p w14:paraId="0A49957E">
      <w:pPr>
        <w:widowControl/>
        <w:jc w:val="center"/>
        <w:rPr>
          <w:rFonts w:hint="default" w:ascii="Times New Roman" w:hAnsi="Times New Roman" w:eastAsia="仿宋_GB2312" w:cs="Times New Roman"/>
          <w:b/>
          <w:bCs/>
          <w:sz w:val="48"/>
          <w:szCs w:val="48"/>
        </w:rPr>
      </w:pPr>
    </w:p>
    <w:p w14:paraId="387F58B6">
      <w:pPr>
        <w:widowControl/>
        <w:jc w:val="both"/>
        <w:rPr>
          <w:rFonts w:hint="default" w:ascii="Times New Roman" w:hAnsi="Times New Roman" w:eastAsia="仿宋_GB2312" w:cs="Times New Roman"/>
          <w:b/>
          <w:bCs/>
          <w:sz w:val="48"/>
          <w:szCs w:val="48"/>
        </w:rPr>
      </w:pPr>
    </w:p>
    <w:p w14:paraId="620C8720">
      <w:pPr>
        <w:widowControl/>
        <w:jc w:val="center"/>
        <w:rPr>
          <w:rFonts w:hint="default" w:ascii="Times New Roman" w:hAnsi="Times New Roman" w:eastAsia="仿宋_GB2312" w:cs="Times New Roman"/>
          <w:b/>
          <w:bCs/>
          <w:sz w:val="48"/>
          <w:szCs w:val="48"/>
        </w:rPr>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p>
    <w:p w14:paraId="14ECCE35">
      <w:pPr>
        <w:widowControl/>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bCs/>
          <w:sz w:val="48"/>
          <w:szCs w:val="48"/>
        </w:rPr>
        <w:t>目</w:t>
      </w:r>
      <w:r>
        <w:rPr>
          <w:rFonts w:hint="default" w:ascii="Times New Roman" w:hAnsi="Times New Roman" w:eastAsia="仿宋_GB2312" w:cs="Times New Roman"/>
          <w:b/>
          <w:bCs/>
          <w:sz w:val="48"/>
          <w:szCs w:val="48"/>
          <w:lang w:val="en-US" w:eastAsia="zh-CN"/>
        </w:rPr>
        <w:t xml:space="preserve">  </w:t>
      </w:r>
      <w:r>
        <w:rPr>
          <w:rFonts w:hint="default" w:ascii="Times New Roman" w:hAnsi="Times New Roman" w:eastAsia="仿宋_GB2312" w:cs="Times New Roman"/>
          <w:b/>
          <w:bCs/>
          <w:sz w:val="48"/>
          <w:szCs w:val="48"/>
        </w:rPr>
        <w:t>录</w:t>
      </w:r>
    </w:p>
    <w:p w14:paraId="1827A50F">
      <w:pPr>
        <w:pStyle w:val="1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公开时间：2023年10月26日</w:t>
      </w:r>
    </w:p>
    <w:p w14:paraId="5C1F70B1">
      <w:pPr>
        <w:pStyle w:val="12"/>
        <w:adjustRightInd w:val="0"/>
        <w:snapToGrid w:val="0"/>
        <w:spacing w:before="0" w:line="440" w:lineRule="exact"/>
        <w:jc w:val="left"/>
        <w:rPr>
          <w:rFonts w:hint="default" w:ascii="Times New Roman" w:hAnsi="Times New Roman" w:eastAsia="仿宋_GB2312" w:cs="Times New Roman"/>
          <w:b/>
          <w:bCs/>
          <w:sz w:val="28"/>
          <w:szCs w:val="28"/>
        </w:rPr>
      </w:pPr>
    </w:p>
    <w:p w14:paraId="69E61169">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rPr>
        <w:t>第一部分</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部门概况</w:t>
      </w:r>
      <w:r>
        <w:rPr>
          <w:rFonts w:hint="default" w:ascii="Times New Roman" w:hAnsi="Times New Roman" w:eastAsia="仿宋_GB2312" w:cs="Times New Roman"/>
          <w:b/>
          <w:bCs/>
          <w:sz w:val="28"/>
          <w:szCs w:val="28"/>
        </w:rPr>
        <w:ptab w:relativeTo="margin" w:alignment="right" w:leader="dot"/>
      </w:r>
      <w:r>
        <w:rPr>
          <w:rFonts w:hint="default" w:ascii="Times New Roman" w:hAnsi="Times New Roman" w:eastAsia="仿宋_GB2312" w:cs="Times New Roman"/>
          <w:b/>
          <w:bCs/>
          <w:sz w:val="28"/>
          <w:szCs w:val="28"/>
        </w:rPr>
        <w:t>1</w:t>
      </w:r>
    </w:p>
    <w:p w14:paraId="44E29DCE">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一、部门职责</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rPr>
        <w:t>1</w:t>
      </w:r>
    </w:p>
    <w:p w14:paraId="19031BD3">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二、机构设置</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3</w:t>
      </w:r>
    </w:p>
    <w:p w14:paraId="22FAD46A">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sz w:val="28"/>
          <w:szCs w:val="28"/>
        </w:rPr>
        <w:t>第二部分 2022年度部门决算情况说明</w:t>
      </w:r>
      <w:r>
        <w:rPr>
          <w:rFonts w:hint="default" w:ascii="Times New Roman" w:hAnsi="Times New Roman" w:eastAsia="仿宋_GB2312" w:cs="Times New Roman"/>
          <w:b/>
          <w:bCs/>
          <w:sz w:val="28"/>
          <w:szCs w:val="28"/>
        </w:rPr>
        <w:ptab w:relativeTo="margin" w:alignment="right" w:leader="dot"/>
      </w:r>
      <w:r>
        <w:rPr>
          <w:rFonts w:hint="default" w:ascii="Times New Roman" w:hAnsi="Times New Roman" w:eastAsia="仿宋_GB2312" w:cs="Times New Roman"/>
          <w:b/>
          <w:bCs/>
          <w:sz w:val="28"/>
          <w:szCs w:val="28"/>
          <w:lang w:val="en-US" w:eastAsia="zh-CN"/>
        </w:rPr>
        <w:t>4</w:t>
      </w:r>
    </w:p>
    <w:p w14:paraId="72AF048E">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一、收入支出决算总体情况说明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4</w:t>
      </w:r>
    </w:p>
    <w:p w14:paraId="78A0A9DF">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二、收入决算情况说明</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4</w:t>
      </w:r>
    </w:p>
    <w:p w14:paraId="284133F6">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三、支出决算情况说明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5</w:t>
      </w:r>
    </w:p>
    <w:p w14:paraId="65F91B05">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四、财政拨款收入支出决算总体情况说明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6</w:t>
      </w:r>
    </w:p>
    <w:p w14:paraId="6689E778">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五、一般公共预算财政拨款支出决算情况说明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6</w:t>
      </w:r>
    </w:p>
    <w:p w14:paraId="50C6E885">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六、一般公共预算财政拨款基本支出决算情况说明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9</w:t>
      </w:r>
    </w:p>
    <w:p w14:paraId="4213FEBA">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七、财政拨款“三公”经费支出决算情况说明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9</w:t>
      </w:r>
    </w:p>
    <w:p w14:paraId="202DEDC7">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八、政府性基金预算支出决算情况说明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11</w:t>
      </w:r>
    </w:p>
    <w:p w14:paraId="0E8E6EB0">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九、国有资本经营预算支出决算情况说明</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11</w:t>
      </w:r>
    </w:p>
    <w:p w14:paraId="64BFF433">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Style w:val="18"/>
          <w:rFonts w:hint="default" w:ascii="Times New Roman" w:hAnsi="Times New Roman" w:eastAsia="仿宋_GB2312" w:cs="Times New Roman"/>
          <w:color w:val="auto"/>
          <w:sz w:val="28"/>
          <w:szCs w:val="28"/>
          <w:u w:val="none"/>
        </w:rPr>
        <w:t>十、</w:t>
      </w:r>
      <w:r>
        <w:rPr>
          <w:rFonts w:hint="default" w:ascii="Times New Roman" w:hAnsi="Times New Roman" w:eastAsia="仿宋_GB2312" w:cs="Times New Roman"/>
          <w:sz w:val="28"/>
          <w:szCs w:val="28"/>
        </w:rPr>
        <w:t>其他重要事项的情况说明</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lang w:val="en-US" w:eastAsia="zh-CN"/>
        </w:rPr>
        <w:t>11</w:t>
      </w:r>
    </w:p>
    <w:p w14:paraId="644F278B">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第三部分</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名词解释</w:t>
      </w:r>
      <w:r>
        <w:rPr>
          <w:rFonts w:hint="default" w:ascii="Times New Roman" w:hAnsi="Times New Roman" w:eastAsia="仿宋_GB2312" w:cs="Times New Roman"/>
          <w:b/>
          <w:bCs/>
          <w:sz w:val="28"/>
          <w:szCs w:val="28"/>
        </w:rPr>
        <w:ptab w:relativeTo="margin" w:alignment="right" w:leader="dot"/>
      </w:r>
      <w:r>
        <w:rPr>
          <w:rFonts w:hint="default" w:ascii="Times New Roman" w:hAnsi="Times New Roman" w:eastAsia="仿宋_GB2312" w:cs="Times New Roman"/>
          <w:b/>
          <w:bCs/>
          <w:sz w:val="28"/>
          <w:szCs w:val="28"/>
          <w:lang w:val="en-US" w:eastAsia="zh-CN"/>
        </w:rPr>
        <w:t>1</w:t>
      </w:r>
      <w:r>
        <w:rPr>
          <w:rFonts w:hint="eastAsia" w:ascii="Times New Roman" w:hAnsi="Times New Roman" w:eastAsia="仿宋_GB2312" w:cs="Times New Roman"/>
          <w:b/>
          <w:bCs/>
          <w:sz w:val="28"/>
          <w:szCs w:val="28"/>
          <w:lang w:val="en-US" w:eastAsia="zh-CN"/>
        </w:rPr>
        <w:t>3</w:t>
      </w:r>
    </w:p>
    <w:p w14:paraId="0FF3ABA2">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第四部分</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附件</w:t>
      </w:r>
      <w:r>
        <w:rPr>
          <w:rFonts w:hint="default" w:ascii="Times New Roman" w:hAnsi="Times New Roman" w:eastAsia="仿宋_GB2312" w:cs="Times New Roman"/>
          <w:b/>
          <w:bCs/>
          <w:sz w:val="28"/>
          <w:szCs w:val="28"/>
        </w:rPr>
        <w:ptab w:relativeTo="margin" w:alignment="right" w:leader="dot"/>
      </w:r>
      <w:r>
        <w:rPr>
          <w:rFonts w:hint="default" w:ascii="Times New Roman" w:hAnsi="Times New Roman" w:eastAsia="仿宋_GB2312" w:cs="Times New Roman"/>
          <w:b/>
          <w:bCs/>
          <w:sz w:val="28"/>
          <w:szCs w:val="28"/>
          <w:lang w:val="en-US" w:eastAsia="zh-CN"/>
        </w:rPr>
        <w:t>1</w:t>
      </w:r>
      <w:r>
        <w:rPr>
          <w:rFonts w:hint="eastAsia" w:ascii="Times New Roman" w:hAnsi="Times New Roman" w:eastAsia="仿宋_GB2312" w:cs="Times New Roman"/>
          <w:b/>
          <w:bCs/>
          <w:sz w:val="28"/>
          <w:szCs w:val="28"/>
          <w:lang w:val="en-US" w:eastAsia="zh-CN"/>
        </w:rPr>
        <w:t>6</w:t>
      </w:r>
    </w:p>
    <w:p w14:paraId="2FAA3A90">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b/>
          <w:bCs/>
          <w:sz w:val="28"/>
          <w:szCs w:val="28"/>
        </w:rPr>
        <w:t>第五部分</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附表</w:t>
      </w:r>
      <w:r>
        <w:rPr>
          <w:rFonts w:hint="default" w:ascii="Times New Roman" w:hAnsi="Times New Roman" w:eastAsia="仿宋_GB2312" w:cs="Times New Roman"/>
          <w:b/>
          <w:bCs/>
          <w:sz w:val="28"/>
          <w:szCs w:val="28"/>
        </w:rPr>
        <w:ptab w:relativeTo="margin" w:alignment="right" w:leader="dot"/>
      </w:r>
      <w:r>
        <w:rPr>
          <w:rFonts w:hint="default" w:ascii="Times New Roman" w:hAnsi="Times New Roman" w:eastAsia="仿宋_GB2312" w:cs="Times New Roman"/>
          <w:b/>
          <w:bCs/>
          <w:sz w:val="28"/>
          <w:szCs w:val="28"/>
          <w:lang w:val="en-US" w:eastAsia="zh-CN"/>
        </w:rPr>
        <w:t>4</w:t>
      </w:r>
      <w:r>
        <w:rPr>
          <w:rFonts w:hint="eastAsia" w:ascii="Times New Roman" w:hAnsi="Times New Roman" w:eastAsia="仿宋_GB2312" w:cs="Times New Roman"/>
          <w:b/>
          <w:bCs/>
          <w:sz w:val="28"/>
          <w:szCs w:val="28"/>
          <w:lang w:val="en-US" w:eastAsia="zh-CN"/>
        </w:rPr>
        <w:t>3</w:t>
      </w:r>
    </w:p>
    <w:p w14:paraId="4D09E025">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一、收入支出决算总表</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val="en-US" w:eastAsia="zh-CN"/>
        </w:rPr>
        <w:t>3</w:t>
      </w:r>
    </w:p>
    <w:p w14:paraId="2C27C540">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二、收入决算表</w:t>
      </w:r>
      <w:r>
        <w:rPr>
          <w:rFonts w:hint="default" w:ascii="Times New Roman" w:hAnsi="Times New Roman" w:eastAsia="仿宋_GB2312" w:cs="Times New Roman"/>
          <w:sz w:val="28"/>
          <w:szCs w:val="28"/>
        </w:rPr>
        <w:ptab w:relativeTo="margin" w:alignment="right" w:leader="dot"/>
      </w:r>
      <w:r>
        <w:rPr>
          <w:rFonts w:hint="default"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lang w:val="en-US" w:eastAsia="zh-CN"/>
        </w:rPr>
        <w:t>4</w:t>
      </w:r>
    </w:p>
    <w:p w14:paraId="29FDAC48">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三、支出决算表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45</w:t>
      </w:r>
    </w:p>
    <w:p w14:paraId="42D06EBF">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四、财政拨款收入支出决算总表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46</w:t>
      </w:r>
    </w:p>
    <w:p w14:paraId="06F67168">
      <w:pPr>
        <w:pStyle w:val="12"/>
        <w:keepNext w:val="0"/>
        <w:keepLines w:val="0"/>
        <w:pageBreakBefore w:val="0"/>
        <w:widowControl w:val="0"/>
        <w:kinsoku/>
        <w:wordWrap/>
        <w:overflowPunct/>
        <w:topLinePunct w:val="0"/>
        <w:autoSpaceDE/>
        <w:autoSpaceDN/>
        <w:bidi w:val="0"/>
        <w:adjustRightInd w:val="0"/>
        <w:snapToGrid w:val="0"/>
        <w:spacing w:before="0" w:line="360" w:lineRule="auto"/>
        <w:jc w:val="left"/>
        <w:textAlignment w:val="auto"/>
        <w:rPr>
          <w:rFonts w:hint="default" w:ascii="Times New Roman" w:hAnsi="Times New Roman" w:eastAsia="仿宋_GB2312" w:cs="Times New Roman"/>
          <w:sz w:val="28"/>
          <w:szCs w:val="28"/>
        </w:rPr>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pPr>
    </w:p>
    <w:p w14:paraId="05490A5C">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五、财政拨款支出决算明细表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47</w:t>
      </w:r>
    </w:p>
    <w:p w14:paraId="7D4F9693">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六、一般公共预算财政拨款支出决算表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48</w:t>
      </w:r>
    </w:p>
    <w:p w14:paraId="44F003EE">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七、一般公共预算财政拨款支出决算明细表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49</w:t>
      </w:r>
    </w:p>
    <w:p w14:paraId="47B8BCDC">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八、一般公共预算财政拨款基本支出决算明细表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51</w:t>
      </w:r>
    </w:p>
    <w:p w14:paraId="218EEDE4">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九、一般公共预算财政拨款项目支出决算表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52</w:t>
      </w:r>
    </w:p>
    <w:p w14:paraId="07727737">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十、政府性基金预算财政拨款收入支出决算表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53</w:t>
      </w:r>
    </w:p>
    <w:p w14:paraId="4BEC656A">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十一、国有资本经营预算财政拨款收入支出决算表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54</w:t>
      </w:r>
    </w:p>
    <w:p w14:paraId="2A83038E">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十二、国有资本经营预算财政拨款支出决算表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55</w:t>
      </w:r>
    </w:p>
    <w:p w14:paraId="07B9C921">
      <w:pPr>
        <w:pStyle w:val="12"/>
        <w:keepNext w:val="0"/>
        <w:keepLines w:val="0"/>
        <w:pageBreakBefore w:val="0"/>
        <w:widowControl w:val="0"/>
        <w:kinsoku/>
        <w:wordWrap/>
        <w:overflowPunct/>
        <w:topLinePunct w:val="0"/>
        <w:autoSpaceDE/>
        <w:autoSpaceDN/>
        <w:bidi w:val="0"/>
        <w:adjustRightInd w:val="0"/>
        <w:snapToGrid w:val="0"/>
        <w:spacing w:before="0" w:line="360" w:lineRule="auto"/>
        <w:ind w:firstLine="560" w:firstLineChars="200"/>
        <w:jc w:val="lef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十三、财政拨款“三公”经费支出决算表</w:t>
      </w:r>
      <w:r>
        <w:rPr>
          <w:rFonts w:hint="default" w:ascii="Times New Roman" w:hAnsi="Times New Roman" w:eastAsia="仿宋_GB2312" w:cs="Times New Roman"/>
          <w:sz w:val="28"/>
          <w:szCs w:val="28"/>
        </w:rPr>
        <w:ptab w:relativeTo="margin" w:alignment="right" w:leader="dot"/>
      </w:r>
      <w:r>
        <w:rPr>
          <w:rFonts w:hint="eastAsia" w:ascii="Times New Roman" w:hAnsi="Times New Roman" w:eastAsia="仿宋_GB2312" w:cs="Times New Roman"/>
          <w:sz w:val="28"/>
          <w:szCs w:val="28"/>
          <w:lang w:val="en-US" w:eastAsia="zh-CN"/>
        </w:rPr>
        <w:t>56</w:t>
      </w:r>
    </w:p>
    <w:p w14:paraId="07263660">
      <w:pPr>
        <w:pStyle w:val="13"/>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仿宋_GB2312" w:cs="Times New Roman"/>
          <w:sz w:val="28"/>
          <w:szCs w:val="28"/>
        </w:rPr>
      </w:pPr>
    </w:p>
    <w:p w14:paraId="4692E27F">
      <w:pPr>
        <w:pStyle w:val="2"/>
        <w:jc w:val="center"/>
        <w:rPr>
          <w:rFonts w:hint="default" w:ascii="Times New Roman" w:hAnsi="Times New Roman" w:eastAsia="黑体" w:cs="Times New Roman"/>
          <w:b w:val="0"/>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bookmarkStart w:id="12" w:name="_Toc15377196"/>
      <w:bookmarkStart w:id="13" w:name="_Toc15396599"/>
    </w:p>
    <w:p w14:paraId="66C43DD5">
      <w:pPr>
        <w:pStyle w:val="2"/>
        <w:keepNext/>
        <w:keepLines/>
        <w:pageBreakBefore w:val="0"/>
        <w:widowControl w:val="0"/>
        <w:kinsoku/>
        <w:wordWrap/>
        <w:overflowPunct/>
        <w:topLinePunct w:val="0"/>
        <w:autoSpaceDE/>
        <w:autoSpaceDN/>
        <w:bidi w:val="0"/>
        <w:adjustRightInd/>
        <w:snapToGrid/>
        <w:spacing w:before="0" w:after="0" w:line="640" w:lineRule="exact"/>
        <w:jc w:val="center"/>
        <w:textAlignment w:val="auto"/>
        <w:rPr>
          <w:rStyle w:val="28"/>
          <w:rFonts w:hint="default" w:ascii="Times New Roman" w:hAnsi="Times New Roman" w:eastAsia="方正小标宋简体" w:cs="Times New Roman"/>
          <w:b/>
          <w:bCs w:val="0"/>
        </w:rPr>
      </w:pPr>
      <w:r>
        <w:rPr>
          <w:rFonts w:hint="default" w:ascii="Times New Roman" w:hAnsi="Times New Roman" w:eastAsia="方正小标宋简体" w:cs="Times New Roman"/>
          <w:b w:val="0"/>
        </w:rPr>
        <w:t xml:space="preserve">第一部分 </w:t>
      </w:r>
      <w:r>
        <w:rPr>
          <w:rStyle w:val="28"/>
          <w:rFonts w:hint="default" w:ascii="Times New Roman" w:hAnsi="Times New Roman" w:eastAsia="方正小标宋简体" w:cs="Times New Roman"/>
          <w:b w:val="0"/>
          <w:bCs w:val="0"/>
        </w:rPr>
        <w:t>部门概况</w:t>
      </w:r>
      <w:bookmarkEnd w:id="12"/>
      <w:bookmarkEnd w:id="13"/>
    </w:p>
    <w:p w14:paraId="0A0FFD6F">
      <w:pPr>
        <w:widowControl/>
        <w:jc w:val="left"/>
        <w:rPr>
          <w:rFonts w:hint="default" w:ascii="Times New Roman" w:hAnsi="Times New Roman" w:eastAsia="黑体" w:cs="Times New Roman"/>
          <w:sz w:val="32"/>
          <w:szCs w:val="32"/>
        </w:rPr>
      </w:pPr>
    </w:p>
    <w:p w14:paraId="21F1F8BF">
      <w:pPr>
        <w:pStyle w:val="3"/>
        <w:pageBreakBefore w:val="0"/>
        <w:numPr>
          <w:ilvl w:val="0"/>
          <w:numId w:val="0"/>
        </w:numPr>
        <w:kinsoku/>
        <w:wordWrap/>
        <w:overflowPunct/>
        <w:topLinePunct w:val="0"/>
        <w:autoSpaceDE/>
        <w:autoSpaceDN/>
        <w:bidi w:val="0"/>
        <w:adjustRightInd/>
        <w:snapToGrid/>
        <w:spacing w:before="0" w:after="0" w:line="560" w:lineRule="exact"/>
        <w:ind w:left="0" w:firstLine="640" w:firstLineChars="200"/>
        <w:textAlignment w:val="auto"/>
        <w:rPr>
          <w:rFonts w:hint="default" w:ascii="Times New Roman" w:hAnsi="Times New Roman" w:eastAsia="黑体" w:cs="Times New Roman"/>
          <w:b w:val="0"/>
        </w:rPr>
      </w:pPr>
      <w:r>
        <w:rPr>
          <w:rFonts w:hint="default" w:ascii="Times New Roman" w:hAnsi="Times New Roman" w:eastAsia="黑体" w:cs="Times New Roman"/>
          <w:b w:val="0"/>
          <w:bCs/>
          <w:kern w:val="2"/>
          <w:sz w:val="32"/>
          <w:szCs w:val="32"/>
          <w:lang w:val="en-US" w:eastAsia="zh-CN" w:bidi="ar-SA"/>
        </w:rPr>
        <w:t>一、</w:t>
      </w:r>
      <w:r>
        <w:rPr>
          <w:rFonts w:hint="default" w:ascii="Times New Roman" w:hAnsi="Times New Roman" w:eastAsia="黑体" w:cs="Times New Roman"/>
          <w:b w:val="0"/>
        </w:rPr>
        <w:t>部门职责</w:t>
      </w:r>
    </w:p>
    <w:p w14:paraId="26BE36D4">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（一）</w:t>
      </w:r>
      <w:r>
        <w:rPr>
          <w:rFonts w:hint="default" w:ascii="Times New Roman" w:hAnsi="Times New Roman" w:cs="Times New Roman"/>
          <w:color w:val="auto"/>
          <w:sz w:val="32"/>
          <w:szCs w:val="32"/>
        </w:rPr>
        <w:t>贯彻执行医疗保险、生育保险、医疗救助等医疗保障的</w:t>
      </w:r>
      <w:bookmarkStart w:id="58" w:name="_GoBack"/>
      <w:r>
        <w:rPr>
          <w:rFonts w:hint="default" w:ascii="Times New Roman" w:hAnsi="Times New Roman" w:cs="Times New Roman"/>
          <w:color w:val="auto"/>
          <w:sz w:val="32"/>
          <w:szCs w:val="32"/>
        </w:rPr>
        <w:t>法律、法规</w:t>
      </w:r>
      <w:bookmarkEnd w:id="58"/>
      <w:r>
        <w:rPr>
          <w:rFonts w:hint="default" w:ascii="Times New Roman" w:hAnsi="Times New Roman" w:cs="Times New Roman"/>
          <w:color w:val="auto"/>
          <w:sz w:val="32"/>
          <w:szCs w:val="32"/>
        </w:rPr>
        <w:t>、规章。拟订全县医疗保障事业发展规划，并组织实施和监督检查。</w:t>
      </w:r>
    </w:p>
    <w:p w14:paraId="3734F419">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（二）</w:t>
      </w:r>
      <w:r>
        <w:rPr>
          <w:rFonts w:hint="default" w:ascii="Times New Roman" w:hAnsi="Times New Roman" w:cs="Times New Roman"/>
          <w:color w:val="auto"/>
          <w:sz w:val="32"/>
          <w:szCs w:val="32"/>
        </w:rPr>
        <w:t>组织拟订并实施医疗保障基金监督管理制度，建立健全医疗保障基金安全防控机制，监督强化全县医疗保障基金运行管理。</w:t>
      </w:r>
    </w:p>
    <w:p w14:paraId="5A4FE180">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（三）</w:t>
      </w:r>
      <w:r>
        <w:rPr>
          <w:rFonts w:hint="default" w:ascii="Times New Roman" w:hAnsi="Times New Roman" w:cs="Times New Roman"/>
          <w:color w:val="auto"/>
          <w:sz w:val="32"/>
          <w:szCs w:val="32"/>
        </w:rPr>
        <w:t>实施医疗保障筹资和待遇政策，完善全县医疗保障筹资标准动态调整机制，统筹城乡医疗保障待遇标准，建立健全与筹资水平相适应的待遇调整机制。贯彻执行长期护理保险制度改革政策。</w:t>
      </w:r>
    </w:p>
    <w:p w14:paraId="131A8361">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（四）</w:t>
      </w:r>
      <w:r>
        <w:rPr>
          <w:rFonts w:hint="default" w:ascii="Times New Roman" w:hAnsi="Times New Roman" w:cs="Times New Roman"/>
          <w:color w:val="auto"/>
          <w:sz w:val="32"/>
          <w:szCs w:val="32"/>
        </w:rPr>
        <w:t>组织实施全省城乡统一的药品、医用耗材、医疗服务项目、医疗服务设施等医疗保障目录和支付标准，根据授权在医疗保障目录准入谈判规则下进行目录增补和支付标准的调整。</w:t>
      </w:r>
    </w:p>
    <w:p w14:paraId="6986D11E">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（五）</w:t>
      </w:r>
      <w:r>
        <w:rPr>
          <w:rFonts w:hint="default" w:ascii="Times New Roman" w:hAnsi="Times New Roman" w:cs="Times New Roman"/>
          <w:color w:val="auto"/>
          <w:sz w:val="32"/>
          <w:szCs w:val="32"/>
        </w:rPr>
        <w:t>参与拟订并组织实施全县统一的药品、医用耗材价格和医疗服务项目、医疗服务设施收费等政策，建立医保支付医药服务价格合理确定和动态调整机制，推动建立市场主导的社会医药服务价格形成机制，建立价格信息监测和信息发布制度。</w:t>
      </w:r>
    </w:p>
    <w:p w14:paraId="2848C3C0">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（六）</w:t>
      </w:r>
      <w:r>
        <w:rPr>
          <w:rFonts w:hint="default" w:ascii="Times New Roman" w:hAnsi="Times New Roman" w:cs="Times New Roman"/>
          <w:color w:val="auto"/>
          <w:sz w:val="32"/>
          <w:szCs w:val="32"/>
        </w:rPr>
        <w:t>贯彻执行全省药品、医用耗材的招标采购政策并监督实施，根据省、市安排部署，参与全省药品、医用耗材招标采购平台建设，承担并完成相关工作任务。</w:t>
      </w:r>
    </w:p>
    <w:p w14:paraId="46CB7F91">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（七）</w:t>
      </w:r>
      <w:r>
        <w:rPr>
          <w:rFonts w:hint="default" w:ascii="Times New Roman" w:hAnsi="Times New Roman" w:cs="Times New Roman"/>
          <w:color w:val="auto"/>
          <w:sz w:val="32"/>
          <w:szCs w:val="32"/>
        </w:rPr>
        <w:t>推进医疗保障基金支付方式改革，参与市级制定基金支付管理办法并组织实施。执行医疗保障信用评价体系和信息披露制度，监督管理纳入医疗保障范围内的医疗服务行为和医疗费用，依法查处医疗保障领域违法违规行为。</w:t>
      </w:r>
    </w:p>
    <w:p w14:paraId="44033F22">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（八）</w:t>
      </w:r>
      <w:r>
        <w:rPr>
          <w:rFonts w:hint="default" w:ascii="Times New Roman" w:hAnsi="Times New Roman" w:cs="Times New Roman"/>
          <w:color w:val="auto"/>
          <w:sz w:val="32"/>
          <w:szCs w:val="32"/>
        </w:rPr>
        <w:t>负责全县医疗保障业务经办管理和公共服务体系建设。组织实施异地就医管理和费用结算政策。贯彻执行医疗保障关系转移接续政策。指导和监督管理全县医保经办服务工作。开展医疗保障领域对外合作交流。</w:t>
      </w:r>
    </w:p>
    <w:p w14:paraId="16432BB4">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（九）</w:t>
      </w:r>
      <w:r>
        <w:rPr>
          <w:rFonts w:hint="default" w:ascii="Times New Roman" w:hAnsi="Times New Roman" w:cs="Times New Roman"/>
          <w:color w:val="auto"/>
          <w:sz w:val="32"/>
          <w:szCs w:val="32"/>
        </w:rPr>
        <w:t>参与拟订市级医疗保障信息化建设规划和信息化建设。组织开展医疗保障大数据管理和应用。</w:t>
      </w:r>
    </w:p>
    <w:p w14:paraId="3246C0A8">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（十）</w:t>
      </w:r>
      <w:r>
        <w:rPr>
          <w:rFonts w:hint="default" w:ascii="Times New Roman" w:hAnsi="Times New Roman" w:cs="Times New Roman"/>
          <w:color w:val="auto"/>
          <w:sz w:val="32"/>
          <w:szCs w:val="32"/>
        </w:rPr>
        <w:t>组织拟订县本级离休干部、六级以上革命伤残军人的医疗保障政策和副厅级以上干部、县级干部、高级知识分子的医疗照顾政策。</w:t>
      </w:r>
    </w:p>
    <w:p w14:paraId="624A76B4">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（十一）</w:t>
      </w:r>
      <w:r>
        <w:rPr>
          <w:rFonts w:hint="default" w:ascii="Times New Roman" w:hAnsi="Times New Roman" w:cs="Times New Roman"/>
          <w:color w:val="auto"/>
          <w:sz w:val="32"/>
          <w:szCs w:val="32"/>
        </w:rPr>
        <w:t>负责职责范围内的安全生产和职业健康、生态环境保护、审批服务便民化等工作。</w:t>
      </w:r>
    </w:p>
    <w:p w14:paraId="7045EB89">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（十二）</w:t>
      </w:r>
      <w:r>
        <w:rPr>
          <w:rFonts w:hint="default" w:ascii="Times New Roman" w:hAnsi="Times New Roman" w:cs="Times New Roman"/>
          <w:color w:val="auto"/>
          <w:sz w:val="32"/>
          <w:szCs w:val="32"/>
        </w:rPr>
        <w:t>完成县委、县政府交办的其他任务。</w:t>
      </w:r>
    </w:p>
    <w:p w14:paraId="533D8A8B">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（十三）</w:t>
      </w:r>
      <w:r>
        <w:rPr>
          <w:rFonts w:hint="default" w:ascii="Times New Roman" w:hAnsi="Times New Roman" w:cs="Times New Roman"/>
          <w:color w:val="auto"/>
          <w:sz w:val="32"/>
          <w:szCs w:val="32"/>
        </w:rPr>
        <w:t>职能转变。完善统一的城乡居民基本医疗保险和大病保险制度，不断提高医疗保障水平，建立健全覆盖全民、城乡统筹的多层次医疗保障体系，确保医疗保障资金合理使用、安全可控，推进医疗、医保、医药“三医联动”改革，更好地保障人民群众就医需求、减轻医药费用负担。</w:t>
      </w:r>
    </w:p>
    <w:p w14:paraId="432DA288">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（十四）</w:t>
      </w:r>
      <w:r>
        <w:rPr>
          <w:rFonts w:hint="default" w:ascii="Times New Roman" w:hAnsi="Times New Roman" w:cs="Times New Roman"/>
          <w:color w:val="auto"/>
          <w:sz w:val="32"/>
          <w:szCs w:val="32"/>
        </w:rPr>
        <w:t>有关职责分工。</w:t>
      </w:r>
    </w:p>
    <w:p w14:paraId="418F834D">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1.</w:t>
      </w:r>
      <w:r>
        <w:rPr>
          <w:rFonts w:hint="default" w:ascii="Times New Roman" w:hAnsi="Times New Roman" w:cs="Times New Roman"/>
          <w:color w:val="auto"/>
          <w:sz w:val="32"/>
          <w:szCs w:val="32"/>
        </w:rPr>
        <w:t>与县卫生健康局的有关职责分工。两部门在医疗、医保、医药等方面加强制度、政策衔接，建立沟通协商机制，协同推进改革，提高医疗资源使用效率和医疗保障水平。</w:t>
      </w:r>
    </w:p>
    <w:p w14:paraId="75BEE30D">
      <w:pPr>
        <w:pStyle w:val="6"/>
        <w:pageBreakBefore w:val="0"/>
        <w:kinsoku/>
        <w:wordWrap/>
        <w:overflowPunct/>
        <w:topLinePunct w:val="0"/>
        <w:autoSpaceDE/>
        <w:autoSpaceDN/>
        <w:bidi w:val="0"/>
        <w:adjustRightInd/>
        <w:snapToGrid/>
        <w:spacing w:beforeLines="0"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与国家税务总局盐边县税务局的有关职责分工。两部门在医疗、生育、长期护理保险基金征缴工作等方面加强协调，建立沟通机制，共同做好社会保险费税务征缴的相关工作。</w:t>
      </w:r>
    </w:p>
    <w:p w14:paraId="24ECC79C">
      <w:pPr>
        <w:pStyle w:val="3"/>
        <w:pageBreakBefore w:val="0"/>
        <w:kinsoku/>
        <w:wordWrap/>
        <w:overflowPunct/>
        <w:topLinePunct w:val="0"/>
        <w:autoSpaceDE/>
        <w:autoSpaceDN/>
        <w:bidi w:val="0"/>
        <w:adjustRightInd/>
        <w:snapToGrid/>
        <w:spacing w:before="0" w:after="0" w:line="560" w:lineRule="exact"/>
        <w:ind w:left="0" w:firstLine="640" w:firstLineChars="200"/>
        <w:textAlignment w:val="auto"/>
        <w:rPr>
          <w:rStyle w:val="29"/>
          <w:rFonts w:hint="default" w:ascii="Times New Roman" w:hAnsi="Times New Roman" w:cs="Times New Roman"/>
          <w:b w:val="0"/>
          <w:bCs w:val="0"/>
        </w:rPr>
      </w:pPr>
      <w:bookmarkStart w:id="14" w:name="_Toc15377200"/>
      <w:bookmarkStart w:id="15" w:name="_Toc15396601"/>
      <w:r>
        <w:rPr>
          <w:rFonts w:hint="default" w:ascii="Times New Roman" w:hAnsi="Times New Roman" w:eastAsia="黑体" w:cs="Times New Roman"/>
          <w:b w:val="0"/>
        </w:rPr>
        <w:t>二、机</w:t>
      </w:r>
      <w:r>
        <w:rPr>
          <w:rStyle w:val="29"/>
          <w:rFonts w:hint="default" w:ascii="Times New Roman" w:hAnsi="Times New Roman" w:eastAsia="黑体" w:cs="Times New Roman"/>
          <w:b w:val="0"/>
          <w:bCs w:val="0"/>
        </w:rPr>
        <w:t>构设置</w:t>
      </w:r>
      <w:bookmarkEnd w:id="14"/>
      <w:bookmarkEnd w:id="15"/>
    </w:p>
    <w:p w14:paraId="1270CDAA">
      <w:pPr>
        <w:pageBreakBefore w:val="0"/>
        <w:widowControl/>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盐边县医疗保障局</w:t>
      </w:r>
      <w:r>
        <w:rPr>
          <w:rFonts w:hint="eastAsia" w:eastAsia="仿宋_GB2312" w:cs="Times New Roman"/>
          <w:color w:val="auto"/>
          <w:sz w:val="32"/>
          <w:szCs w:val="32"/>
          <w:lang w:eastAsia="zh-CN"/>
        </w:rPr>
        <w:t>下属二级预算单位</w:t>
      </w:r>
      <w:r>
        <w:rPr>
          <w:rFonts w:hint="eastAsia" w:eastAsia="仿宋_GB2312" w:cs="Times New Roman"/>
          <w:color w:val="auto"/>
          <w:sz w:val="32"/>
          <w:szCs w:val="32"/>
          <w:lang w:val="en-US" w:eastAsia="zh-CN"/>
        </w:rPr>
        <w:t>0个，</w:t>
      </w:r>
      <w:r>
        <w:rPr>
          <w:rFonts w:hint="default" w:ascii="Times New Roman" w:hAnsi="Times New Roman" w:eastAsia="仿宋_GB2312" w:cs="Times New Roman"/>
          <w:color w:val="auto"/>
          <w:sz w:val="32"/>
          <w:szCs w:val="32"/>
          <w:lang w:val="zh-CN"/>
        </w:rPr>
        <w:t>内设办公室和业务与政策法规股</w:t>
      </w:r>
      <w:r>
        <w:rPr>
          <w:rFonts w:hint="default" w:ascii="Times New Roman" w:hAnsi="Times New Roman" w:eastAsia="仿宋_GB2312" w:cs="Times New Roman"/>
          <w:color w:val="auto"/>
          <w:sz w:val="32"/>
          <w:szCs w:val="32"/>
        </w:rPr>
        <w:t>2个机构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下属参照公务员法管理的事业单位1个</w:t>
      </w:r>
      <w:r>
        <w:rPr>
          <w:rFonts w:hint="default" w:ascii="Times New Roman" w:hAnsi="Times New Roman" w:eastAsia="仿宋_GB2312" w:cs="Times New Roman"/>
          <w:color w:val="auto"/>
          <w:sz w:val="32"/>
          <w:szCs w:val="32"/>
          <w:lang w:eastAsia="zh-CN"/>
        </w:rPr>
        <w:t>：盐边县医疗保障事务中心。</w:t>
      </w:r>
      <w:r>
        <w:rPr>
          <w:rFonts w:hint="default" w:ascii="Times New Roman" w:hAnsi="Times New Roman" w:eastAsia="仿宋_GB2312" w:cs="Times New Roman"/>
          <w:sz w:val="32"/>
          <w:szCs w:val="32"/>
          <w:lang w:val="en-US" w:eastAsia="zh-CN"/>
        </w:rPr>
        <w:t>按照决算管理有关规定，</w:t>
      </w:r>
      <w:r>
        <w:rPr>
          <w:rFonts w:hint="eastAsia" w:eastAsia="仿宋_GB2312" w:cs="Times New Roman"/>
          <w:sz w:val="32"/>
          <w:szCs w:val="32"/>
          <w:lang w:val="en-US" w:eastAsia="zh-CN"/>
        </w:rPr>
        <w:t>下属</w:t>
      </w:r>
      <w:r>
        <w:rPr>
          <w:rFonts w:hint="default" w:ascii="Times New Roman" w:hAnsi="Times New Roman" w:eastAsia="仿宋_GB2312" w:cs="Times New Roman"/>
          <w:sz w:val="32"/>
          <w:szCs w:val="32"/>
          <w:lang w:val="en-US" w:eastAsia="zh-CN"/>
        </w:rPr>
        <w:t>单位收支情况</w:t>
      </w:r>
      <w:r>
        <w:rPr>
          <w:rFonts w:hint="eastAsia" w:eastAsia="仿宋_GB2312" w:cs="Times New Roman"/>
          <w:sz w:val="32"/>
          <w:szCs w:val="32"/>
          <w:lang w:val="en-US" w:eastAsia="zh-CN"/>
        </w:rPr>
        <w:t>纳入</w:t>
      </w:r>
      <w:r>
        <w:rPr>
          <w:rFonts w:hint="default" w:ascii="Times New Roman" w:hAnsi="Times New Roman" w:eastAsia="仿宋_GB2312" w:cs="Times New Roman"/>
          <w:sz w:val="32"/>
          <w:szCs w:val="32"/>
          <w:lang w:val="en-US" w:eastAsia="zh-CN"/>
        </w:rPr>
        <w:t>部门决算编</w:t>
      </w:r>
      <w:r>
        <w:rPr>
          <w:rFonts w:hint="eastAsia" w:eastAsia="仿宋_GB2312" w:cs="Times New Roman"/>
          <w:sz w:val="32"/>
          <w:szCs w:val="32"/>
          <w:lang w:val="en-US" w:eastAsia="zh-CN"/>
        </w:rPr>
        <w:t>制范围</w:t>
      </w:r>
      <w:r>
        <w:rPr>
          <w:rFonts w:hint="default" w:ascii="Times New Roman" w:hAnsi="Times New Roman" w:eastAsia="仿宋_GB2312" w:cs="Times New Roman"/>
          <w:sz w:val="32"/>
          <w:szCs w:val="32"/>
          <w:lang w:val="en-US" w:eastAsia="zh-CN"/>
        </w:rPr>
        <w:t>。</w:t>
      </w:r>
    </w:p>
    <w:p w14:paraId="0267CB75">
      <w:pPr>
        <w:pageBreakBefore w:val="0"/>
        <w:widowControl/>
        <w:kinsoku/>
        <w:wordWrap/>
        <w:overflowPunct/>
        <w:topLinePunct w:val="0"/>
        <w:autoSpaceDE/>
        <w:autoSpaceDN/>
        <w:bidi w:val="0"/>
        <w:adjustRightInd/>
        <w:snapToGrid/>
        <w:spacing w:line="560" w:lineRule="exact"/>
        <w:ind w:left="0"/>
        <w:jc w:val="left"/>
        <w:textAlignment w:val="auto"/>
        <w:rPr>
          <w:rFonts w:hint="default" w:ascii="Times New Roman" w:hAnsi="Times New Roman" w:eastAsia="仿宋" w:cs="Times New Roman"/>
          <w:kern w:val="0"/>
          <w:sz w:val="32"/>
          <w:szCs w:val="32"/>
        </w:rPr>
      </w:pPr>
      <w:r>
        <w:rPr>
          <w:rFonts w:hint="default" w:ascii="Times New Roman" w:hAnsi="Times New Roman" w:eastAsia="仿宋_GB2312" w:cs="Times New Roman"/>
          <w:sz w:val="32"/>
          <w:szCs w:val="32"/>
        </w:rPr>
        <w:br w:type="page"/>
      </w:r>
    </w:p>
    <w:p w14:paraId="1CB31852">
      <w:pPr>
        <w:pStyle w:val="2"/>
        <w:keepNext/>
        <w:keepLines/>
        <w:pageBreakBefore w:val="0"/>
        <w:widowControl w:val="0"/>
        <w:kinsoku/>
        <w:wordWrap/>
        <w:overflowPunct/>
        <w:topLinePunct w:val="0"/>
        <w:autoSpaceDE/>
        <w:autoSpaceDN/>
        <w:bidi w:val="0"/>
        <w:adjustRightInd/>
        <w:snapToGrid/>
        <w:spacing w:before="0" w:after="0" w:line="560" w:lineRule="exact"/>
        <w:ind w:left="0"/>
        <w:jc w:val="center"/>
        <w:textAlignment w:val="auto"/>
        <w:rPr>
          <w:rFonts w:hint="default" w:ascii="Times New Roman" w:hAnsi="Times New Roman" w:eastAsia="方正小标宋简体" w:cs="Times New Roman"/>
          <w:b w:val="0"/>
        </w:rPr>
      </w:pPr>
      <w:bookmarkStart w:id="16" w:name="_Toc15396602"/>
      <w:bookmarkStart w:id="17" w:name="_Toc15377204"/>
      <w:r>
        <w:rPr>
          <w:rFonts w:hint="default" w:ascii="Times New Roman" w:hAnsi="Times New Roman" w:eastAsia="方正小标宋简体" w:cs="Times New Roman"/>
          <w:b w:val="0"/>
          <w:lang w:val="en-US" w:eastAsia="zh-CN"/>
        </w:rPr>
        <w:t xml:space="preserve"> </w:t>
      </w:r>
      <w:r>
        <w:rPr>
          <w:rFonts w:hint="default" w:ascii="Times New Roman" w:hAnsi="Times New Roman" w:eastAsia="方正小标宋简体" w:cs="Times New Roman"/>
          <w:b w:val="0"/>
        </w:rPr>
        <w:t>第二部分 2022年度部门决算情况说明</w:t>
      </w:r>
      <w:bookmarkEnd w:id="16"/>
      <w:bookmarkEnd w:id="17"/>
    </w:p>
    <w:p w14:paraId="092AE7B4">
      <w:pPr>
        <w:pageBreakBefore w:val="0"/>
        <w:kinsoku/>
        <w:wordWrap/>
        <w:overflowPunct/>
        <w:topLinePunct w:val="0"/>
        <w:autoSpaceDE/>
        <w:autoSpaceDN/>
        <w:bidi w:val="0"/>
        <w:adjustRightInd/>
        <w:snapToGrid/>
        <w:spacing w:line="560" w:lineRule="exact"/>
        <w:ind w:left="0"/>
        <w:textAlignment w:val="auto"/>
        <w:rPr>
          <w:rFonts w:hint="default" w:ascii="Times New Roman" w:hAnsi="Times New Roman" w:cs="Times New Roman"/>
        </w:rPr>
      </w:pPr>
    </w:p>
    <w:p w14:paraId="65EDCF8D">
      <w:pPr>
        <w:pStyle w:val="27"/>
        <w:pageBreakBefore w:val="0"/>
        <w:numPr>
          <w:ilvl w:val="0"/>
          <w:numId w:val="0"/>
        </w:numPr>
        <w:kinsoku/>
        <w:wordWrap/>
        <w:overflowPunct/>
        <w:topLinePunct w:val="0"/>
        <w:autoSpaceDE/>
        <w:autoSpaceDN/>
        <w:bidi w:val="0"/>
        <w:adjustRightInd/>
        <w:snapToGrid/>
        <w:spacing w:line="560" w:lineRule="exact"/>
        <w:ind w:left="1092" w:leftChars="304" w:hanging="454" w:hangingChars="142"/>
        <w:textAlignment w:val="auto"/>
        <w:outlineLvl w:val="1"/>
        <w:rPr>
          <w:rStyle w:val="29"/>
          <w:rFonts w:hint="default" w:ascii="Times New Roman" w:hAnsi="Times New Roman" w:eastAsia="黑体" w:cs="Times New Roman"/>
          <w:b w:val="0"/>
        </w:rPr>
      </w:pPr>
      <w:bookmarkStart w:id="18" w:name="_Toc15396603"/>
      <w:bookmarkStart w:id="19" w:name="_Toc15377205"/>
      <w:r>
        <w:rPr>
          <w:rFonts w:hint="default" w:ascii="Times New Roman" w:hAnsi="Times New Roman" w:eastAsia="黑体" w:cs="Times New Roman"/>
          <w:b w:val="0"/>
          <w:bCs/>
          <w:kern w:val="2"/>
          <w:sz w:val="32"/>
          <w:szCs w:val="32"/>
          <w:lang w:val="en-US" w:eastAsia="zh-CN" w:bidi="ar-SA"/>
        </w:rPr>
        <w:t>一、</w:t>
      </w:r>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入支出决算总体情况说明</w:t>
      </w:r>
      <w:bookmarkEnd w:id="18"/>
      <w:bookmarkEnd w:id="19"/>
    </w:p>
    <w:p w14:paraId="66E2AD76">
      <w:pPr>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sz w:val="32"/>
          <w:szCs w:val="32"/>
        </w:rPr>
        <w:t>2022年度收、支总计</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万元。与2021年相比，收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支总计减少1196.88</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55.51</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预算项目减少以及部分预算项目资金下降</w:t>
      </w:r>
      <w:r>
        <w:rPr>
          <w:rFonts w:hint="default" w:ascii="Times New Roman" w:hAnsi="Times New Roman" w:eastAsia="仿宋_GB2312" w:cs="Times New Roman"/>
          <w:sz w:val="32"/>
          <w:szCs w:val="32"/>
        </w:rPr>
        <w:t>。</w:t>
      </w:r>
    </w:p>
    <w:p w14:paraId="75A14BF1">
      <w:pPr>
        <w:pStyle w:val="6"/>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drawing>
          <wp:inline distT="0" distB="0" distL="114300" distR="114300">
            <wp:extent cx="4360545" cy="2870835"/>
            <wp:effectExtent l="5080" t="4445" r="15875" b="203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33A86F">
      <w:pPr>
        <w:spacing w:line="60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图1：收、支决算总计变动情况图</w:t>
      </w:r>
    </w:p>
    <w:p w14:paraId="3861E25C">
      <w:pPr>
        <w:pStyle w:val="6"/>
        <w:rPr>
          <w:rFonts w:hint="default" w:ascii="Times New Roman" w:hAnsi="Times New Roman" w:cs="Times New Roman"/>
        </w:rPr>
      </w:pPr>
    </w:p>
    <w:p w14:paraId="3886A525">
      <w:pPr>
        <w:pStyle w:val="27"/>
        <w:keepNext w:val="0"/>
        <w:keepLines w:val="0"/>
        <w:pageBreakBefore w:val="0"/>
        <w:widowControl w:val="0"/>
        <w:numPr>
          <w:ilvl w:val="0"/>
          <w:numId w:val="0"/>
        </w:numPr>
        <w:kinsoku/>
        <w:wordWrap/>
        <w:overflowPunct/>
        <w:topLinePunct w:val="0"/>
        <w:autoSpaceDE/>
        <w:autoSpaceDN/>
        <w:bidi w:val="0"/>
        <w:adjustRightInd/>
        <w:snapToGrid/>
        <w:spacing w:line="360" w:lineRule="auto"/>
        <w:ind w:left="1360" w:leftChars="0" w:hanging="720" w:firstLineChars="0"/>
        <w:textAlignment w:val="auto"/>
        <w:outlineLvl w:val="1"/>
        <w:rPr>
          <w:rStyle w:val="29"/>
          <w:rFonts w:hint="default" w:ascii="Times New Roman" w:hAnsi="Times New Roman" w:eastAsia="黑体" w:cs="Times New Roman"/>
          <w:b w:val="0"/>
        </w:rPr>
      </w:pPr>
      <w:bookmarkStart w:id="20" w:name="_Toc15377206"/>
      <w:bookmarkStart w:id="21" w:name="_Toc15396604"/>
      <w:r>
        <w:rPr>
          <w:rFonts w:hint="default" w:ascii="Times New Roman" w:hAnsi="Times New Roman" w:eastAsia="黑体" w:cs="Times New Roman"/>
          <w:b w:val="0"/>
          <w:bCs/>
          <w:kern w:val="2"/>
          <w:sz w:val="32"/>
          <w:szCs w:val="32"/>
          <w:lang w:val="en-US" w:eastAsia="zh-CN" w:bidi="ar-SA"/>
        </w:rPr>
        <w:t>二、</w:t>
      </w:r>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入决算情况说明</w:t>
      </w:r>
      <w:bookmarkEnd w:id="20"/>
      <w:bookmarkEnd w:id="21"/>
    </w:p>
    <w:p w14:paraId="6C852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2022年本年收入合计</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74CCD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 w:cs="Times New Roman"/>
          <w:color w:val="auto"/>
          <w:sz w:val="32"/>
          <w:szCs w:val="32"/>
        </w:rPr>
      </w:pPr>
    </w:p>
    <w:p w14:paraId="786E454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 w:cs="Times New Roman"/>
          <w:color w:val="auto"/>
          <w:sz w:val="32"/>
          <w:szCs w:val="32"/>
        </w:rPr>
      </w:pPr>
    </w:p>
    <w:p w14:paraId="269958C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 w:cs="Times New Roman"/>
          <w:color w:val="auto"/>
          <w:sz w:val="32"/>
          <w:szCs w:val="32"/>
        </w:rPr>
        <w:drawing>
          <wp:inline distT="0" distB="0" distL="114300" distR="114300">
            <wp:extent cx="4207510" cy="3379470"/>
            <wp:effectExtent l="4445" t="4445" r="17145" b="69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B70EE4">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图2：收入决算结构图</w:t>
      </w:r>
    </w:p>
    <w:p w14:paraId="61AB0084">
      <w:pPr>
        <w:pStyle w:val="6"/>
        <w:rPr>
          <w:rFonts w:hint="default" w:ascii="Times New Roman" w:hAnsi="Times New Roman" w:cs="Times New Roman"/>
        </w:rPr>
      </w:pPr>
    </w:p>
    <w:p w14:paraId="29A14A4A">
      <w:pPr>
        <w:pStyle w:val="2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60" w:leftChars="0" w:hanging="720" w:firstLineChars="0"/>
        <w:textAlignment w:val="auto"/>
        <w:outlineLvl w:val="1"/>
        <w:rPr>
          <w:rStyle w:val="29"/>
          <w:rFonts w:hint="default" w:ascii="Times New Roman" w:hAnsi="Times New Roman" w:eastAsia="黑体" w:cs="Times New Roman"/>
          <w:b w:val="0"/>
        </w:rPr>
      </w:pPr>
      <w:bookmarkStart w:id="22" w:name="_Toc15377207"/>
      <w:bookmarkStart w:id="23" w:name="_Toc15396605"/>
      <w:r>
        <w:rPr>
          <w:rFonts w:hint="default" w:ascii="Times New Roman" w:hAnsi="Times New Roman" w:eastAsia="黑体" w:cs="Times New Roman"/>
          <w:b w:val="0"/>
          <w:bCs/>
          <w:kern w:val="2"/>
          <w:sz w:val="32"/>
          <w:szCs w:val="32"/>
          <w:lang w:val="en-US" w:eastAsia="zh-CN" w:bidi="ar-SA"/>
        </w:rPr>
        <w:t>三、</w:t>
      </w:r>
      <w:r>
        <w:rPr>
          <w:rFonts w:hint="default" w:ascii="Times New Roman" w:hAnsi="Times New Roman" w:eastAsia="黑体" w:cs="Times New Roman"/>
          <w:sz w:val="32"/>
          <w:szCs w:val="32"/>
        </w:rPr>
        <w:t>支</w:t>
      </w:r>
      <w:r>
        <w:rPr>
          <w:rStyle w:val="29"/>
          <w:rFonts w:hint="default" w:ascii="Times New Roman" w:hAnsi="Times New Roman" w:eastAsia="黑体" w:cs="Times New Roman"/>
          <w:b w:val="0"/>
        </w:rPr>
        <w:t>出决算情况说明</w:t>
      </w:r>
      <w:bookmarkEnd w:id="22"/>
      <w:bookmarkEnd w:id="23"/>
    </w:p>
    <w:p w14:paraId="7EA0D9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2022年本年支出合计</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万元，其中：基本支出</w:t>
      </w:r>
      <w:r>
        <w:rPr>
          <w:rFonts w:hint="default" w:ascii="Times New Roman" w:hAnsi="Times New Roman" w:eastAsia="仿宋_GB2312" w:cs="Times New Roman"/>
          <w:sz w:val="32"/>
          <w:szCs w:val="32"/>
          <w:lang w:val="en-US" w:eastAsia="zh-CN"/>
        </w:rPr>
        <w:t>331.08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34.52</w:t>
      </w: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lang w:val="en-US" w:eastAsia="zh-CN"/>
        </w:rPr>
        <w:t>628.0</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65.48</w:t>
      </w:r>
      <w:r>
        <w:rPr>
          <w:rFonts w:hint="default" w:ascii="Times New Roman" w:hAnsi="Times New Roman" w:eastAsia="仿宋_GB2312" w:cs="Times New Roman"/>
          <w:sz w:val="32"/>
          <w:szCs w:val="32"/>
        </w:rPr>
        <w:t>%。</w:t>
      </w:r>
    </w:p>
    <w:p w14:paraId="621C8466">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 w:cs="Times New Roman"/>
          <w:sz w:val="32"/>
          <w:szCs w:val="32"/>
          <w:shd w:val="pct10" w:color="auto" w:fill="FFFFFF"/>
          <w:lang w:eastAsia="zh-CN"/>
        </w:rPr>
      </w:pPr>
      <w:r>
        <w:rPr>
          <w:rFonts w:hint="default" w:ascii="Times New Roman" w:hAnsi="Times New Roman" w:eastAsia="仿宋" w:cs="Times New Roman"/>
          <w:sz w:val="32"/>
          <w:szCs w:val="32"/>
          <w:shd w:val="pct10" w:color="auto" w:fill="FFFFFF"/>
          <w:lang w:eastAsia="zh-CN"/>
        </w:rPr>
        <w:drawing>
          <wp:inline distT="0" distB="0" distL="114300" distR="114300">
            <wp:extent cx="4320540" cy="2686050"/>
            <wp:effectExtent l="4445" t="4445" r="1841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B15493">
      <w:pPr>
        <w:keepNext w:val="0"/>
        <w:keepLines w:val="0"/>
        <w:pageBreakBefore w:val="0"/>
        <w:widowControl w:val="0"/>
        <w:kinsoku/>
        <w:wordWrap/>
        <w:overflowPunct/>
        <w:topLinePunct w:val="0"/>
        <w:autoSpaceDE/>
        <w:autoSpaceDN/>
        <w:bidi w:val="0"/>
        <w:adjustRightInd/>
        <w:snapToGrid/>
        <w:spacing w:line="360" w:lineRule="auto"/>
        <w:ind w:firstLine="2560" w:firstLineChars="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图3：支出决算结构图</w:t>
      </w:r>
    </w:p>
    <w:p w14:paraId="5DF94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41AE81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9"/>
          <w:rFonts w:hint="default" w:ascii="Times New Roman" w:hAnsi="Times New Roman" w:eastAsia="黑体" w:cs="Times New Roman"/>
          <w:b w:val="0"/>
        </w:rPr>
      </w:pPr>
      <w:bookmarkStart w:id="24" w:name="_Toc15396606"/>
      <w:bookmarkStart w:id="25" w:name="_Toc15377208"/>
      <w:r>
        <w:rPr>
          <w:rFonts w:hint="default" w:ascii="Times New Roman" w:hAnsi="Times New Roman" w:eastAsia="黑体" w:cs="Times New Roman"/>
          <w:sz w:val="32"/>
          <w:szCs w:val="32"/>
        </w:rPr>
        <w:t>四、财</w:t>
      </w:r>
      <w:r>
        <w:rPr>
          <w:rStyle w:val="29"/>
          <w:rFonts w:hint="default" w:ascii="Times New Roman" w:hAnsi="Times New Roman" w:eastAsia="黑体" w:cs="Times New Roman"/>
          <w:b w:val="0"/>
        </w:rPr>
        <w:t>政拨款收入支出决算总体情况说明</w:t>
      </w:r>
      <w:bookmarkEnd w:id="24"/>
      <w:bookmarkEnd w:id="25"/>
    </w:p>
    <w:p w14:paraId="20C6D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2022年财政拨款收、支总计</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万元。与2021年相比，财政拨款收</w:t>
      </w:r>
      <w:r>
        <w:rPr>
          <w:rFonts w:hint="default" w:ascii="Times New Roman" w:hAnsi="Times New Roman" w:eastAsia="仿宋_GB2312" w:cs="Times New Roman"/>
          <w:sz w:val="32"/>
          <w:szCs w:val="32"/>
          <w:lang w:eastAsia="zh-CN"/>
        </w:rPr>
        <w:t>、支总计减少</w:t>
      </w:r>
      <w:r>
        <w:rPr>
          <w:rFonts w:hint="default" w:ascii="Times New Roman" w:hAnsi="Times New Roman" w:eastAsia="仿宋_GB2312" w:cs="Times New Roman"/>
          <w:sz w:val="32"/>
          <w:szCs w:val="32"/>
          <w:lang w:val="en-US" w:eastAsia="zh-CN"/>
        </w:rPr>
        <w:t>1189.88万元，</w:t>
      </w:r>
      <w:r>
        <w:rPr>
          <w:rFonts w:hint="default" w:ascii="Times New Roman" w:hAnsi="Times New Roman" w:eastAsia="仿宋_GB2312" w:cs="Times New Roman"/>
          <w:sz w:val="32"/>
          <w:szCs w:val="32"/>
        </w:rPr>
        <w:t>下降</w:t>
      </w:r>
      <w:r>
        <w:rPr>
          <w:rFonts w:hint="default" w:ascii="Times New Roman" w:hAnsi="Times New Roman" w:eastAsia="仿宋_GB2312" w:cs="Times New Roman"/>
          <w:sz w:val="32"/>
          <w:szCs w:val="32"/>
          <w:lang w:val="en-US" w:eastAsia="zh-CN"/>
        </w:rPr>
        <w:t>55.37</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预算项目减少以及部分预算项目资金下降</w:t>
      </w:r>
      <w:r>
        <w:rPr>
          <w:rFonts w:hint="default" w:ascii="Times New Roman" w:hAnsi="Times New Roman" w:eastAsia="仿宋_GB2312" w:cs="Times New Roman"/>
          <w:sz w:val="32"/>
          <w:szCs w:val="32"/>
        </w:rPr>
        <w:t>。</w:t>
      </w:r>
    </w:p>
    <w:p w14:paraId="55D22F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36C67BE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sz w:val="32"/>
          <w:szCs w:val="32"/>
          <w:lang w:eastAsia="zh-CN"/>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3633470</wp:posOffset>
                </wp:positionH>
                <wp:positionV relativeFrom="paragraph">
                  <wp:posOffset>201930</wp:posOffset>
                </wp:positionV>
                <wp:extent cx="1110615" cy="365125"/>
                <wp:effectExtent l="0" t="0" r="13335" b="15875"/>
                <wp:wrapNone/>
                <wp:docPr id="7" name="椭圆 2"/>
                <wp:cNvGraphicFramePr/>
                <a:graphic xmlns:a="http://schemas.openxmlformats.org/drawingml/2006/main">
                  <a:graphicData uri="http://schemas.microsoft.com/office/word/2010/wordprocessingShape">
                    <wps:wsp>
                      <wps:cNvSpPr/>
                      <wps:spPr>
                        <a:xfrm>
                          <a:off x="0" y="0"/>
                          <a:ext cx="1110615" cy="365125"/>
                        </a:xfrm>
                        <a:prstGeom prst="ellipse">
                          <a:avLst/>
                        </a:prstGeom>
                        <a:solidFill>
                          <a:srgbClr val="FFFFFF"/>
                        </a:solidFill>
                        <a:ln>
                          <a:noFill/>
                        </a:ln>
                      </wps:spPr>
                      <wps:txbx>
                        <w:txbxContent>
                          <w:p w14:paraId="461BA3F7">
                            <w:pPr>
                              <w:rPr>
                                <w:rFonts w:hint="eastAsia" w:eastAsia="宋体"/>
                                <w:lang w:eastAsia="zh-CN"/>
                              </w:rPr>
                            </w:pPr>
                            <w:r>
                              <w:rPr>
                                <w:rFonts w:hint="eastAsia"/>
                                <w:lang w:eastAsia="zh-CN"/>
                              </w:rPr>
                              <w:t>单位：万元</w:t>
                            </w:r>
                          </w:p>
                        </w:txbxContent>
                      </wps:txbx>
                      <wps:bodyPr upright="1"/>
                    </wps:wsp>
                  </a:graphicData>
                </a:graphic>
              </wp:anchor>
            </w:drawing>
          </mc:Choice>
          <mc:Fallback>
            <w:pict>
              <v:shape id="椭圆 2" o:spid="_x0000_s1026" o:spt="3" type="#_x0000_t3" style="position:absolute;left:0pt;margin-left:286.1pt;margin-top:15.9pt;height:28.75pt;width:87.45pt;z-index:251660288;mso-width-relative:page;mso-height-relative:page;" fillcolor="#FFFFFF" filled="t" stroked="f" coordsize="21600,21600" o:gfxdata="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eJ9yp1gAAAAkBAAAPAAAAAAAAAAEAIAAAACIAAABkcnMvZG93bnJldi54bWxQSwECFAAUAAAA&#10;CACHTuJAcSUDZbcBAABtAwAADgAAAAAAAAABACAAAAAlAQAAZHJzL2Uyb0RvYy54bWxQSwUGAAAA&#10;AAYABgBZAQAATgUAAAAA&#10;">
                <v:fill on="t" focussize="0,0"/>
                <v:stroke on="f"/>
                <v:imagedata o:title=""/>
                <o:lock v:ext="edit" aspectratio="f"/>
                <v:textbox>
                  <w:txbxContent>
                    <w:p w14:paraId="461BA3F7">
                      <w:pPr>
                        <w:rPr>
                          <w:rFonts w:hint="eastAsia" w:eastAsia="宋体"/>
                          <w:lang w:eastAsia="zh-CN"/>
                        </w:rPr>
                      </w:pPr>
                      <w:r>
                        <w:rPr>
                          <w:rFonts w:hint="eastAsia"/>
                          <w:lang w:eastAsia="zh-CN"/>
                        </w:rPr>
                        <w:t>单位：万元</w:t>
                      </w:r>
                    </w:p>
                  </w:txbxContent>
                </v:textbox>
              </v:shape>
            </w:pict>
          </mc:Fallback>
        </mc:AlternateContent>
      </w:r>
      <w:r>
        <w:rPr>
          <w:rFonts w:hint="default" w:ascii="Times New Roman" w:hAnsi="Times New Roman" w:eastAsia="仿宋_GB2312" w:cs="Times New Roman"/>
          <w:sz w:val="32"/>
          <w:szCs w:val="32"/>
          <w:lang w:eastAsia="zh-CN"/>
        </w:rPr>
        <w:drawing>
          <wp:inline distT="0" distB="0" distL="114300" distR="114300">
            <wp:extent cx="5066665" cy="2934335"/>
            <wp:effectExtent l="4445" t="4445" r="15240"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9F71523">
      <w:pPr>
        <w:keepNext w:val="0"/>
        <w:keepLines w:val="0"/>
        <w:pageBreakBefore w:val="0"/>
        <w:widowControl w:val="0"/>
        <w:kinsoku/>
        <w:wordWrap/>
        <w:overflowPunct/>
        <w:topLinePunct w:val="0"/>
        <w:autoSpaceDE/>
        <w:autoSpaceDN/>
        <w:bidi w:val="0"/>
        <w:adjustRightInd/>
        <w:snapToGrid/>
        <w:spacing w:line="360" w:lineRule="auto"/>
        <w:ind w:firstLine="1280" w:firstLineChars="4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图4：财政拨款收、支决算总计变动情况</w:t>
      </w:r>
    </w:p>
    <w:p w14:paraId="24BE22B2">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Times New Roman" w:hAnsi="Times New Roman" w:eastAsia="仿宋" w:cs="Times New Roman"/>
          <w:b/>
          <w:sz w:val="32"/>
          <w:szCs w:val="32"/>
        </w:rPr>
      </w:pPr>
    </w:p>
    <w:p w14:paraId="65B3C3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Style w:val="29"/>
          <w:rFonts w:hint="default" w:ascii="Times New Roman" w:hAnsi="Times New Roman" w:eastAsia="黑体" w:cs="Times New Roman"/>
          <w:b w:val="0"/>
        </w:rPr>
      </w:pPr>
      <w:bookmarkStart w:id="26" w:name="_Toc15396607"/>
      <w:bookmarkStart w:id="27"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26"/>
      <w:bookmarkEnd w:id="27"/>
    </w:p>
    <w:p w14:paraId="2B7BB0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28" w:name="_Toc15377210"/>
      <w:r>
        <w:rPr>
          <w:rFonts w:hint="default" w:ascii="Times New Roman" w:hAnsi="Times New Roman" w:eastAsia="楷体_GB2312" w:cs="Times New Roman"/>
          <w:b w:val="0"/>
          <w:bCs/>
          <w:sz w:val="32"/>
          <w:szCs w:val="32"/>
        </w:rPr>
        <w:t>（一）一般公共预算财政拨款支出决算总体情况</w:t>
      </w:r>
      <w:bookmarkEnd w:id="28"/>
      <w:r>
        <w:rPr>
          <w:rFonts w:hint="default" w:ascii="Times New Roman" w:hAnsi="Times New Roman" w:eastAsia="楷体_GB2312" w:cs="Times New Roman"/>
          <w:b w:val="0"/>
          <w:bCs/>
          <w:sz w:val="32"/>
          <w:szCs w:val="32"/>
          <w:lang w:eastAsia="zh-CN"/>
        </w:rPr>
        <w:t>。</w:t>
      </w:r>
    </w:p>
    <w:p w14:paraId="00039B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%。与2021年相比，一般公共预算财政拨款支出减少</w:t>
      </w:r>
      <w:r>
        <w:rPr>
          <w:rFonts w:hint="default" w:ascii="Times New Roman" w:hAnsi="Times New Roman" w:eastAsia="仿宋_GB2312" w:cs="Times New Roman"/>
          <w:sz w:val="32"/>
          <w:szCs w:val="32"/>
          <w:lang w:val="en-US" w:eastAsia="zh-CN"/>
        </w:rPr>
        <w:t>1154.48</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54.62</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预算项目减少以及部分预算项目资金下降。</w:t>
      </w:r>
    </w:p>
    <w:p w14:paraId="617D7C05">
      <w:pPr>
        <w:pStyle w:val="6"/>
        <w:rPr>
          <w:rFonts w:hint="default" w:ascii="Times New Roman" w:hAnsi="Times New Roman" w:cs="Times New Roman"/>
        </w:rPr>
      </w:pPr>
    </w:p>
    <w:p w14:paraId="4C22D343">
      <w:pPr>
        <w:pStyle w:val="6"/>
        <w:rPr>
          <w:rFonts w:hint="default" w:ascii="Times New Roman" w:hAnsi="Times New Roman" w:cs="Times New Roman"/>
        </w:rPr>
      </w:pP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3863975</wp:posOffset>
                </wp:positionH>
                <wp:positionV relativeFrom="paragraph">
                  <wp:posOffset>273050</wp:posOffset>
                </wp:positionV>
                <wp:extent cx="1110615" cy="365125"/>
                <wp:effectExtent l="0" t="0" r="13335" b="15875"/>
                <wp:wrapNone/>
                <wp:docPr id="8" name="椭圆 3"/>
                <wp:cNvGraphicFramePr/>
                <a:graphic xmlns:a="http://schemas.openxmlformats.org/drawingml/2006/main">
                  <a:graphicData uri="http://schemas.microsoft.com/office/word/2010/wordprocessingShape">
                    <wps:wsp>
                      <wps:cNvSpPr/>
                      <wps:spPr>
                        <a:xfrm>
                          <a:off x="0" y="0"/>
                          <a:ext cx="1110615" cy="365125"/>
                        </a:xfrm>
                        <a:prstGeom prst="ellipse">
                          <a:avLst/>
                        </a:prstGeom>
                        <a:solidFill>
                          <a:srgbClr val="FFFFFF"/>
                        </a:solidFill>
                        <a:ln>
                          <a:noFill/>
                        </a:ln>
                      </wps:spPr>
                      <wps:txbx>
                        <w:txbxContent>
                          <w:p w14:paraId="725F1CA9">
                            <w:pPr>
                              <w:rPr>
                                <w:rFonts w:hint="eastAsia" w:eastAsia="宋体"/>
                                <w:lang w:eastAsia="zh-CN"/>
                              </w:rPr>
                            </w:pPr>
                            <w:r>
                              <w:rPr>
                                <w:rFonts w:hint="eastAsia"/>
                                <w:lang w:eastAsia="zh-CN"/>
                              </w:rPr>
                              <w:t>单位：万元</w:t>
                            </w:r>
                          </w:p>
                        </w:txbxContent>
                      </wps:txbx>
                      <wps:bodyPr upright="1"/>
                    </wps:wsp>
                  </a:graphicData>
                </a:graphic>
              </wp:anchor>
            </w:drawing>
          </mc:Choice>
          <mc:Fallback>
            <w:pict>
              <v:shape id="椭圆 3" o:spid="_x0000_s1026" o:spt="3" type="#_x0000_t3" style="position:absolute;left:0pt;margin-left:304.25pt;margin-top:21.5pt;height:28.75pt;width:87.45pt;z-index:251661312;mso-width-relative:page;mso-height-relative:page;" fillcolor="#FFFFFF" filled="t" stroked="f" coordsize="21600,21600" o:gfxdata="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29kVO1gAAAAoBAAAPAAAAAAAAAAEAIAAAACIAAABkcnMvZG93bnJldi54bWxQSwECFAAUAAAA&#10;CACHTuJA6Im0vLcBAABtAwAADgAAAAAAAAABACAAAAAlAQAAZHJzL2Uyb0RvYy54bWxQSwUGAAAA&#10;AAYABgBZAQAATgUAAAAA&#10;">
                <v:fill on="t" focussize="0,0"/>
                <v:stroke on="f"/>
                <v:imagedata o:title=""/>
                <o:lock v:ext="edit" aspectratio="f"/>
                <v:textbox>
                  <w:txbxContent>
                    <w:p w14:paraId="725F1CA9">
                      <w:pPr>
                        <w:rPr>
                          <w:rFonts w:hint="eastAsia" w:eastAsia="宋体"/>
                          <w:lang w:eastAsia="zh-CN"/>
                        </w:rPr>
                      </w:pPr>
                      <w:r>
                        <w:rPr>
                          <w:rFonts w:hint="eastAsia"/>
                          <w:lang w:eastAsia="zh-CN"/>
                        </w:rPr>
                        <w:t>单位：万元</w:t>
                      </w:r>
                    </w:p>
                  </w:txbxContent>
                </v:textbox>
              </v:shape>
            </w:pict>
          </mc:Fallback>
        </mc:AlternateContent>
      </w:r>
      <w:r>
        <w:rPr>
          <w:rFonts w:hint="default" w:ascii="Times New Roman" w:hAnsi="Times New Roman" w:cs="Times New Roman"/>
          <w:lang w:val="en-US" w:eastAsia="zh-CN"/>
        </w:rPr>
        <w:t xml:space="preserve">  </w:t>
      </w:r>
      <w:r>
        <w:rPr>
          <w:rFonts w:hint="default" w:ascii="Times New Roman" w:hAnsi="Times New Roman" w:cs="Times New Roman"/>
        </w:rPr>
        <w:drawing>
          <wp:inline distT="0" distB="0" distL="114300" distR="114300">
            <wp:extent cx="4932045" cy="2726690"/>
            <wp:effectExtent l="4445" t="4445" r="16510"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D1EE3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图5：一般公共预算财政拨款支出决算变动情况</w:t>
      </w:r>
    </w:p>
    <w:p w14:paraId="4D880931">
      <w:pPr>
        <w:pStyle w:val="6"/>
        <w:rPr>
          <w:rFonts w:hint="default" w:ascii="Times New Roman" w:hAnsi="Times New Roman" w:cs="Times New Roman"/>
        </w:rPr>
      </w:pPr>
    </w:p>
    <w:p w14:paraId="3FA136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29" w:name="_Toc15377211"/>
      <w:r>
        <w:rPr>
          <w:rFonts w:hint="default" w:ascii="Times New Roman" w:hAnsi="Times New Roman" w:eastAsia="楷体_GB2312" w:cs="Times New Roman"/>
          <w:b w:val="0"/>
          <w:bCs/>
          <w:sz w:val="32"/>
          <w:szCs w:val="32"/>
        </w:rPr>
        <w:t>（二）一般公共预算财政拨款支出决算结构情况</w:t>
      </w:r>
      <w:bookmarkEnd w:id="29"/>
      <w:r>
        <w:rPr>
          <w:rFonts w:hint="default" w:ascii="Times New Roman" w:hAnsi="Times New Roman" w:eastAsia="楷体_GB2312" w:cs="Times New Roman"/>
          <w:b w:val="0"/>
          <w:bCs/>
          <w:sz w:val="32"/>
          <w:szCs w:val="32"/>
          <w:lang w:eastAsia="zh-CN"/>
        </w:rPr>
        <w:t>。</w:t>
      </w:r>
    </w:p>
    <w:p w14:paraId="5232DE2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959.14</w:t>
      </w:r>
      <w:r>
        <w:rPr>
          <w:rFonts w:hint="default" w:ascii="Times New Roman" w:hAnsi="Times New Roman" w:eastAsia="仿宋_GB2312" w:cs="Times New Roman"/>
          <w:sz w:val="32"/>
          <w:szCs w:val="32"/>
        </w:rPr>
        <w:t>万元，主要用于以下方面</w:t>
      </w:r>
      <w:r>
        <w:rPr>
          <w:rFonts w:hint="eastAsia" w:eastAsia="仿宋_GB2312" w:cs="Times New Roman"/>
          <w:sz w:val="32"/>
          <w:szCs w:val="32"/>
          <w:lang w:eastAsia="zh-CN"/>
        </w:rPr>
        <w:t>：</w:t>
      </w:r>
      <w:r>
        <w:rPr>
          <w:rFonts w:hint="default" w:ascii="Times New Roman" w:hAnsi="Times New Roman" w:eastAsia="仿宋_GB2312" w:cs="Times New Roman"/>
          <w:b/>
          <w:sz w:val="32"/>
          <w:szCs w:val="32"/>
        </w:rPr>
        <w:t>社会保障和就业</w:t>
      </w:r>
      <w:r>
        <w:rPr>
          <w:rFonts w:hint="default" w:ascii="Times New Roman" w:hAnsi="Times New Roman" w:eastAsia="仿宋_GB2312" w:cs="Times New Roman"/>
          <w:b/>
          <w:bCs/>
          <w:sz w:val="32"/>
          <w:szCs w:val="32"/>
        </w:rPr>
        <w:t>支出</w:t>
      </w:r>
      <w:r>
        <w:rPr>
          <w:rFonts w:hint="default" w:ascii="Times New Roman" w:hAnsi="Times New Roman" w:eastAsia="仿宋_GB2312" w:cs="Times New Roman"/>
          <w:sz w:val="32"/>
          <w:szCs w:val="32"/>
          <w:lang w:val="en-US" w:eastAsia="zh-CN"/>
        </w:rPr>
        <w:t>27.1</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2.83</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卫生健康支出</w:t>
      </w:r>
      <w:r>
        <w:rPr>
          <w:rFonts w:hint="default" w:ascii="Times New Roman" w:hAnsi="Times New Roman" w:eastAsia="仿宋_GB2312" w:cs="Times New Roman"/>
          <w:b w:val="0"/>
          <w:bCs w:val="0"/>
          <w:sz w:val="32"/>
          <w:szCs w:val="32"/>
          <w:lang w:val="en-US" w:eastAsia="zh-CN"/>
        </w:rPr>
        <w:t>908.04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94.67</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住房保障支出</w:t>
      </w:r>
      <w:r>
        <w:rPr>
          <w:rFonts w:hint="default" w:ascii="Times New Roman" w:hAnsi="Times New Roman" w:eastAsia="仿宋_GB2312" w:cs="Times New Roman"/>
          <w:sz w:val="32"/>
          <w:szCs w:val="32"/>
          <w:lang w:val="en-US" w:eastAsia="zh-CN"/>
        </w:rPr>
        <w:t>23.98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w:t>
      </w:r>
    </w:p>
    <w:p w14:paraId="5C5CAE25">
      <w:pPr>
        <w:pStyle w:val="6"/>
        <w:rPr>
          <w:rFonts w:hint="default" w:ascii="Times New Roman" w:hAnsi="Times New Roman" w:eastAsia="仿宋" w:cs="Times New Roman"/>
          <w:sz w:val="32"/>
          <w:szCs w:val="32"/>
        </w:rPr>
      </w:pPr>
      <w:r>
        <w:rPr>
          <w:rFonts w:hint="default" w:ascii="Times New Roman" w:hAnsi="Times New Roman"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drawing>
          <wp:inline distT="0" distB="0" distL="114300" distR="114300">
            <wp:extent cx="4408170" cy="2724150"/>
            <wp:effectExtent l="4445" t="5080" r="6985"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99FAEA">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cs="Times New Roman"/>
        </w:rPr>
      </w:pPr>
      <w:r>
        <w:rPr>
          <w:rFonts w:hint="default" w:ascii="Times New Roman" w:hAnsi="Times New Roman" w:eastAsia="仿宋_GB2312" w:cs="Times New Roman"/>
          <w:sz w:val="32"/>
          <w:szCs w:val="32"/>
        </w:rPr>
        <w:t>图6：一般公共预算财政拨款支出决算结构</w:t>
      </w:r>
    </w:p>
    <w:p w14:paraId="1FDFE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30" w:name="_Toc15377212"/>
      <w:r>
        <w:rPr>
          <w:rFonts w:hint="default" w:ascii="Times New Roman" w:hAnsi="Times New Roman" w:eastAsia="楷体_GB2312" w:cs="Times New Roman"/>
          <w:b w:val="0"/>
          <w:bCs/>
          <w:sz w:val="32"/>
          <w:szCs w:val="32"/>
        </w:rPr>
        <w:t>（三）一般公共预算财政拨款支出决算具体情况</w:t>
      </w:r>
      <w:bookmarkEnd w:id="30"/>
      <w:r>
        <w:rPr>
          <w:rFonts w:hint="default" w:ascii="Times New Roman" w:hAnsi="Times New Roman" w:eastAsia="楷体_GB2312" w:cs="Times New Roman"/>
          <w:b w:val="0"/>
          <w:bCs/>
          <w:sz w:val="32"/>
          <w:szCs w:val="32"/>
          <w:lang w:eastAsia="zh-CN"/>
        </w:rPr>
        <w:t>。</w:t>
      </w:r>
    </w:p>
    <w:p w14:paraId="7DF408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default" w:ascii="Times New Roman" w:hAnsi="Times New Roman" w:eastAsia="仿宋_GB2312" w:cs="Times New Roman"/>
          <w:sz w:val="32"/>
          <w:szCs w:val="32"/>
        </w:rPr>
      </w:pPr>
      <w:bookmarkStart w:id="31" w:name="_Toc15378460"/>
      <w:bookmarkStart w:id="32" w:name="_Toc15377444"/>
      <w:bookmarkStart w:id="33" w:name="_Toc15377213"/>
      <w:r>
        <w:rPr>
          <w:rFonts w:hint="default" w:ascii="Times New Roman" w:hAnsi="Times New Roman" w:eastAsia="仿宋_GB2312" w:cs="Times New Roman"/>
          <w:b/>
          <w:sz w:val="32"/>
          <w:szCs w:val="32"/>
        </w:rPr>
        <w:t>2022年一般公共预算支出决算数为</w:t>
      </w:r>
      <w:r>
        <w:rPr>
          <w:rFonts w:hint="default" w:ascii="Times New Roman" w:hAnsi="Times New Roman" w:eastAsia="仿宋_GB2312" w:cs="Times New Roman"/>
          <w:b/>
          <w:sz w:val="32"/>
          <w:szCs w:val="32"/>
          <w:lang w:val="en-US" w:eastAsia="zh-CN"/>
        </w:rPr>
        <w:t>959.14万元</w:t>
      </w:r>
      <w:r>
        <w:rPr>
          <w:rFonts w:hint="default" w:ascii="Times New Roman" w:hAnsi="Times New Roman" w:eastAsia="仿宋_GB2312" w:cs="Times New Roman"/>
          <w:sz w:val="32"/>
          <w:szCs w:val="32"/>
        </w:rPr>
        <w:t>，</w:t>
      </w:r>
      <w:r>
        <w:rPr>
          <w:rStyle w:val="17"/>
          <w:rFonts w:hint="default" w:ascii="Times New Roman" w:hAnsi="Times New Roman" w:eastAsia="仿宋_GB2312" w:cs="Times New Roman"/>
          <w:bCs/>
          <w:sz w:val="32"/>
          <w:szCs w:val="32"/>
        </w:rPr>
        <w:t>完成预算</w:t>
      </w:r>
      <w:r>
        <w:rPr>
          <w:rStyle w:val="17"/>
          <w:rFonts w:hint="default" w:ascii="Times New Roman" w:hAnsi="Times New Roman" w:eastAsia="仿宋_GB2312" w:cs="Times New Roman"/>
          <w:bCs/>
          <w:sz w:val="32"/>
          <w:szCs w:val="32"/>
          <w:lang w:val="en-US" w:eastAsia="zh-CN"/>
        </w:rPr>
        <w:t>100</w:t>
      </w:r>
      <w:r>
        <w:rPr>
          <w:rStyle w:val="17"/>
          <w:rFonts w:hint="default" w:ascii="Times New Roman" w:hAnsi="Times New Roman" w:eastAsia="仿宋_GB2312" w:cs="Times New Roman"/>
          <w:bCs/>
          <w:sz w:val="32"/>
          <w:szCs w:val="32"/>
        </w:rPr>
        <w:t>%。其中：</w:t>
      </w:r>
      <w:bookmarkEnd w:id="31"/>
      <w:bookmarkEnd w:id="32"/>
      <w:bookmarkEnd w:id="33"/>
    </w:p>
    <w:p w14:paraId="1B5B15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1</w:t>
      </w:r>
      <w:r>
        <w:rPr>
          <w:rStyle w:val="17"/>
          <w:rFonts w:hint="default" w:ascii="Times New Roman" w:hAnsi="Times New Roman" w:eastAsia="仿宋_GB2312" w:cs="Times New Roman"/>
          <w:bCs/>
          <w:sz w:val="32"/>
          <w:szCs w:val="32"/>
        </w:rPr>
        <w:t>.社会保障和就业（类）</w:t>
      </w:r>
      <w:r>
        <w:rPr>
          <w:rStyle w:val="17"/>
          <w:rFonts w:hint="default" w:ascii="Times New Roman" w:hAnsi="Times New Roman" w:eastAsia="仿宋_GB2312" w:cs="Times New Roman"/>
          <w:bCs/>
          <w:sz w:val="32"/>
          <w:szCs w:val="32"/>
          <w:lang w:eastAsia="zh-CN"/>
        </w:rPr>
        <w:t>行政事业单位养老支出</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行政单位离退休</w:t>
      </w:r>
      <w:r>
        <w:rPr>
          <w:rStyle w:val="17"/>
          <w:rFonts w:hint="default" w:ascii="Times New Roman" w:hAnsi="Times New Roman" w:eastAsia="仿宋_GB2312" w:cs="Times New Roman"/>
          <w:bCs/>
          <w:sz w:val="32"/>
          <w:szCs w:val="32"/>
        </w:rPr>
        <w:t>（项）</w:t>
      </w:r>
      <w:r>
        <w:rPr>
          <w:rStyle w:val="17"/>
          <w:rFonts w:hint="eastAsia" w:eastAsia="仿宋_GB2312"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0.07</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4B48027C">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2.</w:t>
      </w:r>
      <w:r>
        <w:rPr>
          <w:rStyle w:val="17"/>
          <w:rFonts w:hint="default" w:ascii="Times New Roman" w:hAnsi="Times New Roman" w:eastAsia="仿宋_GB2312" w:cs="Times New Roman"/>
          <w:bCs/>
          <w:sz w:val="32"/>
          <w:szCs w:val="32"/>
        </w:rPr>
        <w:t>社会保障和就业（类）</w:t>
      </w:r>
      <w:r>
        <w:rPr>
          <w:rStyle w:val="17"/>
          <w:rFonts w:hint="default" w:ascii="Times New Roman" w:hAnsi="Times New Roman" w:eastAsia="仿宋_GB2312" w:cs="Times New Roman"/>
          <w:bCs/>
          <w:sz w:val="32"/>
          <w:szCs w:val="32"/>
          <w:lang w:eastAsia="zh-CN"/>
        </w:rPr>
        <w:t>行政事业单位养老支出</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机关事业单位基本养老保险缴费支出</w:t>
      </w:r>
      <w:r>
        <w:rPr>
          <w:rStyle w:val="17"/>
          <w:rFonts w:hint="default" w:ascii="Times New Roman" w:hAnsi="Times New Roman" w:eastAsia="仿宋_GB2312" w:cs="Times New Roman"/>
          <w:bCs/>
          <w:sz w:val="32"/>
          <w:szCs w:val="32"/>
        </w:rPr>
        <w:t>（项）</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21.6</w:t>
      </w:r>
      <w:r>
        <w:rPr>
          <w:rStyle w:val="17"/>
          <w:rFonts w:hint="eastAsia" w:ascii="Times New Roman" w:cs="Times New Roman"/>
          <w:b w:val="0"/>
          <w:bCs/>
          <w:sz w:val="32"/>
          <w:szCs w:val="32"/>
          <w:lang w:val="en-US" w:eastAsia="zh-CN"/>
        </w:rPr>
        <w:t>7</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673FA663">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lang w:val="en-US" w:eastAsia="zh-CN"/>
        </w:rPr>
      </w:pPr>
      <w:r>
        <w:rPr>
          <w:rStyle w:val="17"/>
          <w:rFonts w:hint="default" w:ascii="Times New Roman" w:hAnsi="Times New Roman" w:eastAsia="仿宋_GB2312" w:cs="Times New Roman"/>
          <w:bCs/>
          <w:sz w:val="32"/>
          <w:szCs w:val="32"/>
          <w:lang w:val="en-US" w:eastAsia="zh-CN"/>
        </w:rPr>
        <w:t>3.</w:t>
      </w:r>
      <w:r>
        <w:rPr>
          <w:rStyle w:val="17"/>
          <w:rFonts w:hint="default" w:ascii="Times New Roman" w:hAnsi="Times New Roman" w:eastAsia="仿宋_GB2312" w:cs="Times New Roman"/>
          <w:bCs/>
          <w:sz w:val="32"/>
          <w:szCs w:val="32"/>
        </w:rPr>
        <w:t>社会保障和就业（类）</w:t>
      </w:r>
      <w:r>
        <w:rPr>
          <w:rStyle w:val="17"/>
          <w:rFonts w:hint="default" w:ascii="Times New Roman" w:hAnsi="Times New Roman" w:eastAsia="仿宋_GB2312" w:cs="Times New Roman"/>
          <w:bCs/>
          <w:sz w:val="32"/>
          <w:szCs w:val="32"/>
          <w:lang w:eastAsia="zh-CN"/>
        </w:rPr>
        <w:t>行政事业单位养老支出</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机关事业单位职业年金缴费支出</w:t>
      </w:r>
      <w:r>
        <w:rPr>
          <w:rStyle w:val="17"/>
          <w:rFonts w:hint="default" w:ascii="Times New Roman" w:hAnsi="Times New Roman" w:eastAsia="仿宋_GB2312" w:cs="Times New Roman"/>
          <w:bCs/>
          <w:sz w:val="32"/>
          <w:szCs w:val="32"/>
        </w:rPr>
        <w:t>（项）</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5.39</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36C391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4</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Style w:val="17"/>
          <w:rFonts w:hint="default" w:ascii="Times New Roman" w:hAnsi="Times New Roman" w:eastAsia="仿宋_GB2312" w:cs="Times New Roman"/>
          <w:bCs/>
          <w:sz w:val="32"/>
          <w:szCs w:val="32"/>
        </w:rPr>
        <w:t>（类）</w:t>
      </w:r>
      <w:r>
        <w:rPr>
          <w:rStyle w:val="17"/>
          <w:rFonts w:hint="default" w:ascii="Times New Roman" w:hAnsi="Times New Roman" w:eastAsia="仿宋_GB2312" w:cs="Times New Roman"/>
          <w:bCs/>
          <w:sz w:val="32"/>
          <w:szCs w:val="32"/>
          <w:lang w:eastAsia="zh-CN"/>
        </w:rPr>
        <w:t>行政事业单位医疗</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行政单位医疗（</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eastAsia="仿宋_GB2312"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16.46</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5F21948F">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lang w:val="en-US" w:eastAsia="zh-CN"/>
        </w:rPr>
      </w:pPr>
      <w:r>
        <w:rPr>
          <w:rStyle w:val="17"/>
          <w:rFonts w:hint="default" w:ascii="Times New Roman" w:hAnsi="Times New Roman" w:eastAsia="仿宋_GB2312" w:cs="Times New Roman"/>
          <w:bCs/>
          <w:sz w:val="32"/>
          <w:szCs w:val="32"/>
          <w:lang w:val="en-US" w:eastAsia="zh-CN"/>
        </w:rPr>
        <w:t>5</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Style w:val="17"/>
          <w:rFonts w:hint="default" w:ascii="Times New Roman" w:hAnsi="Times New Roman" w:eastAsia="仿宋_GB2312" w:cs="Times New Roman"/>
          <w:bCs/>
          <w:sz w:val="32"/>
          <w:szCs w:val="32"/>
        </w:rPr>
        <w:t>（类）</w:t>
      </w:r>
      <w:r>
        <w:rPr>
          <w:rStyle w:val="17"/>
          <w:rFonts w:hint="default" w:ascii="Times New Roman" w:hAnsi="Times New Roman" w:eastAsia="仿宋_GB2312" w:cs="Times New Roman"/>
          <w:bCs/>
          <w:sz w:val="32"/>
          <w:szCs w:val="32"/>
          <w:lang w:eastAsia="zh-CN"/>
        </w:rPr>
        <w:t>行政事业单位医疗</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公务员医疗补助（</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10.49</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2F088D59">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6</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Style w:val="17"/>
          <w:rFonts w:hint="default" w:ascii="Times New Roman" w:hAnsi="Times New Roman" w:eastAsia="仿宋_GB2312" w:cs="Times New Roman"/>
          <w:bCs/>
          <w:sz w:val="32"/>
          <w:szCs w:val="32"/>
        </w:rPr>
        <w:t>（类）</w:t>
      </w:r>
      <w:r>
        <w:rPr>
          <w:rStyle w:val="17"/>
          <w:rFonts w:hint="default" w:ascii="Times New Roman" w:hAnsi="Times New Roman" w:eastAsia="仿宋_GB2312" w:cs="Times New Roman"/>
          <w:bCs/>
          <w:sz w:val="32"/>
          <w:szCs w:val="32"/>
          <w:lang w:eastAsia="zh-CN"/>
        </w:rPr>
        <w:t>医疗救助</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城乡医疗救助（</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607.27</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31A5D40D">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lang w:val="en-US" w:eastAsia="zh-CN"/>
        </w:rPr>
      </w:pPr>
      <w:r>
        <w:rPr>
          <w:rStyle w:val="17"/>
          <w:rFonts w:hint="default" w:ascii="Times New Roman" w:hAnsi="Times New Roman" w:eastAsia="仿宋_GB2312" w:cs="Times New Roman"/>
          <w:bCs/>
          <w:sz w:val="32"/>
          <w:szCs w:val="32"/>
          <w:lang w:val="en-US" w:eastAsia="zh-CN"/>
        </w:rPr>
        <w:t>7</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Fonts w:hint="default" w:ascii="Times New Roman" w:hAnsi="Times New Roman" w:eastAsia="仿宋_GB2312" w:cs="Times New Roman"/>
          <w:b/>
          <w:bCs/>
          <w:sz w:val="32"/>
          <w:szCs w:val="32"/>
          <w:lang w:eastAsia="zh-CN"/>
        </w:rPr>
        <w:t>（类）</w:t>
      </w:r>
      <w:r>
        <w:rPr>
          <w:rStyle w:val="17"/>
          <w:rFonts w:hint="default" w:ascii="Times New Roman" w:hAnsi="Times New Roman" w:eastAsia="仿宋_GB2312" w:cs="Times New Roman"/>
          <w:bCs/>
          <w:sz w:val="32"/>
          <w:szCs w:val="32"/>
          <w:lang w:eastAsia="zh-CN"/>
        </w:rPr>
        <w:t>医疗保障管理事务</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行政运行（</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253.02</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6B928657">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8</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Style w:val="17"/>
          <w:rFonts w:hint="default" w:ascii="Times New Roman" w:hAnsi="Times New Roman" w:eastAsia="仿宋_GB2312" w:cs="Times New Roman"/>
          <w:bCs/>
          <w:sz w:val="32"/>
          <w:szCs w:val="32"/>
        </w:rPr>
        <w:t>（类）</w:t>
      </w:r>
      <w:r>
        <w:rPr>
          <w:rStyle w:val="17"/>
          <w:rFonts w:hint="default" w:ascii="Times New Roman" w:hAnsi="Times New Roman" w:eastAsia="仿宋_GB2312" w:cs="Times New Roman"/>
          <w:bCs/>
          <w:sz w:val="32"/>
          <w:szCs w:val="32"/>
          <w:lang w:eastAsia="zh-CN"/>
        </w:rPr>
        <w:t>医疗保障管理事务</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医疗保障政策管理（</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0.1</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347165C7">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rPr>
      </w:pPr>
      <w:r>
        <w:rPr>
          <w:rStyle w:val="17"/>
          <w:rFonts w:hint="default" w:ascii="Times New Roman" w:hAnsi="Times New Roman" w:eastAsia="仿宋_GB2312" w:cs="Times New Roman"/>
          <w:bCs/>
          <w:sz w:val="32"/>
          <w:szCs w:val="32"/>
          <w:lang w:val="en-US" w:eastAsia="zh-CN"/>
        </w:rPr>
        <w:t>9</w:t>
      </w:r>
      <w:r>
        <w:rPr>
          <w:rStyle w:val="17"/>
          <w:rFonts w:hint="default" w:ascii="Times New Roman" w:hAnsi="Times New Roman" w:eastAsia="仿宋_GB2312" w:cs="Times New Roman"/>
          <w:bCs/>
          <w:sz w:val="32"/>
          <w:szCs w:val="32"/>
        </w:rPr>
        <w:t>.</w:t>
      </w:r>
      <w:r>
        <w:rPr>
          <w:rFonts w:hint="default" w:ascii="Times New Roman" w:hAnsi="Times New Roman" w:eastAsia="仿宋_GB2312" w:cs="Times New Roman"/>
          <w:b/>
          <w:bCs/>
          <w:sz w:val="32"/>
          <w:szCs w:val="32"/>
        </w:rPr>
        <w:t>卫生健康</w:t>
      </w:r>
      <w:r>
        <w:rPr>
          <w:rStyle w:val="17"/>
          <w:rFonts w:hint="default" w:ascii="Times New Roman" w:hAnsi="Times New Roman" w:eastAsia="仿宋_GB2312" w:cs="Times New Roman"/>
          <w:bCs/>
          <w:sz w:val="32"/>
          <w:szCs w:val="32"/>
        </w:rPr>
        <w:t>（类）</w:t>
      </w:r>
      <w:r>
        <w:rPr>
          <w:rStyle w:val="17"/>
          <w:rFonts w:hint="default" w:ascii="Times New Roman" w:hAnsi="Times New Roman" w:eastAsia="仿宋_GB2312" w:cs="Times New Roman"/>
          <w:bCs/>
          <w:sz w:val="32"/>
          <w:szCs w:val="32"/>
          <w:lang w:eastAsia="zh-CN"/>
        </w:rPr>
        <w:t>医疗保障管理事务</w:t>
      </w:r>
      <w:r>
        <w:rPr>
          <w:rStyle w:val="17"/>
          <w:rFonts w:hint="default" w:ascii="Times New Roman" w:hAnsi="Times New Roman" w:eastAsia="仿宋_GB2312" w:cs="Times New Roman"/>
          <w:bCs/>
          <w:sz w:val="32"/>
          <w:szCs w:val="32"/>
        </w:rPr>
        <w:t>（款）</w:t>
      </w:r>
      <w:r>
        <w:rPr>
          <w:rStyle w:val="17"/>
          <w:rFonts w:hint="default" w:ascii="Times New Roman" w:hAnsi="Times New Roman" w:eastAsia="仿宋_GB2312" w:cs="Times New Roman"/>
          <w:bCs/>
          <w:sz w:val="32"/>
          <w:szCs w:val="32"/>
          <w:lang w:eastAsia="zh-CN"/>
        </w:rPr>
        <w:t>其他医疗保障管理事务支出（</w:t>
      </w:r>
      <w:r>
        <w:rPr>
          <w:rStyle w:val="17"/>
          <w:rFonts w:hint="default" w:ascii="Times New Roman" w:hAnsi="Times New Roman" w:eastAsia="仿宋_GB2312" w:cs="Times New Roman"/>
          <w:bCs/>
          <w:sz w:val="32"/>
          <w:szCs w:val="32"/>
        </w:rPr>
        <w:t>项</w:t>
      </w:r>
      <w:r>
        <w:rPr>
          <w:rStyle w:val="17"/>
          <w:rFonts w:hint="default" w:ascii="Times New Roman" w:hAnsi="Times New Roman" w:eastAsia="仿宋_GB2312" w:cs="Times New Roman"/>
          <w:bCs/>
          <w:sz w:val="32"/>
          <w:szCs w:val="32"/>
          <w:lang w:eastAsia="zh-CN"/>
        </w:rPr>
        <w:t>）</w:t>
      </w:r>
      <w:r>
        <w:rPr>
          <w:rStyle w:val="17"/>
          <w:rFonts w:hint="eastAsia" w:ascii="Times New Roman" w:cs="Times New Roman"/>
          <w:bCs/>
          <w:sz w:val="32"/>
          <w:szCs w:val="32"/>
          <w:lang w:eastAsia="zh-CN"/>
        </w:rPr>
        <w:t>：</w:t>
      </w:r>
      <w:r>
        <w:rPr>
          <w:rStyle w:val="17"/>
          <w:rFonts w:hint="default" w:ascii="Times New Roman" w:hAnsi="Times New Roman" w:eastAsia="仿宋_GB2312" w:cs="Times New Roman"/>
          <w:b w:val="0"/>
          <w:bCs/>
          <w:sz w:val="32"/>
          <w:szCs w:val="32"/>
        </w:rPr>
        <w:t>支出决算为</w:t>
      </w:r>
      <w:r>
        <w:rPr>
          <w:rStyle w:val="17"/>
          <w:rFonts w:hint="default" w:ascii="Times New Roman" w:hAnsi="Times New Roman" w:eastAsia="仿宋_GB2312" w:cs="Times New Roman"/>
          <w:b w:val="0"/>
          <w:bCs/>
          <w:sz w:val="32"/>
          <w:szCs w:val="32"/>
          <w:lang w:val="en-US" w:eastAsia="zh-CN"/>
        </w:rPr>
        <w:t>20.7</w:t>
      </w:r>
      <w:r>
        <w:rPr>
          <w:rStyle w:val="17"/>
          <w:rFonts w:hint="default" w:ascii="Times New Roman" w:hAnsi="Times New Roman" w:eastAsia="仿宋_GB2312" w:cs="Times New Roman"/>
          <w:b w:val="0"/>
          <w:bCs/>
          <w:sz w:val="32"/>
          <w:szCs w:val="32"/>
        </w:rPr>
        <w:t>万元，完成预算</w:t>
      </w:r>
      <w:r>
        <w:rPr>
          <w:rStyle w:val="17"/>
          <w:rFonts w:hint="default" w:ascii="Times New Roman" w:hAnsi="Times New Roman" w:eastAsia="仿宋_GB2312" w:cs="Times New Roman"/>
          <w:b w:val="0"/>
          <w:bCs/>
          <w:sz w:val="32"/>
          <w:szCs w:val="32"/>
          <w:lang w:val="en-US" w:eastAsia="zh-CN"/>
        </w:rPr>
        <w:t>100</w:t>
      </w:r>
      <w:r>
        <w:rPr>
          <w:rStyle w:val="17"/>
          <w:rFonts w:hint="default" w:ascii="Times New Roman" w:hAnsi="Times New Roman" w:eastAsia="仿宋_GB2312" w:cs="Times New Roman"/>
          <w:b w:val="0"/>
          <w:bCs/>
          <w:sz w:val="32"/>
          <w:szCs w:val="32"/>
        </w:rPr>
        <w:t>%。</w:t>
      </w:r>
    </w:p>
    <w:p w14:paraId="1B1B6D92">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Style w:val="17"/>
          <w:rFonts w:hint="default" w:ascii="Times New Roman" w:hAnsi="Times New Roman" w:eastAsia="仿宋_GB2312" w:cs="Times New Roman"/>
          <w:b w:val="0"/>
          <w:bCs/>
          <w:sz w:val="32"/>
          <w:szCs w:val="32"/>
          <w:lang w:val="en-US" w:eastAsia="zh-CN"/>
        </w:rPr>
      </w:pPr>
      <w:r>
        <w:rPr>
          <w:rStyle w:val="17"/>
          <w:rFonts w:hint="default" w:ascii="Times New Roman" w:hAnsi="Times New Roman" w:eastAsia="仿宋_GB2312" w:cs="Times New Roman"/>
          <w:color w:val="auto"/>
          <w:sz w:val="32"/>
          <w:szCs w:val="32"/>
          <w:lang w:val="en-US" w:eastAsia="zh-CN"/>
        </w:rPr>
        <w:t>10</w:t>
      </w:r>
      <w:r>
        <w:rPr>
          <w:rStyle w:val="17"/>
          <w:rFonts w:hint="default" w:ascii="Times New Roman" w:hAnsi="Times New Roman" w:eastAsia="仿宋_GB2312" w:cs="Times New Roman"/>
          <w:color w:val="auto"/>
          <w:sz w:val="32"/>
          <w:szCs w:val="32"/>
        </w:rPr>
        <w:t>.</w:t>
      </w:r>
      <w:r>
        <w:rPr>
          <w:rStyle w:val="17"/>
          <w:rFonts w:hint="default" w:ascii="Times New Roman" w:hAnsi="Times New Roman" w:eastAsia="仿宋_GB2312" w:cs="Times New Roman"/>
          <w:bCs/>
          <w:color w:val="auto"/>
          <w:sz w:val="32"/>
          <w:szCs w:val="32"/>
        </w:rPr>
        <w:t>住房保障支出（类）住房改革支出（款）住房公积金（项）</w:t>
      </w:r>
      <w:r>
        <w:rPr>
          <w:rStyle w:val="17"/>
          <w:rFonts w:hint="default" w:ascii="Times New Roman" w:hAnsi="Times New Roman" w:eastAsia="仿宋_GB2312" w:cs="Times New Roman"/>
          <w:bCs/>
          <w:color w:val="auto"/>
          <w:sz w:val="32"/>
          <w:szCs w:val="32"/>
          <w:lang w:eastAsia="zh-CN"/>
        </w:rPr>
        <w:t>：</w:t>
      </w:r>
      <w:r>
        <w:rPr>
          <w:rStyle w:val="17"/>
          <w:rFonts w:hint="default" w:ascii="Times New Roman" w:hAnsi="Times New Roman" w:eastAsia="仿宋_GB2312" w:cs="Times New Roman"/>
          <w:b w:val="0"/>
          <w:color w:val="auto"/>
          <w:sz w:val="32"/>
          <w:szCs w:val="32"/>
        </w:rPr>
        <w:t>支出决算数为</w:t>
      </w:r>
      <w:r>
        <w:rPr>
          <w:rStyle w:val="17"/>
          <w:rFonts w:hint="default" w:ascii="Times New Roman" w:hAnsi="Times New Roman" w:eastAsia="仿宋_GB2312" w:cs="Times New Roman"/>
          <w:b w:val="0"/>
          <w:color w:val="auto"/>
          <w:sz w:val="32"/>
          <w:szCs w:val="32"/>
          <w:lang w:val="en-US" w:eastAsia="zh-CN"/>
        </w:rPr>
        <w:t>23.98</w:t>
      </w:r>
      <w:r>
        <w:rPr>
          <w:rStyle w:val="17"/>
          <w:rFonts w:hint="default" w:ascii="Times New Roman" w:hAnsi="Times New Roman" w:eastAsia="仿宋_GB2312" w:cs="Times New Roman"/>
          <w:b w:val="0"/>
          <w:color w:val="auto"/>
          <w:sz w:val="32"/>
          <w:szCs w:val="32"/>
        </w:rPr>
        <w:t>万元，</w:t>
      </w:r>
      <w:r>
        <w:rPr>
          <w:rStyle w:val="17"/>
          <w:rFonts w:hint="default" w:ascii="Times New Roman" w:hAnsi="Times New Roman" w:eastAsia="仿宋_GB2312" w:cs="Times New Roman"/>
          <w:b w:val="0"/>
          <w:bCs/>
          <w:color w:val="auto"/>
          <w:sz w:val="32"/>
          <w:szCs w:val="32"/>
        </w:rPr>
        <w:t>完成预算100%。</w:t>
      </w:r>
    </w:p>
    <w:p w14:paraId="3E6E4D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sz w:val="32"/>
          <w:szCs w:val="32"/>
        </w:rPr>
      </w:pPr>
    </w:p>
    <w:p w14:paraId="077859ED">
      <w:pPr>
        <w:keepNext w:val="0"/>
        <w:keepLines w:val="0"/>
        <w:pageBreakBefore w:val="0"/>
        <w:widowControl w:val="0"/>
        <w:tabs>
          <w:tab w:val="right" w:pos="8306"/>
        </w:tabs>
        <w:kinsoku/>
        <w:wordWrap/>
        <w:overflowPunct/>
        <w:topLinePunct w:val="0"/>
        <w:autoSpaceDE/>
        <w:autoSpaceDN/>
        <w:bidi w:val="0"/>
        <w:adjustRightInd/>
        <w:snapToGrid/>
        <w:spacing w:line="560" w:lineRule="exact"/>
        <w:ind w:firstLine="640"/>
        <w:textAlignment w:val="auto"/>
        <w:outlineLvl w:val="1"/>
        <w:rPr>
          <w:rStyle w:val="29"/>
          <w:rFonts w:hint="default" w:ascii="Times New Roman" w:hAnsi="Times New Roman" w:eastAsia="黑体" w:cs="Times New Roman"/>
        </w:rPr>
      </w:pPr>
      <w:bookmarkStart w:id="34" w:name="_Toc15377214"/>
      <w:bookmarkStart w:id="35"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般公共预算财政拨款基本支出决算情况说明</w:t>
      </w:r>
      <w:bookmarkEnd w:id="34"/>
      <w:bookmarkEnd w:id="35"/>
      <w:r>
        <w:rPr>
          <w:rStyle w:val="29"/>
          <w:rFonts w:hint="default" w:ascii="Times New Roman" w:hAnsi="Times New Roman" w:eastAsia="黑体" w:cs="Times New Roman"/>
          <w:b w:val="0"/>
        </w:rPr>
        <w:tab/>
      </w:r>
    </w:p>
    <w:p w14:paraId="71E5768C">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2022年一般公共预算财政拨款基本支出</w:t>
      </w:r>
      <w:r>
        <w:rPr>
          <w:rFonts w:hint="default" w:ascii="Times New Roman" w:hAnsi="Times New Roman" w:eastAsia="仿宋_GB2312" w:cs="Times New Roman"/>
          <w:sz w:val="32"/>
          <w:szCs w:val="32"/>
          <w:lang w:val="en-US" w:eastAsia="zh-CN"/>
        </w:rPr>
        <w:t>331.08</w:t>
      </w:r>
      <w:r>
        <w:rPr>
          <w:rFonts w:hint="default" w:ascii="Times New Roman" w:hAnsi="Times New Roman" w:eastAsia="仿宋_GB2312" w:cs="Times New Roman"/>
          <w:sz w:val="32"/>
          <w:szCs w:val="32"/>
        </w:rPr>
        <w:t>万元，其中：</w:t>
      </w:r>
    </w:p>
    <w:p w14:paraId="7E830611">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300.41</w:t>
      </w:r>
      <w:r>
        <w:rPr>
          <w:rFonts w:hint="default" w:ascii="Times New Roman" w:hAnsi="Times New Roman" w:eastAsia="仿宋_GB2312" w:cs="Times New Roman"/>
          <w:sz w:val="32"/>
          <w:szCs w:val="32"/>
        </w:rPr>
        <w:t>万元，主要包括：基本工资、津贴补贴、奖金、机关事业单位基本养老保险缴费、职业年金缴费、</w:t>
      </w:r>
      <w:r>
        <w:rPr>
          <w:rFonts w:hint="default" w:ascii="Times New Roman" w:hAnsi="Times New Roman" w:eastAsia="仿宋_GB2312" w:cs="Times New Roman"/>
          <w:color w:val="auto"/>
          <w:sz w:val="32"/>
          <w:szCs w:val="32"/>
        </w:rPr>
        <w:t>职工基本医疗保险缴费、公务员医疗补助缴费</w:t>
      </w:r>
      <w:r>
        <w:rPr>
          <w:rFonts w:hint="default" w:ascii="Times New Roman" w:hAnsi="Times New Roman" w:eastAsia="仿宋_GB2312" w:cs="Times New Roman"/>
          <w:sz w:val="32"/>
          <w:szCs w:val="32"/>
        </w:rPr>
        <w:t>、其他社会保障缴费、住房公积金、其他工资福利支出</w:t>
      </w:r>
      <w:r>
        <w:rPr>
          <w:rFonts w:hint="default" w:ascii="Times New Roman" w:hAnsi="Times New Roman" w:eastAsia="仿宋_GB2312" w:cs="Times New Roman"/>
          <w:sz w:val="32"/>
          <w:szCs w:val="32"/>
          <w:lang w:eastAsia="zh-CN"/>
        </w:rPr>
        <w:t>、医疗费补助、奖励金</w:t>
      </w:r>
      <w:r>
        <w:rPr>
          <w:rFonts w:hint="default" w:ascii="Times New Roman" w:hAnsi="Times New Roman" w:eastAsia="仿宋_GB2312" w:cs="Times New Roman"/>
          <w:sz w:val="32"/>
          <w:szCs w:val="32"/>
        </w:rPr>
        <w:t>。</w:t>
      </w:r>
    </w:p>
    <w:p w14:paraId="600A6C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公用经费</w:t>
      </w:r>
      <w:r>
        <w:rPr>
          <w:rFonts w:hint="default" w:ascii="Times New Roman" w:hAnsi="Times New Roman" w:eastAsia="仿宋_GB2312" w:cs="Times New Roman"/>
          <w:sz w:val="32"/>
          <w:szCs w:val="32"/>
          <w:lang w:val="en-US" w:eastAsia="zh-CN"/>
        </w:rPr>
        <w:t>30.67</w:t>
      </w:r>
      <w:r>
        <w:rPr>
          <w:rFonts w:hint="default" w:ascii="Times New Roman" w:hAnsi="Times New Roman" w:eastAsia="仿宋_GB2312" w:cs="Times New Roman"/>
          <w:sz w:val="32"/>
          <w:szCs w:val="32"/>
        </w:rPr>
        <w:t>万元，主要包括：办公费、印刷费、手续费、水费、电费、邮电费、取暖费、差旅费、维修（护）、培训费、公务接待费、劳务费、工会经费、福利费、其他交通费</w:t>
      </w:r>
      <w:r>
        <w:rPr>
          <w:rFonts w:hint="default" w:ascii="Times New Roman" w:hAnsi="Times New Roman" w:eastAsia="仿宋_GB2312" w:cs="Times New Roman"/>
          <w:sz w:val="32"/>
          <w:szCs w:val="32"/>
          <w:lang w:eastAsia="zh-CN"/>
        </w:rPr>
        <w:t>用</w:t>
      </w:r>
      <w:r>
        <w:rPr>
          <w:rFonts w:hint="default" w:ascii="Times New Roman" w:hAnsi="Times New Roman" w:eastAsia="仿宋_GB2312" w:cs="Times New Roman"/>
          <w:sz w:val="32"/>
          <w:szCs w:val="32"/>
        </w:rPr>
        <w:t>、其他商品和服务支出。</w:t>
      </w:r>
    </w:p>
    <w:p w14:paraId="75527C3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sz w:val="32"/>
          <w:szCs w:val="32"/>
        </w:rPr>
      </w:pPr>
    </w:p>
    <w:p w14:paraId="207F4B4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1"/>
        <w:rPr>
          <w:rStyle w:val="29"/>
          <w:rFonts w:hint="default" w:ascii="Times New Roman" w:hAnsi="Times New Roman" w:eastAsia="黑体" w:cs="Times New Roman"/>
          <w:b w:val="0"/>
        </w:rPr>
      </w:pPr>
      <w:bookmarkStart w:id="36" w:name="_Toc15396609"/>
      <w:bookmarkStart w:id="37" w:name="_Toc15377215"/>
      <w:r>
        <w:rPr>
          <w:rFonts w:hint="default" w:ascii="Times New Roman" w:hAnsi="Times New Roman" w:eastAsia="黑体" w:cs="Times New Roman"/>
          <w:sz w:val="32"/>
          <w:szCs w:val="32"/>
        </w:rPr>
        <w:t>七、</w:t>
      </w:r>
      <w:r>
        <w:rPr>
          <w:rStyle w:val="29"/>
          <w:rFonts w:hint="default" w:ascii="Times New Roman" w:hAnsi="Times New Roman" w:eastAsia="黑体" w:cs="Times New Roman"/>
          <w:b w:val="0"/>
        </w:rPr>
        <w:t>财政拨款</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三公”经费支出决算情况说明</w:t>
      </w:r>
      <w:bookmarkEnd w:id="36"/>
      <w:bookmarkEnd w:id="37"/>
    </w:p>
    <w:p w14:paraId="36FE2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38" w:name="_Toc15377216"/>
      <w:r>
        <w:rPr>
          <w:rFonts w:hint="default" w:ascii="Times New Roman" w:hAnsi="Times New Roman" w:eastAsia="楷体_GB2312" w:cs="Times New Roman"/>
          <w:b w:val="0"/>
          <w:bCs/>
          <w:sz w:val="32"/>
          <w:szCs w:val="32"/>
        </w:rPr>
        <w:t>（一）“三公”经费财政拨款支出决算总体情况说明</w:t>
      </w:r>
      <w:bookmarkEnd w:id="38"/>
      <w:r>
        <w:rPr>
          <w:rFonts w:hint="default" w:ascii="Times New Roman" w:hAnsi="Times New Roman" w:eastAsia="楷体_GB2312" w:cs="Times New Roman"/>
          <w:b w:val="0"/>
          <w:bCs/>
          <w:sz w:val="32"/>
          <w:szCs w:val="32"/>
          <w:lang w:eastAsia="zh-CN"/>
        </w:rPr>
        <w:t>。</w:t>
      </w:r>
    </w:p>
    <w:p w14:paraId="6E622CA8">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2022年“三公”经费财政拨款支出决算为</w:t>
      </w:r>
      <w:r>
        <w:rPr>
          <w:rFonts w:hint="default" w:ascii="Times New Roman" w:hAnsi="Times New Roman" w:eastAsia="仿宋_GB2312" w:cs="Times New Roman"/>
          <w:sz w:val="32"/>
          <w:szCs w:val="32"/>
          <w:lang w:val="en-US" w:eastAsia="zh-CN"/>
        </w:rPr>
        <w:t>0.05</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%，较上年减少</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%。决算数</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预算数持平。</w:t>
      </w:r>
    </w:p>
    <w:p w14:paraId="12F51A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39" w:name="_Toc15377217"/>
      <w:r>
        <w:rPr>
          <w:rFonts w:hint="default" w:ascii="Times New Roman" w:hAnsi="Times New Roman" w:eastAsia="楷体_GB2312" w:cs="Times New Roman"/>
          <w:b w:val="0"/>
          <w:bCs/>
          <w:sz w:val="32"/>
          <w:szCs w:val="32"/>
        </w:rPr>
        <w:t>（二）“三公”经费财政拨款支出决算具体情况说明</w:t>
      </w:r>
      <w:bookmarkEnd w:id="39"/>
      <w:r>
        <w:rPr>
          <w:rFonts w:hint="default" w:ascii="Times New Roman" w:hAnsi="Times New Roman" w:eastAsia="楷体_GB2312" w:cs="Times New Roman"/>
          <w:b w:val="0"/>
          <w:bCs/>
          <w:sz w:val="32"/>
          <w:szCs w:val="32"/>
          <w:lang w:eastAsia="zh-CN"/>
        </w:rPr>
        <w:t>。</w:t>
      </w:r>
    </w:p>
    <w:p w14:paraId="3CD33FC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2022年“三公”经费财政拨款支出决算中，因公出国（境）费支出决算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sz w:val="32"/>
          <w:szCs w:val="32"/>
          <w:lang w:val="en-US" w:eastAsia="zh-CN"/>
        </w:rPr>
        <w:t>0.05</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%。具体情况如下：</w:t>
      </w:r>
    </w:p>
    <w:p w14:paraId="3DB26DE3">
      <w:pPr>
        <w:pStyle w:val="6"/>
        <w:ind w:firstLine="640" w:firstLineChars="200"/>
        <w:rPr>
          <w:rFonts w:hint="default" w:ascii="Times New Roman" w:hAnsi="Times New Roman" w:cs="Times New Roman"/>
        </w:rPr>
      </w:pPr>
      <w:r>
        <w:rPr>
          <w:rFonts w:hint="default" w:ascii="Times New Roman" w:hAnsi="Times New Roman" w:eastAsia="仿宋" w:cs="Times New Roman"/>
          <w:color w:val="auto"/>
          <w:sz w:val="32"/>
          <w:szCs w:val="32"/>
        </w:rPr>
        <w:object>
          <v:shape id="_x0000_i1025" o:spt="75" type="#_x0000_t75" style="height:204.65pt;width:348pt;" o:ole="t" filled="f" o:preferrelative="t" stroked="f" coordsize="21600,21600" o:gfxdata="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">
            <v:path/>
            <v:fill on="f" focussize="0,0"/>
            <v:stroke on="f"/>
            <v:imagedata r:id="rId19" o:title=""/>
            <o:lock v:ext="edit" aspectratio="f"/>
            <w10:wrap type="none"/>
            <w10:anchorlock/>
          </v:shape>
          <o:OLEObject Type="Embed" ProgID="Excel.Sheet.8" ShapeID="_x0000_i1025" DrawAspect="Content" ObjectID="_1468075725" r:id="rId18">
            <o:LockedField>false</o:LockedField>
          </o:OLEObject>
        </w:object>
      </w:r>
    </w:p>
    <w:p w14:paraId="699E7292">
      <w:pPr>
        <w:spacing w:line="600" w:lineRule="exact"/>
        <w:ind w:firstLine="1609" w:firstLineChars="503"/>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w:t>
      </w:r>
    </w:p>
    <w:p w14:paraId="63625D03">
      <w:pPr>
        <w:pStyle w:val="6"/>
        <w:keepNext w:val="0"/>
        <w:keepLines w:val="0"/>
        <w:pageBreakBefore w:val="0"/>
        <w:kinsoku/>
        <w:wordWrap/>
        <w:overflowPunct/>
        <w:topLinePunct w:val="0"/>
        <w:bidi w:val="0"/>
        <w:snapToGrid/>
        <w:spacing w:line="560" w:lineRule="exact"/>
        <w:textAlignment w:val="auto"/>
        <w:rPr>
          <w:rFonts w:hint="default" w:ascii="Times New Roman" w:hAnsi="Times New Roman" w:cs="Times New Roman"/>
        </w:rPr>
      </w:pPr>
    </w:p>
    <w:p w14:paraId="03AA7282">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sz w:val="32"/>
          <w:szCs w:val="32"/>
          <w:lang w:val="en-US" w:eastAsia="zh-CN"/>
        </w:rPr>
        <w:t>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人。因公出国（境）支出决算</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lang w:val="en-US" w:eastAsia="zh-CN"/>
        </w:rPr>
        <w:t>2021年持平</w:t>
      </w:r>
      <w:r>
        <w:rPr>
          <w:rFonts w:hint="default" w:ascii="Times New Roman" w:hAnsi="Times New Roman" w:eastAsia="仿宋_GB2312" w:cs="Times New Roman"/>
          <w:sz w:val="32"/>
          <w:szCs w:val="32"/>
        </w:rPr>
        <w:t>。</w:t>
      </w:r>
    </w:p>
    <w:p w14:paraId="22FECAF5">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sz w:val="32"/>
          <w:szCs w:val="32"/>
          <w:lang w:val="en-US" w:eastAsia="zh-CN"/>
        </w:rPr>
        <w:t>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rPr>
        <w:t>2021年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w:t>
      </w:r>
    </w:p>
    <w:p w14:paraId="1027178C">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辆。截至2022年12月底，单位共有公务用车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14:paraId="1DC3A43C">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787BC30C">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lang w:val="en-US" w:eastAsia="zh-CN"/>
        </w:rPr>
        <w:t>0.05</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Style w:val="17"/>
          <w:rFonts w:hint="default" w:ascii="Times New Roman" w:hAnsi="Times New Roman"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公务接待费支出决算比2021年减少</w:t>
      </w:r>
      <w:r>
        <w:rPr>
          <w:rFonts w:hint="default" w:ascii="Times New Roman" w:hAnsi="Times New Roman" w:eastAsia="仿宋_GB2312" w:cs="Times New Roman"/>
          <w:sz w:val="32"/>
          <w:szCs w:val="32"/>
          <w:lang w:val="en-US" w:eastAsia="zh-CN"/>
        </w:rPr>
        <w:t>0.2</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接待批次减少，费用减少</w:t>
      </w:r>
      <w:r>
        <w:rPr>
          <w:rFonts w:hint="default" w:ascii="Times New Roman" w:hAnsi="Times New Roman" w:eastAsia="仿宋_GB2312" w:cs="Times New Roman"/>
          <w:sz w:val="32"/>
          <w:szCs w:val="32"/>
        </w:rPr>
        <w:t>。其中：</w:t>
      </w:r>
    </w:p>
    <w:p w14:paraId="3CEDDC51">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_GB2312" w:cs="Times New Roman"/>
          <w:sz w:val="32"/>
          <w:szCs w:val="32"/>
          <w:lang w:val="en-US" w:eastAsia="zh-CN"/>
        </w:rPr>
        <w:t>0.05</w:t>
      </w:r>
      <w:r>
        <w:rPr>
          <w:rFonts w:hint="default" w:ascii="Times New Roman" w:hAnsi="Times New Roman" w:eastAsia="仿宋_GB2312" w:cs="Times New Roman"/>
          <w:sz w:val="32"/>
          <w:szCs w:val="32"/>
        </w:rPr>
        <w:t>万元，主要用于开展业务活动开支的用餐费。国内公务接待</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0.05</w:t>
      </w:r>
      <w:r>
        <w:rPr>
          <w:rFonts w:hint="default" w:ascii="Times New Roman" w:hAnsi="Times New Roman" w:eastAsia="仿宋_GB2312" w:cs="Times New Roman"/>
          <w:sz w:val="32"/>
          <w:szCs w:val="32"/>
        </w:rPr>
        <w:t>万元，具体内容包括：</w:t>
      </w:r>
      <w:r>
        <w:rPr>
          <w:rFonts w:hint="default" w:ascii="Times New Roman" w:hAnsi="Times New Roman" w:eastAsia="仿宋_GB2312" w:cs="Times New Roman"/>
          <w:sz w:val="32"/>
          <w:szCs w:val="32"/>
          <w:lang w:eastAsia="zh-CN"/>
        </w:rPr>
        <w:t>接待上级单位开展调研工作，</w:t>
      </w:r>
      <w:r>
        <w:rPr>
          <w:rFonts w:hint="default" w:ascii="Times New Roman" w:hAnsi="Times New Roman" w:eastAsia="仿宋_GB2312" w:cs="Times New Roman"/>
          <w:color w:val="auto"/>
          <w:sz w:val="32"/>
          <w:szCs w:val="32"/>
        </w:rPr>
        <w:t>餐费支出0.</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5万元</w:t>
      </w:r>
      <w:r>
        <w:rPr>
          <w:rFonts w:hint="default" w:ascii="Times New Roman" w:hAnsi="Times New Roman" w:eastAsia="仿宋_GB2312" w:cs="Times New Roman"/>
          <w:sz w:val="32"/>
          <w:szCs w:val="32"/>
        </w:rPr>
        <w:t>。</w:t>
      </w:r>
    </w:p>
    <w:p w14:paraId="34BC1702">
      <w:pPr>
        <w:keepNext w:val="0"/>
        <w:keepLines w:val="0"/>
        <w:pageBreakBefore w:val="0"/>
        <w:kinsoku/>
        <w:wordWrap/>
        <w:overflowPunct/>
        <w:topLinePunct w:val="0"/>
        <w:bidi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1E9E7B7E">
      <w:pPr>
        <w:keepNext w:val="0"/>
        <w:keepLines w:val="0"/>
        <w:pageBreakBefore w:val="0"/>
        <w:kinsoku/>
        <w:wordWrap/>
        <w:overflowPunct/>
        <w:topLinePunct w:val="0"/>
        <w:bidi w:val="0"/>
        <w:snapToGrid/>
        <w:spacing w:line="560" w:lineRule="exact"/>
        <w:ind w:firstLine="640"/>
        <w:textAlignment w:val="auto"/>
        <w:outlineLvl w:val="1"/>
        <w:rPr>
          <w:rFonts w:hint="default" w:ascii="Times New Roman" w:hAnsi="Times New Roman" w:eastAsia="黑体" w:cs="Times New Roman"/>
          <w:sz w:val="32"/>
          <w:szCs w:val="32"/>
        </w:rPr>
      </w:pPr>
      <w:bookmarkStart w:id="40" w:name="_Toc15396610"/>
      <w:bookmarkStart w:id="41" w:name="_Toc15377218"/>
    </w:p>
    <w:p w14:paraId="07840762">
      <w:pPr>
        <w:keepNext w:val="0"/>
        <w:keepLines w:val="0"/>
        <w:pageBreakBefore w:val="0"/>
        <w:kinsoku/>
        <w:wordWrap/>
        <w:overflowPunct/>
        <w:topLinePunct w:val="0"/>
        <w:bidi w:val="0"/>
        <w:snapToGrid/>
        <w:spacing w:line="560" w:lineRule="exact"/>
        <w:ind w:firstLine="640"/>
        <w:textAlignment w:val="auto"/>
        <w:outlineLvl w:val="1"/>
        <w:rPr>
          <w:rStyle w:val="29"/>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40"/>
      <w:bookmarkEnd w:id="41"/>
    </w:p>
    <w:p w14:paraId="767C4A3B">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2022年政府性基金预算财政拨款支出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676F5D34">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p>
    <w:p w14:paraId="646140C6">
      <w:pPr>
        <w:keepNext w:val="0"/>
        <w:keepLines w:val="0"/>
        <w:pageBreakBefore w:val="0"/>
        <w:numPr>
          <w:ilvl w:val="0"/>
          <w:numId w:val="1"/>
        </w:numPr>
        <w:kinsoku/>
        <w:wordWrap/>
        <w:overflowPunct/>
        <w:topLinePunct w:val="0"/>
        <w:bidi w:val="0"/>
        <w:snapToGrid/>
        <w:spacing w:line="560" w:lineRule="exact"/>
        <w:ind w:firstLine="640"/>
        <w:textAlignment w:val="auto"/>
        <w:outlineLvl w:val="1"/>
        <w:rPr>
          <w:rStyle w:val="29"/>
          <w:rFonts w:hint="default" w:ascii="Times New Roman" w:hAnsi="Times New Roman" w:eastAsia="黑体" w:cs="Times New Roman"/>
          <w:b w:val="0"/>
        </w:rPr>
      </w:pPr>
      <w:bookmarkStart w:id="42" w:name="_Toc15396611"/>
      <w:bookmarkStart w:id="43" w:name="_Toc15377219"/>
      <w:r>
        <w:rPr>
          <w:rStyle w:val="29"/>
          <w:rFonts w:hint="default" w:ascii="Times New Roman" w:hAnsi="Times New Roman" w:eastAsia="黑体" w:cs="Times New Roman"/>
          <w:b w:val="0"/>
        </w:rPr>
        <w:t>国有资本经营预算支出决算情况说明</w:t>
      </w:r>
      <w:bookmarkEnd w:id="42"/>
      <w:bookmarkEnd w:id="43"/>
    </w:p>
    <w:p w14:paraId="2CA29B63">
      <w:pPr>
        <w:keepNext w:val="0"/>
        <w:keepLines w:val="0"/>
        <w:pageBreakBefore w:val="0"/>
        <w:kinsoku/>
        <w:wordWrap/>
        <w:overflowPunct/>
        <w:topLinePunct w:val="0"/>
        <w:bidi w:val="0"/>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2022年国有资本经营预算财政拨款支出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14:paraId="06D38579">
      <w:pPr>
        <w:keepNext w:val="0"/>
        <w:keepLines w:val="0"/>
        <w:pageBreakBefore w:val="0"/>
        <w:kinsoku/>
        <w:wordWrap/>
        <w:overflowPunct/>
        <w:topLinePunct w:val="0"/>
        <w:bidi w:val="0"/>
        <w:snapToGrid/>
        <w:spacing w:line="560" w:lineRule="exact"/>
        <w:jc w:val="center"/>
        <w:textAlignment w:val="auto"/>
        <w:rPr>
          <w:rFonts w:hint="default" w:ascii="Times New Roman" w:hAnsi="Times New Roman" w:eastAsia="方正小标宋简体" w:cs="Times New Roman"/>
          <w:sz w:val="44"/>
          <w:szCs w:val="44"/>
        </w:rPr>
      </w:pPr>
    </w:p>
    <w:p w14:paraId="6DE7D223">
      <w:pPr>
        <w:keepNext w:val="0"/>
        <w:keepLines w:val="0"/>
        <w:pageBreakBefore w:val="0"/>
        <w:numPr>
          <w:ilvl w:val="0"/>
          <w:numId w:val="1"/>
        </w:numPr>
        <w:kinsoku/>
        <w:wordWrap/>
        <w:overflowPunct/>
        <w:topLinePunct w:val="0"/>
        <w:bidi w:val="0"/>
        <w:snapToGrid/>
        <w:spacing w:line="560" w:lineRule="exact"/>
        <w:ind w:firstLine="640"/>
        <w:textAlignment w:val="auto"/>
        <w:outlineLvl w:val="1"/>
        <w:rPr>
          <w:rStyle w:val="29"/>
          <w:rFonts w:hint="default" w:ascii="Times New Roman" w:hAnsi="Times New Roman" w:eastAsia="黑体" w:cs="Times New Roman"/>
          <w:b w:val="0"/>
        </w:rPr>
      </w:pPr>
      <w:bookmarkStart w:id="44" w:name="_Toc15377221"/>
      <w:bookmarkStart w:id="45" w:name="_Toc15396612"/>
      <w:r>
        <w:rPr>
          <w:rStyle w:val="29"/>
          <w:rFonts w:hint="default" w:ascii="Times New Roman" w:hAnsi="Times New Roman" w:eastAsia="黑体" w:cs="Times New Roman"/>
          <w:b w:val="0"/>
        </w:rPr>
        <w:t>其他重要事项的情况说明</w:t>
      </w:r>
      <w:bookmarkEnd w:id="44"/>
      <w:bookmarkEnd w:id="45"/>
    </w:p>
    <w:p w14:paraId="3E2180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46" w:name="_Toc15377222"/>
      <w:r>
        <w:rPr>
          <w:rFonts w:hint="default" w:ascii="Times New Roman" w:hAnsi="Times New Roman" w:eastAsia="楷体_GB2312" w:cs="Times New Roman"/>
          <w:b w:val="0"/>
          <w:bCs/>
          <w:sz w:val="32"/>
          <w:szCs w:val="32"/>
        </w:rPr>
        <w:t>（一）机关运行经费支出情况</w:t>
      </w:r>
      <w:bookmarkEnd w:id="46"/>
      <w:r>
        <w:rPr>
          <w:rFonts w:hint="default" w:ascii="Times New Roman" w:hAnsi="Times New Roman" w:eastAsia="楷体_GB2312" w:cs="Times New Roman"/>
          <w:b w:val="0"/>
          <w:bCs/>
          <w:sz w:val="32"/>
          <w:szCs w:val="32"/>
          <w:lang w:eastAsia="zh-CN"/>
        </w:rPr>
        <w:t>。</w:t>
      </w:r>
    </w:p>
    <w:p w14:paraId="684BC85E">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机关运行经费支出</w:t>
      </w:r>
      <w:r>
        <w:rPr>
          <w:rFonts w:hint="default" w:ascii="Times New Roman" w:hAnsi="Times New Roman" w:eastAsia="仿宋_GB2312" w:cs="Times New Roman"/>
          <w:sz w:val="32"/>
          <w:szCs w:val="32"/>
          <w:lang w:val="en-US" w:eastAsia="zh-CN"/>
        </w:rPr>
        <w:t>30.67</w:t>
      </w:r>
      <w:r>
        <w:rPr>
          <w:rFonts w:hint="default" w:ascii="Times New Roman" w:hAnsi="Times New Roman" w:eastAsia="仿宋_GB2312" w:cs="Times New Roman"/>
          <w:sz w:val="32"/>
          <w:szCs w:val="32"/>
        </w:rPr>
        <w:t>万元，比2021年增加</w:t>
      </w:r>
      <w:r>
        <w:rPr>
          <w:rFonts w:hint="default" w:ascii="Times New Roman" w:hAnsi="Times New Roman" w:eastAsia="仿宋_GB2312" w:cs="Times New Roman"/>
          <w:sz w:val="32"/>
          <w:szCs w:val="32"/>
          <w:lang w:val="en-US" w:eastAsia="zh-CN"/>
        </w:rPr>
        <w:t>1.23</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4.18</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工会经费和福利费增加</w:t>
      </w:r>
      <w:r>
        <w:rPr>
          <w:rFonts w:hint="default" w:ascii="Times New Roman" w:hAnsi="Times New Roman" w:eastAsia="仿宋_GB2312" w:cs="Times New Roman"/>
          <w:sz w:val="32"/>
          <w:szCs w:val="32"/>
        </w:rPr>
        <w:t>。</w:t>
      </w:r>
    </w:p>
    <w:p w14:paraId="0E220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47" w:name="_Toc15377223"/>
      <w:r>
        <w:rPr>
          <w:rFonts w:hint="default" w:ascii="Times New Roman" w:hAnsi="Times New Roman" w:eastAsia="楷体_GB2312" w:cs="Times New Roman"/>
          <w:b w:val="0"/>
          <w:bCs/>
          <w:sz w:val="32"/>
          <w:szCs w:val="32"/>
        </w:rPr>
        <w:t>（二）政府采购支出情况</w:t>
      </w:r>
      <w:bookmarkEnd w:id="47"/>
      <w:r>
        <w:rPr>
          <w:rFonts w:hint="default" w:ascii="Times New Roman" w:hAnsi="Times New Roman" w:eastAsia="楷体_GB2312" w:cs="Times New Roman"/>
          <w:b w:val="0"/>
          <w:bCs/>
          <w:sz w:val="32"/>
          <w:szCs w:val="32"/>
          <w:lang w:eastAsia="zh-CN"/>
        </w:rPr>
        <w:t>。</w:t>
      </w:r>
    </w:p>
    <w:p w14:paraId="0A25271B">
      <w:pPr>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14:paraId="4CEEED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bookmarkStart w:id="48" w:name="_Toc15377224"/>
      <w:r>
        <w:rPr>
          <w:rFonts w:hint="default" w:ascii="Times New Roman" w:hAnsi="Times New Roman" w:eastAsia="楷体_GB2312" w:cs="Times New Roman"/>
          <w:b w:val="0"/>
          <w:bCs/>
          <w:sz w:val="32"/>
          <w:szCs w:val="32"/>
        </w:rPr>
        <w:t>（三）国有资产占有使用情况</w:t>
      </w:r>
      <w:bookmarkEnd w:id="48"/>
      <w:r>
        <w:rPr>
          <w:rFonts w:hint="default" w:ascii="Times New Roman" w:hAnsi="Times New Roman" w:eastAsia="楷体_GB2312" w:cs="Times New Roman"/>
          <w:b w:val="0"/>
          <w:bCs/>
          <w:sz w:val="32"/>
          <w:szCs w:val="32"/>
          <w:lang w:eastAsia="zh-CN"/>
        </w:rPr>
        <w:t>。</w:t>
      </w:r>
    </w:p>
    <w:p w14:paraId="69882DD8">
      <w:pPr>
        <w:keepNext w:val="0"/>
        <w:keepLines w:val="0"/>
        <w:pageBreakBefore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辆。单价100万元以上专用设备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14:paraId="479B06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eastAsia="zh-CN"/>
        </w:rPr>
      </w:pPr>
      <w:r>
        <w:rPr>
          <w:rFonts w:hint="default" w:ascii="Times New Roman" w:hAnsi="Times New Roman" w:eastAsia="楷体_GB2312" w:cs="Times New Roman"/>
          <w:b w:val="0"/>
          <w:bCs/>
          <w:sz w:val="32"/>
          <w:szCs w:val="32"/>
        </w:rPr>
        <w:t>（四）预算绩效管理情况</w:t>
      </w:r>
      <w:r>
        <w:rPr>
          <w:rFonts w:hint="default" w:ascii="Times New Roman" w:hAnsi="Times New Roman" w:eastAsia="楷体_GB2312" w:cs="Times New Roman"/>
          <w:b w:val="0"/>
          <w:bCs/>
          <w:sz w:val="32"/>
          <w:szCs w:val="32"/>
          <w:lang w:eastAsia="zh-CN"/>
        </w:rPr>
        <w:t>。</w:t>
      </w:r>
    </w:p>
    <w:p w14:paraId="519A7D6E">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根据预算绩效管理要求，本部门在2022年度预算编制阶段，组织对</w:t>
      </w:r>
      <w:r>
        <w:rPr>
          <w:rFonts w:hint="default" w:ascii="Times New Roman" w:hAnsi="Times New Roman" w:eastAsia="仿宋_GB2312" w:cs="Times New Roman"/>
          <w:sz w:val="32"/>
          <w:szCs w:val="32"/>
          <w:lang w:eastAsia="zh-CN"/>
        </w:rPr>
        <w:t>医疗救助</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、欺诈骗保举报奖励金项目、基层医疗机构业务网络通信费项目、正县级领导干部享受上一级非领导职务医疗待遇补助资金项目、离休干部医疗费项目、建国初期参加革命工作部分退休干部医疗补助金项目共</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个项目开展了预算事前绩效评估，对</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个项目开展绩效监控。</w:t>
      </w:r>
    </w:p>
    <w:p w14:paraId="343617BF">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组织对2022年度部门所有预算资金全面开展绩效自评，形成</w:t>
      </w:r>
      <w:r>
        <w:rPr>
          <w:rFonts w:hint="default" w:ascii="Times New Roman" w:hAnsi="Times New Roman" w:eastAsia="仿宋_GB2312" w:cs="Times New Roman"/>
          <w:sz w:val="32"/>
          <w:szCs w:val="32"/>
          <w:lang w:eastAsia="zh-CN"/>
        </w:rPr>
        <w:t>盐边县医疗保障局</w:t>
      </w:r>
      <w:r>
        <w:rPr>
          <w:rFonts w:hint="default" w:ascii="Times New Roman" w:hAnsi="Times New Roman" w:eastAsia="仿宋_GB2312" w:cs="Times New Roman"/>
          <w:sz w:val="32"/>
          <w:szCs w:val="32"/>
        </w:rPr>
        <w:t>部门整体绩效自评报告、</w:t>
      </w:r>
      <w:r>
        <w:rPr>
          <w:rFonts w:hint="default" w:ascii="Times New Roman" w:hAnsi="Times New Roman" w:eastAsia="仿宋_GB2312" w:cs="Times New Roman"/>
          <w:sz w:val="32"/>
          <w:szCs w:val="32"/>
          <w:lang w:eastAsia="zh-CN"/>
        </w:rPr>
        <w:t>盐边县医疗保障局</w:t>
      </w:r>
      <w:r>
        <w:rPr>
          <w:rFonts w:hint="default" w:ascii="Times New Roman" w:hAnsi="Times New Roman" w:eastAsia="仿宋_GB2312" w:cs="Times New Roman"/>
          <w:sz w:val="32"/>
          <w:szCs w:val="32"/>
        </w:rPr>
        <w:t>专项预算项目绩效自评报告，其中</w:t>
      </w:r>
      <w:r>
        <w:rPr>
          <w:rFonts w:hint="default" w:ascii="Times New Roman" w:hAnsi="Times New Roman" w:eastAsia="仿宋_GB2312" w:cs="Times New Roman"/>
          <w:sz w:val="32"/>
          <w:szCs w:val="32"/>
          <w:lang w:eastAsia="zh-CN"/>
        </w:rPr>
        <w:t>盐边县医疗保障局</w:t>
      </w:r>
      <w:r>
        <w:rPr>
          <w:rFonts w:hint="default" w:ascii="Times New Roman" w:hAnsi="Times New Roman" w:eastAsia="仿宋_GB2312" w:cs="Times New Roman"/>
          <w:sz w:val="32"/>
          <w:szCs w:val="32"/>
        </w:rPr>
        <w:t>部门整体绩效自评得分为</w:t>
      </w:r>
      <w:r>
        <w:rPr>
          <w:rFonts w:hint="default" w:ascii="Times New Roman" w:hAnsi="Times New Roman" w:eastAsia="仿宋_GB2312" w:cs="Times New Roman"/>
          <w:sz w:val="32"/>
          <w:szCs w:val="32"/>
          <w:lang w:val="en-US" w:eastAsia="zh-CN"/>
        </w:rPr>
        <w:t>94.6</w:t>
      </w:r>
      <w:r>
        <w:rPr>
          <w:rFonts w:hint="default" w:ascii="Times New Roman" w:hAnsi="Times New Roman" w:eastAsia="仿宋_GB2312" w:cs="Times New Roman"/>
          <w:sz w:val="32"/>
          <w:szCs w:val="32"/>
        </w:rPr>
        <w:t>分，绩效自评综述：在县委、县政府的领导和上级主管部门的指导下，坚持以人民为中心的发展思想，认真贯彻落实国家、省、市医保工作任务，圆满完成市级、县级目标考核任务</w:t>
      </w:r>
      <w:r>
        <w:rPr>
          <w:rFonts w:hint="default" w:ascii="Times New Roman" w:hAnsi="Times New Roman" w:eastAsia="仿宋_GB2312" w:cs="Times New Roman"/>
          <w:sz w:val="32"/>
          <w:szCs w:val="32"/>
          <w:lang w:eastAsia="zh-CN"/>
        </w:rPr>
        <w:t>，很好</w:t>
      </w:r>
      <w:r>
        <w:rPr>
          <w:rFonts w:hint="eastAsia" w:eastAsia="仿宋_GB2312" w:cs="Times New Roman"/>
          <w:sz w:val="32"/>
          <w:szCs w:val="32"/>
          <w:lang w:eastAsia="zh-CN"/>
        </w:rPr>
        <w:t>地</w:t>
      </w:r>
      <w:r>
        <w:rPr>
          <w:rFonts w:hint="default" w:ascii="Times New Roman" w:hAnsi="Times New Roman" w:eastAsia="仿宋_GB2312" w:cs="Times New Roman"/>
          <w:sz w:val="32"/>
          <w:szCs w:val="32"/>
          <w:lang w:eastAsia="zh-CN"/>
        </w:rPr>
        <w:t>完成了各项绩效目标指标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医疗救助</w:t>
      </w:r>
      <w:r>
        <w:rPr>
          <w:rFonts w:hint="default" w:ascii="Times New Roman" w:hAnsi="Times New Roman" w:eastAsia="仿宋_GB2312" w:cs="Times New Roman"/>
          <w:sz w:val="32"/>
          <w:szCs w:val="32"/>
        </w:rPr>
        <w:t>专项预算项目绩效自评得分为</w:t>
      </w:r>
      <w:r>
        <w:rPr>
          <w:rFonts w:hint="default" w:ascii="Times New Roman" w:hAnsi="Times New Roman" w:eastAsia="仿宋_GB2312" w:cs="Times New Roman"/>
          <w:sz w:val="32"/>
          <w:szCs w:val="32"/>
          <w:lang w:val="en-US" w:eastAsia="zh-CN"/>
        </w:rPr>
        <w:t>94</w:t>
      </w:r>
      <w:r>
        <w:rPr>
          <w:rFonts w:hint="default" w:ascii="Times New Roman" w:hAnsi="Times New Roman" w:eastAsia="仿宋_GB2312" w:cs="Times New Roman"/>
          <w:sz w:val="32"/>
          <w:szCs w:val="32"/>
        </w:rPr>
        <w:t>分，绩效自评综述：</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eastAsia="zh-CN"/>
        </w:rPr>
        <w:t>县级医疗救助资金支出</w:t>
      </w:r>
      <w:r>
        <w:rPr>
          <w:rFonts w:hint="default" w:ascii="Times New Roman" w:hAnsi="Times New Roman" w:eastAsia="仿宋_GB2312" w:cs="Times New Roman"/>
          <w:sz w:val="32"/>
          <w:szCs w:val="32"/>
          <w:lang w:val="en-US" w:eastAsia="zh-CN"/>
        </w:rPr>
        <w:t>150万元，补充中央、省级医疗救助资金不足部分，用于资助困难群众参加城乡居民基本医疗保险和医疗费用，很好</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完成了各项绩效指标</w:t>
      </w:r>
      <w:r>
        <w:rPr>
          <w:rFonts w:hint="default" w:ascii="Times New Roman" w:hAnsi="Times New Roman" w:eastAsia="仿宋_GB2312" w:cs="Times New Roman"/>
          <w:sz w:val="32"/>
          <w:szCs w:val="32"/>
        </w:rPr>
        <w:t>。绩效自评报告详见附件。</w:t>
      </w:r>
    </w:p>
    <w:p w14:paraId="5440997D">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p>
    <w:p w14:paraId="2DC6EF20">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sz w:val="32"/>
          <w:szCs w:val="32"/>
        </w:rPr>
      </w:pPr>
    </w:p>
    <w:p w14:paraId="0E97268D">
      <w:pPr>
        <w:numPr>
          <w:ilvl w:val="0"/>
          <w:numId w:val="2"/>
        </w:numPr>
        <w:spacing w:line="600" w:lineRule="exact"/>
        <w:ind w:firstLine="660" w:firstLineChars="150"/>
        <w:jc w:val="center"/>
        <w:outlineLvl w:val="0"/>
        <w:rPr>
          <w:rFonts w:hint="default" w:ascii="Times New Roman" w:hAnsi="Times New Roman" w:eastAsia="方正小标宋简体" w:cs="Times New Roman"/>
          <w:b w:val="0"/>
          <w:bCs/>
          <w:kern w:val="44"/>
          <w:sz w:val="44"/>
          <w:szCs w:val="44"/>
          <w:lang w:val="en-US" w:eastAsia="zh-CN" w:bidi="ar-SA"/>
        </w:rPr>
      </w:pPr>
      <w:bookmarkStart w:id="49" w:name="_Toc15377225"/>
      <w:bookmarkStart w:id="50" w:name="_Toc15396613"/>
      <w:r>
        <w:rPr>
          <w:rFonts w:hint="default" w:ascii="Times New Roman" w:hAnsi="Times New Roman" w:eastAsia="方正小标宋简体" w:cs="Times New Roman"/>
          <w:b w:val="0"/>
          <w:bCs/>
          <w:kern w:val="44"/>
          <w:sz w:val="44"/>
          <w:szCs w:val="44"/>
          <w:lang w:val="en-US" w:eastAsia="zh-CN" w:bidi="ar-SA"/>
        </w:rPr>
        <w:t>名词解释</w:t>
      </w:r>
      <w:bookmarkEnd w:id="49"/>
      <w:bookmarkEnd w:id="50"/>
    </w:p>
    <w:p w14:paraId="66AF3B22">
      <w:pPr>
        <w:spacing w:line="600" w:lineRule="exact"/>
        <w:jc w:val="left"/>
        <w:rPr>
          <w:rFonts w:hint="default" w:ascii="Times New Roman" w:hAnsi="Times New Roman" w:cs="Times New Roman"/>
          <w:b/>
          <w:sz w:val="44"/>
          <w:szCs w:val="44"/>
        </w:rPr>
      </w:pPr>
    </w:p>
    <w:p w14:paraId="034E424E">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14:paraId="27F2657E">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社会保障和就业（类）行政事业单位养老支出（款）</w:t>
      </w:r>
      <w:r>
        <w:rPr>
          <w:rFonts w:hint="default" w:ascii="Times New Roman" w:hAnsi="Times New Roman" w:eastAsia="仿宋_GB2312" w:cs="Times New Roman"/>
          <w:color w:val="auto"/>
          <w:sz w:val="32"/>
          <w:szCs w:val="32"/>
          <w:lang w:eastAsia="zh-CN"/>
        </w:rPr>
        <w:t>行政单位离退休</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反映行政单位（包括实行公务员管理的事业单位）开支的离退休经费</w:t>
      </w:r>
      <w:r>
        <w:rPr>
          <w:rFonts w:hint="default" w:ascii="Times New Roman" w:hAnsi="Times New Roman" w:eastAsia="仿宋_GB2312" w:cs="Times New Roman"/>
          <w:sz w:val="32"/>
          <w:szCs w:val="32"/>
        </w:rPr>
        <w:t>。</w:t>
      </w:r>
    </w:p>
    <w:p w14:paraId="592E01B0">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3.社会保障和就业（类）行政事业单位养老支出（款）机关事业单位基本养老保险缴费支出（项）</w:t>
      </w:r>
      <w:r>
        <w:rPr>
          <w:rFonts w:hint="eastAsia" w:eastAsia="仿宋_GB2312" w:cs="Times New Roman"/>
          <w:sz w:val="32"/>
          <w:szCs w:val="32"/>
          <w:lang w:val="en-US" w:eastAsia="zh-CN"/>
        </w:rPr>
        <w:t>：</w:t>
      </w:r>
      <w:r>
        <w:rPr>
          <w:rFonts w:hint="default" w:ascii="Times New Roman" w:hAnsi="Times New Roman" w:eastAsia="仿宋_GB2312" w:cs="Times New Roman"/>
          <w:color w:val="auto"/>
          <w:sz w:val="32"/>
          <w:szCs w:val="32"/>
        </w:rPr>
        <w:t>反映机关事业单位实施养老保险制度由单位缴纳的基本养老保险费支出。</w:t>
      </w:r>
    </w:p>
    <w:p w14:paraId="04DEE7C2">
      <w:pPr>
        <w:pStyle w:val="6"/>
        <w:ind w:firstLine="64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.社会保障和就业（类）行政事业单位养老支出（款）机关事业单位职业年金缴费支出（项）</w:t>
      </w:r>
      <w:r>
        <w:rPr>
          <w:rFonts w:hint="eastAsia" w:ascii="Times New Roman" w:cs="Times New Roman"/>
          <w:sz w:val="32"/>
          <w:szCs w:val="32"/>
          <w:lang w:val="en-US" w:eastAsia="zh-CN"/>
        </w:rPr>
        <w:t>：</w:t>
      </w:r>
      <w:r>
        <w:rPr>
          <w:rFonts w:hint="default" w:ascii="Times New Roman" w:hAnsi="Times New Roman" w:cs="Times New Roman"/>
          <w:sz w:val="32"/>
          <w:szCs w:val="32"/>
          <w:lang w:val="en-US" w:eastAsia="zh-CN"/>
        </w:rPr>
        <w:t>反映机关事业单位实施养老保险制度由单位实际缴纳的职业年金支出。</w:t>
      </w:r>
    </w:p>
    <w:p w14:paraId="56A5B6D6">
      <w:pPr>
        <w:pStyle w:val="6"/>
        <w:ind w:firstLine="64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.卫生健康（类）行政事业单位医疗（款）行政单位医疗（项）</w:t>
      </w:r>
      <w:r>
        <w:rPr>
          <w:rFonts w:hint="eastAsia" w:ascii="Times New Roman" w:cs="Times New Roman"/>
          <w:sz w:val="32"/>
          <w:szCs w:val="32"/>
          <w:lang w:val="en-US" w:eastAsia="zh-CN"/>
        </w:rPr>
        <w:t>：</w:t>
      </w:r>
      <w:r>
        <w:rPr>
          <w:rFonts w:hint="default" w:ascii="Times New Roman" w:hAnsi="Times New Roman" w:eastAsia="仿宋_GB2312" w:cs="Times New Roman"/>
          <w:color w:val="auto"/>
          <w:kern w:val="0"/>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4BB57867">
      <w:p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6.卫生健康（类）行政事业单位医疗（款）公务员医疗补助（项）</w:t>
      </w:r>
      <w:r>
        <w:rPr>
          <w:rFonts w:hint="eastAsia" w:eastAsia="仿宋_GB2312" w:cs="Times New Roman"/>
          <w:sz w:val="32"/>
          <w:szCs w:val="32"/>
          <w:lang w:val="en-US" w:eastAsia="zh-CN"/>
        </w:rPr>
        <w:t>：</w:t>
      </w:r>
      <w:r>
        <w:rPr>
          <w:rFonts w:hint="default" w:ascii="Times New Roman" w:hAnsi="Times New Roman" w:eastAsia="仿宋_GB2312" w:cs="Times New Roman"/>
          <w:color w:val="auto"/>
          <w:kern w:val="0"/>
          <w:sz w:val="32"/>
          <w:szCs w:val="32"/>
        </w:rPr>
        <w:t>反映财政部门安排的公务员医疗补助经费。</w:t>
      </w:r>
    </w:p>
    <w:p w14:paraId="0728D436">
      <w:p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7.卫生健康（类）医疗救助（款）城乡医疗救助（项）</w:t>
      </w:r>
      <w:r>
        <w:rPr>
          <w:rFonts w:hint="eastAsia" w:eastAsia="仿宋_GB2312" w:cs="Times New Roman"/>
          <w:sz w:val="32"/>
          <w:szCs w:val="32"/>
          <w:lang w:val="en-US" w:eastAsia="zh-CN"/>
        </w:rPr>
        <w:t>：</w:t>
      </w:r>
      <w:r>
        <w:rPr>
          <w:rFonts w:hint="default" w:ascii="Times New Roman" w:hAnsi="Times New Roman" w:eastAsia="仿宋_GB2312" w:cs="Times New Roman"/>
          <w:color w:val="auto"/>
          <w:sz w:val="32"/>
          <w:szCs w:val="32"/>
        </w:rPr>
        <w:t>反映财政用于城乡困难群众医疗救助的支出</w:t>
      </w:r>
      <w:r>
        <w:rPr>
          <w:rFonts w:hint="default" w:ascii="Times New Roman" w:hAnsi="Times New Roman" w:eastAsia="仿宋_GB2312" w:cs="Times New Roman"/>
          <w:color w:val="auto"/>
          <w:kern w:val="0"/>
          <w:sz w:val="32"/>
          <w:szCs w:val="32"/>
        </w:rPr>
        <w:t>。</w:t>
      </w:r>
    </w:p>
    <w:p w14:paraId="5C5A36C9">
      <w:p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8.卫生健康（类）医疗保障管理事务（款）行政运行（项）</w:t>
      </w:r>
      <w:r>
        <w:rPr>
          <w:rFonts w:hint="eastAsia" w:eastAsia="仿宋_GB2312" w:cs="Times New Roman"/>
          <w:sz w:val="32"/>
          <w:szCs w:val="32"/>
          <w:lang w:val="en-US" w:eastAsia="zh-CN"/>
        </w:rPr>
        <w:t>：</w:t>
      </w:r>
      <w:r>
        <w:rPr>
          <w:rFonts w:hint="default" w:ascii="Times New Roman" w:hAnsi="Times New Roman" w:eastAsia="仿宋_GB2312" w:cs="Times New Roman"/>
          <w:color w:val="auto"/>
          <w:sz w:val="32"/>
          <w:szCs w:val="32"/>
        </w:rPr>
        <w:t>反映行政单位（包括实行公务员管理的事业单位）的基本支出。</w:t>
      </w:r>
    </w:p>
    <w:p w14:paraId="18D88A35">
      <w:pPr>
        <w:pStyle w:val="6"/>
        <w:ind w:firstLine="640"/>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.卫生健康（类）医疗保障管理事务（款）医疗保障政策管理（项）</w:t>
      </w:r>
      <w:r>
        <w:rPr>
          <w:rFonts w:hint="eastAsia" w:ascii="Times New Roman" w:cs="Times New Roman"/>
          <w:sz w:val="32"/>
          <w:szCs w:val="32"/>
          <w:lang w:val="en-US" w:eastAsia="zh-CN"/>
        </w:rPr>
        <w:t>：</w:t>
      </w:r>
      <w:r>
        <w:rPr>
          <w:rFonts w:hint="default" w:ascii="Times New Roman" w:hAnsi="Times New Roman" w:cs="Times New Roman"/>
          <w:sz w:val="32"/>
          <w:szCs w:val="32"/>
          <w:lang w:val="en-US" w:eastAsia="zh-CN"/>
        </w:rPr>
        <w:t>反映医疗保障待遇管理、医药服务管理、医药价格和招标采购管理、医疗保障基金监管等支出</w:t>
      </w:r>
      <w:r>
        <w:rPr>
          <w:rFonts w:hint="default" w:ascii="Times New Roman" w:hAnsi="Times New Roman" w:eastAsia="仿宋_GB2312" w:cs="Times New Roman"/>
          <w:sz w:val="32"/>
          <w:szCs w:val="32"/>
          <w:lang w:val="en-US" w:eastAsia="zh-CN"/>
        </w:rPr>
        <w:t>。</w:t>
      </w:r>
    </w:p>
    <w:p w14:paraId="472BC2FC">
      <w:p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10.卫生健康（类）医疗保障管理事务（款）其他医疗保障管理事务支出（项）</w:t>
      </w:r>
      <w:r>
        <w:rPr>
          <w:rFonts w:hint="eastAsia" w:eastAsia="仿宋_GB2312" w:cs="Times New Roman"/>
          <w:sz w:val="32"/>
          <w:szCs w:val="32"/>
          <w:lang w:val="en-US" w:eastAsia="zh-CN"/>
        </w:rPr>
        <w:t>：</w:t>
      </w:r>
      <w:r>
        <w:rPr>
          <w:rFonts w:hint="default" w:ascii="Times New Roman" w:hAnsi="Times New Roman" w:eastAsia="仿宋_GB2312" w:cs="Times New Roman"/>
          <w:color w:val="auto"/>
          <w:sz w:val="32"/>
          <w:szCs w:val="32"/>
        </w:rPr>
        <w:t>反映其他用于医疗保障管理事务方面的支出。</w:t>
      </w:r>
    </w:p>
    <w:p w14:paraId="6F8DA5E6">
      <w:pPr>
        <w:spacing w:line="360" w:lineRule="auto"/>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11.住房保障支出（类）住房改革支出（款）住房公积金（项）：</w:t>
      </w:r>
      <w:r>
        <w:rPr>
          <w:rFonts w:hint="default" w:ascii="Times New Roman" w:hAnsi="Times New Roman" w:eastAsia="仿宋_GB2312" w:cs="Times New Roman"/>
          <w:color w:val="auto"/>
          <w:sz w:val="32"/>
          <w:szCs w:val="32"/>
        </w:rPr>
        <w:t>反映行政事业单位按人力资源和社会保障部、财政部规定的基本工资和津贴补贴以及规定比例为职工缴纳的住房公积金。</w:t>
      </w:r>
    </w:p>
    <w:p w14:paraId="17EF91E6">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.基本支出：指为保障机构正常运转、完成日常工作任务而发生的人员支出和公用支出。</w:t>
      </w:r>
    </w:p>
    <w:p w14:paraId="5F238C07">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.项目支出：指在基本支出之外为完成特定行政任务和事业发展目标所发生的支出。</w:t>
      </w:r>
    </w:p>
    <w:p w14:paraId="436B8BA2">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hint="default" w:ascii="Times New Roman" w:hAnsi="Times New Roman" w:eastAsia="仿宋_GB2312" w:cs="Times New Roman"/>
          <w:color w:val="auto"/>
          <w:sz w:val="32"/>
          <w:szCs w:val="32"/>
          <w:lang w:eastAsia="zh-CN"/>
        </w:rPr>
        <w:t>、牌照费</w:t>
      </w:r>
      <w:r>
        <w:rPr>
          <w:rFonts w:hint="default" w:ascii="Times New Roman" w:hAnsi="Times New Roman" w:eastAsia="仿宋_GB2312" w:cs="Times New Roman"/>
          <w:color w:val="auto"/>
          <w:sz w:val="32"/>
          <w:szCs w:val="32"/>
        </w:rPr>
        <w:t>）及燃料费、维修费、过</w:t>
      </w:r>
      <w:r>
        <w:rPr>
          <w:rFonts w:hint="default" w:ascii="Times New Roman" w:hAnsi="Times New Roman" w:eastAsia="仿宋_GB2312" w:cs="Times New Roman"/>
          <w:color w:val="auto"/>
          <w:sz w:val="32"/>
          <w:szCs w:val="32"/>
          <w:lang w:eastAsia="zh-CN"/>
        </w:rPr>
        <w:t>桥</w:t>
      </w:r>
      <w:r>
        <w:rPr>
          <w:rFonts w:hint="default" w:ascii="Times New Roman" w:hAnsi="Times New Roman" w:eastAsia="仿宋_GB2312" w:cs="Times New Roman"/>
          <w:color w:val="auto"/>
          <w:sz w:val="32"/>
          <w:szCs w:val="32"/>
        </w:rPr>
        <w:t>过</w:t>
      </w:r>
      <w:r>
        <w:rPr>
          <w:rFonts w:hint="default" w:ascii="Times New Roman" w:hAnsi="Times New Roman" w:eastAsia="仿宋_GB2312" w:cs="Times New Roman"/>
          <w:color w:val="auto"/>
          <w:sz w:val="32"/>
          <w:szCs w:val="32"/>
          <w:lang w:eastAsia="zh-CN"/>
        </w:rPr>
        <w:t>路</w:t>
      </w:r>
      <w:r>
        <w:rPr>
          <w:rFonts w:hint="default" w:ascii="Times New Roman" w:hAnsi="Times New Roman" w:eastAsia="仿宋_GB2312" w:cs="Times New Roman"/>
          <w:color w:val="auto"/>
          <w:sz w:val="32"/>
          <w:szCs w:val="32"/>
        </w:rPr>
        <w:t>费、保险费</w:t>
      </w:r>
      <w:r>
        <w:rPr>
          <w:rFonts w:hint="default" w:ascii="Times New Roman" w:hAnsi="Times New Roman" w:eastAsia="仿宋_GB2312" w:cs="Times New Roman"/>
          <w:color w:val="auto"/>
          <w:sz w:val="32"/>
          <w:szCs w:val="32"/>
          <w:lang w:eastAsia="zh-CN"/>
        </w:rPr>
        <w:t>、安全奖励费用</w:t>
      </w:r>
      <w:r>
        <w:rPr>
          <w:rFonts w:hint="default" w:ascii="Times New Roman" w:hAnsi="Times New Roman" w:eastAsia="仿宋_GB2312" w:cs="Times New Roman"/>
          <w:color w:val="auto"/>
          <w:sz w:val="32"/>
          <w:szCs w:val="32"/>
        </w:rPr>
        <w:t>等支出；公务接待费反映单位按规定开支的各类公务接待（含外宾接待）支出。</w:t>
      </w:r>
    </w:p>
    <w:p w14:paraId="63AE385A">
      <w:pPr>
        <w:pStyle w:val="26"/>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96EDAF3">
      <w:pPr>
        <w:spacing w:line="600" w:lineRule="exact"/>
        <w:jc w:val="center"/>
        <w:outlineLvl w:val="0"/>
        <w:rPr>
          <w:rFonts w:hint="default" w:ascii="Times New Roman" w:hAnsi="Times New Roman" w:eastAsia="方正小标宋简体" w:cs="Times New Roman"/>
          <w:b w:val="0"/>
          <w:bCs/>
          <w:color w:val="000000" w:themeColor="text1"/>
          <w:sz w:val="44"/>
          <w:szCs w:val="44"/>
          <w:shd w:val="clear" w:color="auto" w:fill="FFFFFF"/>
          <w14:textFill>
            <w14:solidFill>
              <w14:schemeClr w14:val="tx1"/>
            </w14:solidFill>
          </w14:textFill>
        </w:rPr>
      </w:pPr>
      <w:bookmarkStart w:id="51" w:name="_Toc15377226"/>
      <w:r>
        <w:rPr>
          <w:rFonts w:hint="default" w:ascii="Times New Roman" w:hAnsi="Times New Roman" w:cs="Times New Roman"/>
          <w:b/>
          <w:sz w:val="44"/>
          <w:szCs w:val="44"/>
        </w:rPr>
        <w:br w:type="page"/>
      </w:r>
      <w:bookmarkStart w:id="52" w:name="_Toc15396614"/>
      <w:r>
        <w:rPr>
          <w:rFonts w:hint="default" w:ascii="Times New Roman" w:hAnsi="Times New Roman" w:eastAsia="方正小标宋简体" w:cs="Times New Roman"/>
          <w:b w:val="0"/>
          <w:bCs/>
          <w:color w:val="000000" w:themeColor="text1"/>
          <w:sz w:val="44"/>
          <w:szCs w:val="44"/>
          <w:shd w:val="clear" w:color="auto" w:fill="FFFFFF"/>
          <w:lang w:val="en-US" w:eastAsia="zh-CN"/>
          <w14:textFill>
            <w14:solidFill>
              <w14:schemeClr w14:val="tx1"/>
            </w14:solidFill>
          </w14:textFill>
        </w:rPr>
        <w:t>第四部分 附件</w:t>
      </w:r>
      <w:bookmarkEnd w:id="52"/>
    </w:p>
    <w:p w14:paraId="5935C06F">
      <w:pPr>
        <w:widowControl/>
        <w:spacing w:line="560" w:lineRule="exact"/>
        <w:contextualSpacing/>
        <w:rPr>
          <w:rFonts w:hint="default" w:ascii="Times New Roman" w:hAnsi="Times New Roman" w:eastAsia="黑体" w:cs="Times New Roman"/>
          <w:b w:val="0"/>
          <w:bCs/>
          <w:sz w:val="32"/>
          <w:szCs w:val="32"/>
          <w:shd w:val="clear" w:color="auto" w:fill="FFFFFF"/>
        </w:rPr>
      </w:pPr>
      <w:r>
        <w:rPr>
          <w:rFonts w:hint="default" w:ascii="Times New Roman" w:hAnsi="Times New Roman" w:eastAsia="黑体" w:cs="Times New Roman"/>
          <w:b w:val="0"/>
          <w:bCs/>
          <w:sz w:val="32"/>
          <w:szCs w:val="32"/>
          <w:shd w:val="clear" w:color="auto" w:fill="FFFFFF"/>
        </w:rPr>
        <w:t>附件1</w:t>
      </w:r>
    </w:p>
    <w:p w14:paraId="0C305052">
      <w:pPr>
        <w:widowControl/>
        <w:spacing w:line="560" w:lineRule="exact"/>
        <w:contextualSpacing/>
        <w:jc w:val="center"/>
        <w:rPr>
          <w:rFonts w:hint="default" w:ascii="Times New Roman" w:hAnsi="Times New Roman" w:eastAsia="方正小标宋简体" w:cs="Times New Roman"/>
          <w:b w:val="0"/>
          <w:bCs/>
          <w:color w:val="000000" w:themeColor="text1"/>
          <w:sz w:val="44"/>
          <w:szCs w:val="44"/>
          <w:shd w:val="clear" w:color="auto" w:fill="FFFFFF"/>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shd w:val="clear" w:color="auto" w:fill="FFFFFF"/>
          <w14:textFill>
            <w14:solidFill>
              <w14:schemeClr w14:val="tx1"/>
            </w14:solidFill>
          </w14:textFill>
        </w:rPr>
        <w:t>2023年部门整体绩效评价报告</w:t>
      </w:r>
    </w:p>
    <w:p w14:paraId="78DFE0CC">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p>
    <w:p w14:paraId="7FA70FF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fill="FFFFFF"/>
          <w:lang w:val="zh-CN" w:eastAsia="zh-CN" w:bidi="ar-SA"/>
        </w:rPr>
        <w:t>一、</w:t>
      </w:r>
      <w:r>
        <w:rPr>
          <w:rFonts w:hint="default" w:ascii="Times New Roman" w:hAnsi="Times New Roman" w:eastAsia="黑体" w:cs="Times New Roman"/>
          <w:kern w:val="0"/>
          <w:sz w:val="32"/>
          <w:szCs w:val="32"/>
          <w:shd w:val="clear" w:color="auto" w:fill="FFFFFF"/>
          <w:lang w:val="zh-CN"/>
        </w:rPr>
        <w:t>部门（单位）基本情况</w:t>
      </w:r>
    </w:p>
    <w:p w14:paraId="77435B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eastAsia="zh-CN"/>
        </w:rPr>
        <w:t>（一）</w:t>
      </w:r>
      <w:r>
        <w:rPr>
          <w:rFonts w:hint="default" w:ascii="Times New Roman" w:hAnsi="Times New Roman" w:eastAsia="楷体_GB2312" w:cs="Times New Roman"/>
          <w:b w:val="0"/>
          <w:bCs/>
          <w:sz w:val="32"/>
          <w:szCs w:val="32"/>
          <w:lang w:val="zh-CN"/>
        </w:rPr>
        <w:t>机构组成。</w:t>
      </w:r>
    </w:p>
    <w:p w14:paraId="71D659C6">
      <w:pPr>
        <w:pStyle w:val="6"/>
        <w:keepNext w:val="0"/>
        <w:keepLines w:val="0"/>
        <w:pageBreakBefore w:val="0"/>
        <w:numPr>
          <w:ilvl w:val="0"/>
          <w:numId w:val="0"/>
        </w:numPr>
        <w:kinsoku/>
        <w:wordWrap/>
        <w:overflowPunct/>
        <w:topLinePunct w:val="0"/>
        <w:autoSpaceDE/>
        <w:autoSpaceDN/>
        <w:bidi w:val="0"/>
        <w:spacing w:beforeLines="0" w:line="560" w:lineRule="exact"/>
        <w:textAlignment w:val="auto"/>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000000"/>
          <w:kern w:val="0"/>
          <w:sz w:val="32"/>
          <w:szCs w:val="32"/>
          <w:shd w:val="clear" w:color="auto" w:fill="FFFFFF"/>
          <w:lang w:val="zh-CN"/>
        </w:rPr>
        <w:t>盐边县医疗保障局（简称县医保局）是盐边县人民政府工作部门，为正科级，下属二级单位盐边县医疗保障事务中心为参照公务员法管理的事业单位。县医保局内设办公室和业务与政策法规股</w:t>
      </w:r>
      <w:r>
        <w:rPr>
          <w:rFonts w:hint="default" w:ascii="Times New Roman" w:hAnsi="Times New Roman" w:eastAsia="仿宋_GB2312" w:cs="Times New Roman"/>
          <w:color w:val="000000"/>
          <w:kern w:val="0"/>
          <w:sz w:val="32"/>
          <w:szCs w:val="32"/>
          <w:shd w:val="clear" w:color="auto" w:fill="FFFFFF"/>
          <w:lang w:val="en-US" w:eastAsia="zh-CN"/>
        </w:rPr>
        <w:t>2个机构。</w:t>
      </w:r>
    </w:p>
    <w:p w14:paraId="659302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eastAsia="zh-CN"/>
        </w:rPr>
        <w:t>（二）</w:t>
      </w:r>
      <w:r>
        <w:rPr>
          <w:rFonts w:hint="default" w:ascii="Times New Roman" w:hAnsi="Times New Roman" w:eastAsia="楷体_GB2312" w:cs="Times New Roman"/>
          <w:b w:val="0"/>
          <w:bCs/>
          <w:sz w:val="32"/>
          <w:szCs w:val="32"/>
          <w:lang w:val="zh-CN"/>
        </w:rPr>
        <w:t>机构职能和人员概况。</w:t>
      </w:r>
    </w:p>
    <w:p w14:paraId="181336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422"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cs="Times New Roman"/>
          <w:b/>
          <w:bCs/>
          <w:lang w:val="en-US" w:eastAsia="zh-CN"/>
        </w:rPr>
        <w:t xml:space="preserve">  </w:t>
      </w:r>
      <w:r>
        <w:rPr>
          <w:rFonts w:hint="default" w:ascii="Times New Roman" w:hAnsi="Times New Roman" w:eastAsia="仿宋_GB2312" w:cs="Times New Roman"/>
          <w:b/>
          <w:bCs/>
          <w:color w:val="000000"/>
          <w:kern w:val="0"/>
          <w:sz w:val="32"/>
          <w:szCs w:val="32"/>
          <w:shd w:val="clear" w:color="auto" w:fill="FFFFFF"/>
          <w:lang w:val="en-US" w:eastAsia="zh-CN"/>
        </w:rPr>
        <w:t>1.机构职能。</w:t>
      </w:r>
    </w:p>
    <w:p w14:paraId="56227FB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1）办公室。负责文电、会务、档案、保密机要、机关安全、综治、维稳、信访、绩效管理、信息、政务公开、后勤保障等机关日常运转工作。承担史志编纂、财务资产、人事和离退休管理等工作。拟订医疗保障工作规划、年度工作计划和总结。承担机关和直属单位的机构编制、人事管理、教育培训、队伍建设、规范性文件合法性审查、财务、国有资产管理和对外合作交流等工作。负责机关和直属单位的党群工作。</w:t>
      </w:r>
    </w:p>
    <w:p w14:paraId="6009A02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0" w:firstLineChars="0"/>
        <w:contextualSpacing/>
        <w:jc w:val="left"/>
        <w:textAlignment w:val="auto"/>
        <w:rPr>
          <w:rFonts w:hint="default" w:ascii="Times New Roman" w:hAnsi="Times New Roman" w:eastAsia="楷体_GB2312" w:cs="Times New Roman"/>
          <w:color w:val="000000"/>
          <w:kern w:val="0"/>
          <w:szCs w:val="32"/>
          <w:shd w:val="clear" w:color="auto" w:fill="FFFFFF"/>
          <w:lang w:val="zh-CN"/>
        </w:rPr>
      </w:pPr>
      <w:r>
        <w:rPr>
          <w:rFonts w:hint="default" w:ascii="Times New Roman" w:hAnsi="Times New Roman" w:eastAsia="仿宋_GB2312" w:cs="Times New Roman"/>
          <w:color w:val="000000"/>
          <w:kern w:val="0"/>
          <w:sz w:val="32"/>
          <w:szCs w:val="32"/>
          <w:shd w:val="clear" w:color="auto" w:fill="FFFFFF"/>
          <w:lang w:val="en-US" w:eastAsia="zh-CN"/>
        </w:rPr>
        <w:t xml:space="preserve">    （2）业务与政策法规股。组织实施医疗保障筹资和待遇政策、统筹城乡待遇标准、长期护理保险政策、基本医疗保险、大病保险、补充医疗保险、公务员医疗补助、医疗救助政策、异地就医等管理办法和结算政策、全市城乡统一的药品、医用耗材价格和医疗服务项目、医疗服务设施收费等政策、医疗保障基金监督管理制度、监督管理纳入医疗保障支付范围的医疗服务行为和医疗费用、规范医保经办业务、依法查处医疗保障领域违法违规行为。负责行政复议、行政诉讼、医疗保障各项统计报表与数据分析、上级和县级审计等部门对全县医疗保障系统的审计、检查相关工作。统筹推进多层次医疗保障体系建设和医保支付方式改革。建立健全医疗保障关系转移接续制度、价格信息监测制度、基金安全防控机制、相关信息发布和披露制度、医疗保障信用评价体系。指导管理全县医疗保障经办服务、医疗保障定点医药机构管理工作，组织执行全市经办服务规程，规范经办服务窗口建设，督促做好县级医疗保障经办机构内控管理和风险防范等工作。制定完善县级离休干部、六级以上革命伤残军人的医疗保障政策和特殊人群医疗照顾政策。与医疗保障相关部门在医疗、医保、医药、基金征缴等方面加强制度、政策衔接，建立沟通协商机制，协同推进改革，提高医疗资源使用效率和医疗保障水平。</w:t>
      </w:r>
    </w:p>
    <w:p w14:paraId="17015516">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000000"/>
          <w:kern w:val="0"/>
          <w:sz w:val="32"/>
          <w:szCs w:val="32"/>
          <w:shd w:val="clear" w:color="auto" w:fill="FFFFFF"/>
          <w:lang w:val="zh-CN" w:eastAsia="zh-CN"/>
        </w:rPr>
      </w:pPr>
      <w:r>
        <w:rPr>
          <w:rFonts w:hint="default" w:ascii="Times New Roman" w:hAnsi="Times New Roman" w:eastAsia="仿宋_GB2312" w:cs="Times New Roman"/>
          <w:b/>
          <w:bCs/>
          <w:color w:val="000000"/>
          <w:kern w:val="0"/>
          <w:sz w:val="32"/>
          <w:szCs w:val="32"/>
          <w:shd w:val="clear" w:color="auto" w:fill="FFFFFF"/>
          <w:lang w:val="en-US" w:eastAsia="zh-CN"/>
        </w:rPr>
        <w:t>2.</w:t>
      </w:r>
      <w:r>
        <w:rPr>
          <w:rFonts w:hint="default" w:ascii="Times New Roman" w:hAnsi="Times New Roman" w:eastAsia="仿宋_GB2312" w:cs="Times New Roman"/>
          <w:b/>
          <w:bCs/>
          <w:color w:val="000000"/>
          <w:kern w:val="0"/>
          <w:sz w:val="32"/>
          <w:szCs w:val="32"/>
          <w:shd w:val="clear" w:color="auto" w:fill="FFFFFF"/>
          <w:lang w:val="zh-CN" w:eastAsia="zh-CN"/>
        </w:rPr>
        <w:t>人员概况。</w:t>
      </w:r>
    </w:p>
    <w:p w14:paraId="2732C51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color w:val="000000"/>
          <w:kern w:val="0"/>
          <w:sz w:val="32"/>
          <w:szCs w:val="32"/>
          <w:shd w:val="clear" w:color="auto" w:fill="FFFFFF"/>
          <w:lang w:val="en-US" w:eastAsia="zh-CN"/>
        </w:rPr>
        <w:t>县医保局202</w:t>
      </w:r>
      <w:r>
        <w:rPr>
          <w:rFonts w:hint="default" w:ascii="Times New Roman" w:hAnsi="Times New Roman"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lang w:val="en-US" w:eastAsia="zh-CN"/>
        </w:rPr>
        <w:t>年末核定行政编制3名，参公编制1</w:t>
      </w:r>
      <w:r>
        <w:rPr>
          <w:rFonts w:hint="default" w:ascii="Times New Roman" w:hAnsi="Times New Roman" w:cs="Times New Roman"/>
          <w:color w:val="000000"/>
          <w:kern w:val="0"/>
          <w:sz w:val="32"/>
          <w:szCs w:val="32"/>
          <w:shd w:val="clear" w:color="auto" w:fill="FFFFFF"/>
          <w:lang w:val="en-US" w:eastAsia="zh-CN"/>
        </w:rPr>
        <w:t>6</w:t>
      </w:r>
      <w:r>
        <w:rPr>
          <w:rFonts w:hint="default" w:ascii="Times New Roman" w:hAnsi="Times New Roman" w:eastAsia="仿宋_GB2312" w:cs="Times New Roman"/>
          <w:color w:val="000000"/>
          <w:kern w:val="0"/>
          <w:sz w:val="32"/>
          <w:szCs w:val="32"/>
          <w:shd w:val="clear" w:color="auto" w:fill="FFFFFF"/>
          <w:lang w:val="en-US" w:eastAsia="zh-CN"/>
        </w:rPr>
        <w:t>名。202</w:t>
      </w:r>
      <w:r>
        <w:rPr>
          <w:rFonts w:hint="default" w:ascii="Times New Roman" w:hAnsi="Times New Roman"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lang w:val="en-US" w:eastAsia="zh-CN"/>
        </w:rPr>
        <w:t>年12月末，在职在编19人。</w:t>
      </w:r>
    </w:p>
    <w:p w14:paraId="6C812C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eastAsia="zh-CN"/>
        </w:rPr>
        <w:t>（三）</w:t>
      </w:r>
      <w:r>
        <w:rPr>
          <w:rFonts w:hint="default" w:ascii="Times New Roman" w:hAnsi="Times New Roman" w:eastAsia="楷体_GB2312" w:cs="Times New Roman"/>
          <w:b w:val="0"/>
          <w:bCs/>
          <w:sz w:val="32"/>
          <w:szCs w:val="32"/>
          <w:lang w:val="zh-CN"/>
        </w:rPr>
        <w:t>年度主要工作任务。</w:t>
      </w:r>
    </w:p>
    <w:p w14:paraId="34C9B30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000000"/>
          <w:kern w:val="0"/>
          <w:sz w:val="32"/>
          <w:szCs w:val="32"/>
          <w:shd w:val="clear" w:color="auto" w:fill="FFFFFF"/>
          <w:lang w:val="en-US" w:eastAsia="zh-CN"/>
        </w:rPr>
      </w:pPr>
      <w:r>
        <w:rPr>
          <w:rFonts w:hint="default" w:ascii="Times New Roman" w:hAnsi="Times New Roman" w:eastAsia="仿宋_GB2312" w:cs="Times New Roman"/>
          <w:b/>
          <w:bCs/>
          <w:color w:val="000000"/>
          <w:kern w:val="0"/>
          <w:sz w:val="32"/>
          <w:szCs w:val="32"/>
          <w:shd w:val="clear" w:color="auto" w:fill="FFFFFF"/>
          <w:lang w:val="en-US" w:eastAsia="zh-CN"/>
        </w:rPr>
        <w:t>1.党建和党风廉政建设深入开展。</w:t>
      </w:r>
    </w:p>
    <w:p w14:paraId="77242326">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lang w:val="en-US" w:eastAsia="zh-CN"/>
        </w:rPr>
      </w:pPr>
      <w:r>
        <w:rPr>
          <w:rFonts w:hint="default" w:ascii="Times New Roman" w:hAnsi="Times New Roman" w:eastAsia="仿宋_GB2312" w:cs="Times New Roman"/>
          <w:bCs/>
          <w:color w:val="auto"/>
          <w:kern w:val="33"/>
          <w:sz w:val="32"/>
          <w:szCs w:val="32"/>
        </w:rPr>
        <w:t>一是研究制定了《县医保局推进2022年全面从严治党、党风廉政建设和反腐败工作要点及责任分工》，建立了局党组、党组书记、党组成员“三张责任清单”，严格落实了分管领导、股室和下属单位负责人的工作职责。</w:t>
      </w:r>
      <w:r>
        <w:rPr>
          <w:rFonts w:hint="default" w:ascii="Times New Roman" w:hAnsi="Times New Roman" w:eastAsia="仿宋_GB2312" w:cs="Times New Roman"/>
          <w:bCs/>
          <w:color w:val="auto"/>
          <w:kern w:val="33"/>
          <w:sz w:val="32"/>
          <w:szCs w:val="32"/>
          <w:lang w:val="en-US" w:eastAsia="zh-CN"/>
        </w:rPr>
        <w:t>1-12月，组织召开4次党组会专题研究全年党风廉政建设工作，听取班子成员党风廉政履职情况汇报4次，</w:t>
      </w:r>
      <w:r>
        <w:rPr>
          <w:rFonts w:hint="default" w:ascii="Times New Roman" w:hAnsi="Times New Roman" w:eastAsia="仿宋_GB2312" w:cs="Times New Roman"/>
          <w:bCs/>
          <w:color w:val="auto"/>
          <w:kern w:val="33"/>
          <w:sz w:val="32"/>
          <w:szCs w:val="32"/>
        </w:rPr>
        <w:t>召开</w:t>
      </w:r>
      <w:r>
        <w:rPr>
          <w:rFonts w:hint="default" w:ascii="Times New Roman" w:hAnsi="Times New Roman" w:eastAsia="仿宋_GB2312" w:cs="Times New Roman"/>
          <w:bCs/>
          <w:color w:val="auto"/>
          <w:kern w:val="33"/>
          <w:sz w:val="32"/>
          <w:szCs w:val="32"/>
          <w:lang w:val="en-US" w:eastAsia="zh-CN"/>
        </w:rPr>
        <w:t>6</w:t>
      </w:r>
      <w:r>
        <w:rPr>
          <w:rFonts w:hint="default" w:ascii="Times New Roman" w:hAnsi="Times New Roman" w:eastAsia="仿宋_GB2312" w:cs="Times New Roman"/>
          <w:bCs/>
          <w:color w:val="auto"/>
          <w:kern w:val="33"/>
          <w:sz w:val="32"/>
          <w:szCs w:val="32"/>
        </w:rPr>
        <w:t>次理论学习中心组会</w:t>
      </w:r>
      <w:r>
        <w:rPr>
          <w:rFonts w:hint="eastAsia" w:eastAsia="仿宋_GB2312" w:cs="Times New Roman"/>
          <w:bCs/>
          <w:color w:val="auto"/>
          <w:kern w:val="33"/>
          <w:sz w:val="32"/>
          <w:szCs w:val="32"/>
          <w:lang w:val="en-US" w:eastAsia="zh-CN"/>
        </w:rPr>
        <w:t>议</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3</w:t>
      </w:r>
      <w:r>
        <w:rPr>
          <w:rFonts w:hint="default" w:ascii="Times New Roman" w:hAnsi="Times New Roman" w:eastAsia="仿宋_GB2312" w:cs="Times New Roman"/>
          <w:bCs/>
          <w:color w:val="auto"/>
          <w:kern w:val="33"/>
          <w:sz w:val="32"/>
          <w:szCs w:val="32"/>
        </w:rPr>
        <w:t>次党员大会</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开展党风廉政专项检查11次，督促落实党风廉政建设工作责任。</w:t>
      </w:r>
    </w:p>
    <w:p w14:paraId="253C2F86">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lang w:val="en-US" w:eastAsia="zh-CN"/>
        </w:rPr>
      </w:pPr>
      <w:r>
        <w:rPr>
          <w:rFonts w:hint="default" w:ascii="Times New Roman" w:hAnsi="Times New Roman" w:eastAsia="仿宋_GB2312" w:cs="Times New Roman"/>
          <w:bCs/>
          <w:color w:val="auto"/>
          <w:kern w:val="33"/>
          <w:sz w:val="32"/>
          <w:szCs w:val="32"/>
          <w:lang w:val="en-US" w:eastAsia="zh-CN"/>
        </w:rPr>
        <w:t>二是政风行风建设持续深入推进。结合“窗口腐败”专项整治工作，狠抓经办机构政风行风建设，在工作中严格执行首问责任、一次性告知、限时办结和责任追究等制度，坚持文明用语、微笑服务；积极推进医保服务大厅标准化规范化建设，完成指引标志、设施配置和工作着装等事项的统一，树立经办机构良好的对外形象。</w:t>
      </w:r>
    </w:p>
    <w:p w14:paraId="203F1F51">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三是</w:t>
      </w:r>
      <w:r>
        <w:rPr>
          <w:rFonts w:hint="default" w:ascii="Times New Roman" w:hAnsi="Times New Roman" w:eastAsia="仿宋_GB2312" w:cs="Times New Roman"/>
          <w:bCs/>
          <w:color w:val="auto"/>
          <w:kern w:val="33"/>
          <w:sz w:val="32"/>
          <w:szCs w:val="32"/>
        </w:rPr>
        <w:t>修订完善各项工作制度</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全面防控“三公”经费支出、医保基金管理使用等廉政风险点，进一步规范财务管理、民主生活会、党组议事规则和选人用人程序。</w:t>
      </w:r>
    </w:p>
    <w:p w14:paraId="7D646ECA">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四</w:t>
      </w:r>
      <w:r>
        <w:rPr>
          <w:rFonts w:hint="default" w:ascii="Times New Roman" w:hAnsi="Times New Roman" w:eastAsia="仿宋_GB2312" w:cs="Times New Roman"/>
          <w:bCs/>
          <w:color w:val="auto"/>
          <w:kern w:val="33"/>
          <w:sz w:val="32"/>
          <w:szCs w:val="32"/>
        </w:rPr>
        <w:t>是加强党风廉政警示教育。班子成员带头讲廉政党课</w:t>
      </w:r>
      <w:r>
        <w:rPr>
          <w:rFonts w:hint="default" w:ascii="Times New Roman" w:hAnsi="Times New Roman" w:eastAsia="仿宋_GB2312" w:cs="Times New Roman"/>
          <w:bCs/>
          <w:color w:val="auto"/>
          <w:kern w:val="33"/>
          <w:sz w:val="32"/>
          <w:szCs w:val="32"/>
          <w:lang w:val="en-US" w:eastAsia="zh-CN"/>
        </w:rPr>
        <w:t>3</w:t>
      </w:r>
      <w:r>
        <w:rPr>
          <w:rFonts w:hint="default" w:ascii="Times New Roman" w:hAnsi="Times New Roman" w:eastAsia="仿宋_GB2312" w:cs="Times New Roman"/>
          <w:bCs/>
          <w:color w:val="auto"/>
          <w:kern w:val="33"/>
          <w:sz w:val="32"/>
          <w:szCs w:val="32"/>
        </w:rPr>
        <w:t>次，针对医保基金管理关键</w:t>
      </w:r>
      <w:r>
        <w:rPr>
          <w:rFonts w:hint="default" w:ascii="Times New Roman" w:hAnsi="Times New Roman" w:eastAsia="仿宋_GB2312" w:cs="Times New Roman"/>
          <w:bCs/>
          <w:color w:val="auto"/>
          <w:kern w:val="33"/>
          <w:sz w:val="32"/>
          <w:szCs w:val="32"/>
          <w:lang w:val="en-US" w:eastAsia="zh-CN"/>
        </w:rPr>
        <w:t>岗位</w:t>
      </w:r>
      <w:r>
        <w:rPr>
          <w:rFonts w:hint="default" w:ascii="Times New Roman" w:hAnsi="Times New Roman" w:eastAsia="仿宋_GB2312" w:cs="Times New Roman"/>
          <w:bCs/>
          <w:color w:val="auto"/>
          <w:kern w:val="33"/>
          <w:sz w:val="32"/>
          <w:szCs w:val="32"/>
        </w:rPr>
        <w:t>人员开展全覆盖谈心谈话1次，开展干部职工谈心谈话</w:t>
      </w:r>
      <w:r>
        <w:rPr>
          <w:rFonts w:hint="default" w:ascii="Times New Roman" w:hAnsi="Times New Roman" w:eastAsia="仿宋_GB2312" w:cs="Times New Roman"/>
          <w:bCs/>
          <w:color w:val="auto"/>
          <w:kern w:val="33"/>
          <w:sz w:val="32"/>
          <w:szCs w:val="32"/>
          <w:lang w:val="en-US" w:eastAsia="zh-CN"/>
        </w:rPr>
        <w:t>19</w:t>
      </w:r>
      <w:r>
        <w:rPr>
          <w:rFonts w:hint="default" w:ascii="Times New Roman" w:hAnsi="Times New Roman" w:eastAsia="仿宋_GB2312" w:cs="Times New Roman"/>
          <w:bCs/>
          <w:color w:val="auto"/>
          <w:kern w:val="33"/>
          <w:sz w:val="32"/>
          <w:szCs w:val="32"/>
        </w:rPr>
        <w:t>人次，做到谈话提醒常态化，帮助干部职工拧紧思想总开关</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组织观看《零容忍》等警示教育片以及各地骗取医保基金典型案例并开展专题研讨，</w:t>
      </w:r>
      <w:r>
        <w:rPr>
          <w:rFonts w:hint="default" w:ascii="Times New Roman" w:hAnsi="Times New Roman" w:eastAsia="仿宋_GB2312" w:cs="Times New Roman"/>
          <w:bCs/>
          <w:color w:val="auto"/>
          <w:kern w:val="33"/>
          <w:sz w:val="32"/>
          <w:szCs w:val="32"/>
          <w:lang w:val="en-US" w:eastAsia="zh-CN"/>
        </w:rPr>
        <w:t>组织学习纪委监委通报的3起典型案例，</w:t>
      </w:r>
      <w:r>
        <w:rPr>
          <w:rFonts w:hint="default" w:ascii="Times New Roman" w:hAnsi="Times New Roman" w:eastAsia="仿宋_GB2312" w:cs="Times New Roman"/>
          <w:bCs/>
          <w:color w:val="auto"/>
          <w:kern w:val="33"/>
          <w:sz w:val="32"/>
          <w:szCs w:val="32"/>
        </w:rPr>
        <w:t>以案为鉴，树牢“基金红线不可触碰”的法纪意识。</w:t>
      </w:r>
    </w:p>
    <w:p w14:paraId="79076652">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五是切实抓好意识形态工作。全面落实意识形态工作责任，全年召开意识形态工作专题会3次，分析研判个人账户收回、打击欺诈骗保、企业医保欠费、门诊共济改革等风险点，强化正面引导，牢牢掌握意识形态思想阵地，全年未出现意识形态问题和重大舆情。</w:t>
      </w:r>
    </w:p>
    <w:p w14:paraId="60169020">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val="en-US" w:eastAsia="zh-CN"/>
        </w:rPr>
      </w:pPr>
      <w:r>
        <w:rPr>
          <w:rFonts w:hint="default" w:ascii="Times New Roman" w:hAnsi="Times New Roman" w:eastAsia="仿宋_GB2312" w:cs="Times New Roman"/>
          <w:b/>
          <w:bCs w:val="0"/>
          <w:color w:val="auto"/>
          <w:kern w:val="33"/>
          <w:sz w:val="32"/>
          <w:szCs w:val="32"/>
          <w:lang w:val="en-US" w:eastAsia="zh-CN"/>
        </w:rPr>
        <w:t>2.全面落实各项医疗保障待遇。</w:t>
      </w:r>
    </w:p>
    <w:p w14:paraId="6A141589">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一是落实参保人员门诊住院报销。</w:t>
      </w:r>
      <w:r>
        <w:rPr>
          <w:rFonts w:hint="default" w:ascii="Times New Roman" w:hAnsi="Times New Roman" w:eastAsia="仿宋_GB2312" w:cs="Times New Roman"/>
          <w:bCs/>
          <w:color w:val="auto"/>
          <w:kern w:val="33"/>
          <w:sz w:val="32"/>
          <w:szCs w:val="32"/>
        </w:rPr>
        <w:t>实行基本医疗保险、大病医疗保险、补充医疗保险、医疗救助“一单制”结算</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2022年1-1</w:t>
      </w:r>
      <w:r>
        <w:rPr>
          <w:rFonts w:hint="default" w:ascii="Times New Roman" w:hAnsi="Times New Roman" w:eastAsia="仿宋_GB2312" w:cs="Times New Roman"/>
          <w:bCs/>
          <w:color w:val="auto"/>
          <w:kern w:val="33"/>
          <w:sz w:val="32"/>
          <w:szCs w:val="32"/>
          <w:lang w:val="en-US" w:eastAsia="zh-CN"/>
        </w:rPr>
        <w:t>2</w:t>
      </w:r>
      <w:r>
        <w:rPr>
          <w:rFonts w:hint="default" w:ascii="Times New Roman" w:hAnsi="Times New Roman" w:eastAsia="仿宋_GB2312" w:cs="Times New Roman"/>
          <w:bCs/>
          <w:color w:val="auto"/>
          <w:kern w:val="33"/>
          <w:sz w:val="32"/>
          <w:szCs w:val="32"/>
        </w:rPr>
        <w:t>月全县城乡居民在定点医疗机构住院</w:t>
      </w:r>
      <w:r>
        <w:rPr>
          <w:rFonts w:hint="default" w:ascii="Times New Roman" w:hAnsi="Times New Roman" w:eastAsia="仿宋_GB2312" w:cs="Times New Roman"/>
          <w:bCs/>
          <w:color w:val="auto"/>
          <w:kern w:val="33"/>
          <w:sz w:val="32"/>
          <w:szCs w:val="32"/>
          <w:lang w:val="en-US" w:eastAsia="zh-CN"/>
        </w:rPr>
        <w:t>3.05</w:t>
      </w:r>
      <w:r>
        <w:rPr>
          <w:rFonts w:hint="default" w:ascii="Times New Roman" w:hAnsi="Times New Roman" w:eastAsia="仿宋_GB2312" w:cs="Times New Roman"/>
          <w:bCs/>
          <w:color w:val="auto"/>
          <w:kern w:val="33"/>
          <w:sz w:val="32"/>
          <w:szCs w:val="32"/>
        </w:rPr>
        <w:t>万余人次，总费用</w:t>
      </w:r>
      <w:r>
        <w:rPr>
          <w:rFonts w:hint="default" w:ascii="Times New Roman" w:hAnsi="Times New Roman" w:eastAsia="仿宋_GB2312" w:cs="Times New Roman"/>
          <w:bCs/>
          <w:color w:val="auto"/>
          <w:kern w:val="33"/>
          <w:sz w:val="32"/>
          <w:szCs w:val="32"/>
          <w:lang w:val="en-US" w:eastAsia="zh-CN"/>
        </w:rPr>
        <w:t>19511.84</w:t>
      </w:r>
      <w:r>
        <w:rPr>
          <w:rFonts w:hint="default" w:ascii="Times New Roman" w:hAnsi="Times New Roman" w:eastAsia="仿宋_GB2312" w:cs="Times New Roman"/>
          <w:bCs/>
          <w:color w:val="auto"/>
          <w:kern w:val="33"/>
          <w:sz w:val="32"/>
          <w:szCs w:val="32"/>
        </w:rPr>
        <w:t>万元，医保报销</w:t>
      </w:r>
      <w:r>
        <w:rPr>
          <w:rFonts w:hint="default" w:ascii="Times New Roman" w:hAnsi="Times New Roman" w:eastAsia="仿宋_GB2312" w:cs="Times New Roman"/>
          <w:bCs/>
          <w:color w:val="auto"/>
          <w:kern w:val="33"/>
          <w:sz w:val="32"/>
          <w:szCs w:val="32"/>
          <w:lang w:val="en-US" w:eastAsia="zh-CN"/>
        </w:rPr>
        <w:t>12246.41</w:t>
      </w:r>
      <w:r>
        <w:rPr>
          <w:rFonts w:hint="default" w:ascii="Times New Roman" w:hAnsi="Times New Roman" w:eastAsia="仿宋_GB2312" w:cs="Times New Roman"/>
          <w:bCs/>
          <w:color w:val="auto"/>
          <w:kern w:val="33"/>
          <w:sz w:val="32"/>
          <w:szCs w:val="32"/>
        </w:rPr>
        <w:t>万元；门诊</w:t>
      </w:r>
      <w:r>
        <w:rPr>
          <w:rFonts w:hint="default" w:ascii="Times New Roman" w:hAnsi="Times New Roman" w:eastAsia="仿宋_GB2312" w:cs="Times New Roman"/>
          <w:bCs/>
          <w:color w:val="auto"/>
          <w:kern w:val="33"/>
          <w:sz w:val="32"/>
          <w:szCs w:val="32"/>
          <w:lang w:val="en-US" w:eastAsia="zh-CN"/>
        </w:rPr>
        <w:t>就诊30.2</w:t>
      </w:r>
      <w:r>
        <w:rPr>
          <w:rFonts w:hint="default" w:ascii="Times New Roman" w:hAnsi="Times New Roman" w:eastAsia="仿宋_GB2312" w:cs="Times New Roman"/>
          <w:bCs/>
          <w:color w:val="auto"/>
          <w:kern w:val="33"/>
          <w:sz w:val="32"/>
          <w:szCs w:val="32"/>
        </w:rPr>
        <w:t>万人次，总费用</w:t>
      </w:r>
      <w:r>
        <w:rPr>
          <w:rFonts w:hint="default" w:ascii="Times New Roman" w:hAnsi="Times New Roman" w:eastAsia="仿宋_GB2312" w:cs="Times New Roman"/>
          <w:bCs/>
          <w:color w:val="auto"/>
          <w:kern w:val="33"/>
          <w:sz w:val="32"/>
          <w:szCs w:val="32"/>
          <w:lang w:val="en-US" w:eastAsia="zh-CN"/>
        </w:rPr>
        <w:t>3032.19</w:t>
      </w:r>
      <w:r>
        <w:rPr>
          <w:rFonts w:hint="default" w:ascii="Times New Roman" w:hAnsi="Times New Roman" w:eastAsia="仿宋_GB2312" w:cs="Times New Roman"/>
          <w:bCs/>
          <w:color w:val="auto"/>
          <w:kern w:val="33"/>
          <w:sz w:val="32"/>
          <w:szCs w:val="32"/>
        </w:rPr>
        <w:t>万元，医保报销</w:t>
      </w:r>
      <w:r>
        <w:rPr>
          <w:rFonts w:hint="default" w:ascii="Times New Roman" w:hAnsi="Times New Roman" w:eastAsia="仿宋_GB2312" w:cs="Times New Roman"/>
          <w:bCs/>
          <w:color w:val="auto"/>
          <w:kern w:val="33"/>
          <w:sz w:val="32"/>
          <w:szCs w:val="32"/>
          <w:lang w:val="en-US" w:eastAsia="zh-CN"/>
        </w:rPr>
        <w:t>1909.26</w:t>
      </w:r>
      <w:r>
        <w:rPr>
          <w:rFonts w:hint="default" w:ascii="Times New Roman" w:hAnsi="Times New Roman" w:eastAsia="仿宋_GB2312" w:cs="Times New Roman"/>
          <w:bCs/>
          <w:color w:val="auto"/>
          <w:kern w:val="33"/>
          <w:sz w:val="32"/>
          <w:szCs w:val="32"/>
        </w:rPr>
        <w:t>万元。全县城镇职工在定点医疗机构住院</w:t>
      </w:r>
      <w:r>
        <w:rPr>
          <w:rFonts w:hint="default" w:ascii="Times New Roman" w:hAnsi="Times New Roman" w:eastAsia="仿宋_GB2312" w:cs="Times New Roman"/>
          <w:bCs/>
          <w:color w:val="auto"/>
          <w:kern w:val="33"/>
          <w:sz w:val="32"/>
          <w:szCs w:val="32"/>
          <w:lang w:val="en-US" w:eastAsia="zh-CN"/>
        </w:rPr>
        <w:t>0.57万</w:t>
      </w:r>
      <w:r>
        <w:rPr>
          <w:rFonts w:hint="default" w:ascii="Times New Roman" w:hAnsi="Times New Roman" w:eastAsia="仿宋_GB2312" w:cs="Times New Roman"/>
          <w:bCs/>
          <w:color w:val="auto"/>
          <w:kern w:val="33"/>
          <w:sz w:val="32"/>
          <w:szCs w:val="32"/>
        </w:rPr>
        <w:t>人次，总费用</w:t>
      </w:r>
      <w:r>
        <w:rPr>
          <w:rFonts w:hint="default" w:ascii="Times New Roman" w:hAnsi="Times New Roman" w:eastAsia="仿宋_GB2312" w:cs="Times New Roman"/>
          <w:bCs/>
          <w:color w:val="auto"/>
          <w:kern w:val="33"/>
          <w:sz w:val="32"/>
          <w:szCs w:val="32"/>
          <w:lang w:val="en-US" w:eastAsia="zh-CN"/>
        </w:rPr>
        <w:t>4497.03</w:t>
      </w:r>
      <w:r>
        <w:rPr>
          <w:rFonts w:hint="default" w:ascii="Times New Roman" w:hAnsi="Times New Roman" w:eastAsia="仿宋_GB2312" w:cs="Times New Roman"/>
          <w:bCs/>
          <w:color w:val="auto"/>
          <w:kern w:val="33"/>
          <w:sz w:val="32"/>
          <w:szCs w:val="32"/>
        </w:rPr>
        <w:t>万元，医保报销</w:t>
      </w:r>
      <w:r>
        <w:rPr>
          <w:rFonts w:hint="default" w:ascii="Times New Roman" w:hAnsi="Times New Roman" w:eastAsia="仿宋_GB2312" w:cs="Times New Roman"/>
          <w:bCs/>
          <w:color w:val="auto"/>
          <w:kern w:val="33"/>
          <w:sz w:val="32"/>
          <w:szCs w:val="32"/>
          <w:lang w:val="en-US" w:eastAsia="zh-CN"/>
        </w:rPr>
        <w:t>3444.63</w:t>
      </w:r>
      <w:r>
        <w:rPr>
          <w:rFonts w:hint="default" w:ascii="Times New Roman" w:hAnsi="Times New Roman" w:eastAsia="仿宋_GB2312" w:cs="Times New Roman"/>
          <w:bCs/>
          <w:color w:val="auto"/>
          <w:kern w:val="33"/>
          <w:sz w:val="32"/>
          <w:szCs w:val="32"/>
        </w:rPr>
        <w:t>万元</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门诊</w:t>
      </w:r>
      <w:r>
        <w:rPr>
          <w:rFonts w:hint="default" w:ascii="Times New Roman" w:hAnsi="Times New Roman" w:eastAsia="仿宋_GB2312" w:cs="Times New Roman"/>
          <w:bCs/>
          <w:color w:val="auto"/>
          <w:kern w:val="33"/>
          <w:sz w:val="32"/>
          <w:szCs w:val="32"/>
          <w:lang w:val="en-US" w:eastAsia="zh-CN"/>
        </w:rPr>
        <w:t>就诊14.21</w:t>
      </w:r>
      <w:r>
        <w:rPr>
          <w:rFonts w:hint="default" w:ascii="Times New Roman" w:hAnsi="Times New Roman" w:eastAsia="仿宋_GB2312" w:cs="Times New Roman"/>
          <w:bCs/>
          <w:color w:val="auto"/>
          <w:kern w:val="33"/>
          <w:sz w:val="32"/>
          <w:szCs w:val="32"/>
        </w:rPr>
        <w:t>万人次，总费用</w:t>
      </w:r>
      <w:r>
        <w:rPr>
          <w:rFonts w:hint="default" w:ascii="Times New Roman" w:hAnsi="Times New Roman" w:eastAsia="仿宋_GB2312" w:cs="Times New Roman"/>
          <w:bCs/>
          <w:color w:val="auto"/>
          <w:kern w:val="33"/>
          <w:sz w:val="32"/>
          <w:szCs w:val="32"/>
          <w:lang w:val="en-US" w:eastAsia="zh-CN"/>
        </w:rPr>
        <w:t>2221.61</w:t>
      </w:r>
      <w:r>
        <w:rPr>
          <w:rFonts w:hint="default" w:ascii="Times New Roman" w:hAnsi="Times New Roman" w:eastAsia="仿宋_GB2312" w:cs="Times New Roman"/>
          <w:bCs/>
          <w:color w:val="auto"/>
          <w:kern w:val="33"/>
          <w:sz w:val="32"/>
          <w:szCs w:val="32"/>
        </w:rPr>
        <w:t>万元，医保基金支付（含个人账户支出）</w:t>
      </w:r>
      <w:r>
        <w:rPr>
          <w:rFonts w:hint="default" w:ascii="Times New Roman" w:hAnsi="Times New Roman" w:eastAsia="仿宋_GB2312" w:cs="Times New Roman"/>
          <w:bCs/>
          <w:color w:val="auto"/>
          <w:kern w:val="33"/>
          <w:sz w:val="32"/>
          <w:szCs w:val="32"/>
          <w:lang w:val="en-US" w:eastAsia="zh-CN"/>
        </w:rPr>
        <w:t>573.15</w:t>
      </w:r>
      <w:r>
        <w:rPr>
          <w:rFonts w:hint="default" w:ascii="Times New Roman" w:hAnsi="Times New Roman" w:eastAsia="仿宋_GB2312" w:cs="Times New Roman"/>
          <w:bCs/>
          <w:color w:val="auto"/>
          <w:kern w:val="33"/>
          <w:sz w:val="32"/>
          <w:szCs w:val="32"/>
        </w:rPr>
        <w:t>万元。</w:t>
      </w:r>
    </w:p>
    <w:p w14:paraId="087FBA3F">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highlight w:val="none"/>
        </w:rPr>
      </w:pPr>
      <w:r>
        <w:rPr>
          <w:rFonts w:hint="default" w:ascii="Times New Roman" w:hAnsi="Times New Roman" w:eastAsia="仿宋_GB2312" w:cs="Times New Roman"/>
          <w:bCs/>
          <w:color w:val="auto"/>
          <w:kern w:val="33"/>
          <w:sz w:val="32"/>
          <w:szCs w:val="32"/>
        </w:rPr>
        <w:t>二是</w:t>
      </w:r>
      <w:r>
        <w:rPr>
          <w:rFonts w:hint="default" w:ascii="Times New Roman" w:hAnsi="Times New Roman" w:eastAsia="仿宋_GB2312" w:cs="Times New Roman"/>
          <w:bCs/>
          <w:color w:val="auto"/>
          <w:kern w:val="33"/>
          <w:sz w:val="32"/>
          <w:szCs w:val="32"/>
          <w:lang w:val="en-US" w:eastAsia="zh-CN"/>
        </w:rPr>
        <w:t>落实困难群众医保待遇保障。</w:t>
      </w:r>
      <w:r>
        <w:rPr>
          <w:rFonts w:hint="default" w:ascii="Times New Roman" w:hAnsi="Times New Roman" w:eastAsia="仿宋_GB2312" w:cs="Times New Roman"/>
          <w:bCs/>
          <w:color w:val="auto"/>
          <w:kern w:val="33"/>
          <w:sz w:val="32"/>
          <w:szCs w:val="32"/>
        </w:rPr>
        <w:t>按照特殊人群“应参尽参”的原则，采取定额资助与全额资助相结合的方式，</w:t>
      </w:r>
      <w:r>
        <w:rPr>
          <w:rFonts w:hint="default" w:ascii="Times New Roman" w:hAnsi="Times New Roman" w:eastAsia="仿宋_GB2312" w:cs="Times New Roman"/>
          <w:bCs/>
          <w:color w:val="auto"/>
          <w:kern w:val="33"/>
          <w:sz w:val="32"/>
          <w:szCs w:val="32"/>
          <w:lang w:val="en-US" w:eastAsia="zh-CN"/>
        </w:rPr>
        <w:t>分类资助困难群众参加2022年度城乡居民医保，已</w:t>
      </w:r>
      <w:r>
        <w:rPr>
          <w:rFonts w:hint="default" w:ascii="Times New Roman" w:hAnsi="Times New Roman" w:eastAsia="仿宋_GB2312" w:cs="Times New Roman"/>
          <w:bCs/>
          <w:color w:val="auto"/>
          <w:kern w:val="33"/>
          <w:sz w:val="32"/>
          <w:szCs w:val="32"/>
        </w:rPr>
        <w:t>资助</w:t>
      </w:r>
      <w:r>
        <w:rPr>
          <w:rFonts w:hint="default" w:ascii="Times New Roman" w:hAnsi="Times New Roman" w:eastAsia="仿宋_GB2312" w:cs="Times New Roman"/>
          <w:bCs/>
          <w:color w:val="auto"/>
          <w:kern w:val="33"/>
          <w:sz w:val="32"/>
          <w:szCs w:val="32"/>
          <w:lang w:val="en-US" w:eastAsia="zh-CN"/>
        </w:rPr>
        <w:t>3.04</w:t>
      </w:r>
      <w:r>
        <w:rPr>
          <w:rFonts w:hint="default" w:ascii="Times New Roman" w:hAnsi="Times New Roman" w:eastAsia="仿宋_GB2312" w:cs="Times New Roman"/>
          <w:bCs/>
          <w:color w:val="auto"/>
          <w:kern w:val="33"/>
          <w:sz w:val="32"/>
          <w:szCs w:val="32"/>
        </w:rPr>
        <w:t>万余名困难群众参加2022年度</w:t>
      </w:r>
      <w:r>
        <w:rPr>
          <w:rFonts w:hint="default" w:ascii="Times New Roman" w:hAnsi="Times New Roman" w:eastAsia="仿宋_GB2312" w:cs="Times New Roman"/>
          <w:bCs/>
          <w:color w:val="auto"/>
          <w:kern w:val="33"/>
          <w:sz w:val="32"/>
          <w:szCs w:val="32"/>
          <w:lang w:val="en-US" w:eastAsia="zh-CN"/>
        </w:rPr>
        <w:t>城乡</w:t>
      </w:r>
      <w:r>
        <w:rPr>
          <w:rFonts w:hint="default" w:ascii="Times New Roman" w:hAnsi="Times New Roman" w:eastAsia="仿宋_GB2312" w:cs="Times New Roman"/>
          <w:bCs/>
          <w:color w:val="auto"/>
          <w:kern w:val="33"/>
          <w:sz w:val="32"/>
          <w:szCs w:val="32"/>
        </w:rPr>
        <w:t>基本医疗保险，困难群众参保实现</w:t>
      </w:r>
      <w:r>
        <w:rPr>
          <w:rFonts w:hint="default" w:ascii="Times New Roman" w:hAnsi="Times New Roman" w:eastAsia="仿宋_GB2312" w:cs="Times New Roman"/>
          <w:bCs/>
          <w:color w:val="auto"/>
          <w:kern w:val="33"/>
          <w:sz w:val="32"/>
          <w:szCs w:val="32"/>
          <w:lang w:val="en-US" w:eastAsia="zh-CN"/>
        </w:rPr>
        <w:t>100%</w:t>
      </w:r>
      <w:r>
        <w:rPr>
          <w:rFonts w:hint="default" w:ascii="Times New Roman" w:hAnsi="Times New Roman" w:eastAsia="仿宋_GB2312" w:cs="Times New Roman"/>
          <w:bCs/>
          <w:color w:val="auto"/>
          <w:kern w:val="33"/>
          <w:sz w:val="32"/>
          <w:szCs w:val="32"/>
        </w:rPr>
        <w:t>全覆盖</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highlight w:val="none"/>
        </w:rPr>
        <w:t>对特殊困难群众实施医疗救助</w:t>
      </w:r>
      <w:r>
        <w:rPr>
          <w:rFonts w:hint="default" w:ascii="Times New Roman" w:hAnsi="Times New Roman" w:eastAsia="仿宋_GB2312" w:cs="Times New Roman"/>
          <w:bCs/>
          <w:color w:val="auto"/>
          <w:kern w:val="33"/>
          <w:sz w:val="32"/>
          <w:szCs w:val="32"/>
          <w:highlight w:val="none"/>
          <w:lang w:eastAsia="zh-CN"/>
        </w:rPr>
        <w:t>，</w:t>
      </w:r>
      <w:r>
        <w:rPr>
          <w:rFonts w:hint="default" w:ascii="Times New Roman" w:hAnsi="Times New Roman" w:eastAsia="仿宋_GB2312" w:cs="Times New Roman"/>
          <w:bCs/>
          <w:color w:val="auto"/>
          <w:kern w:val="33"/>
          <w:sz w:val="32"/>
          <w:szCs w:val="32"/>
          <w:highlight w:val="none"/>
          <w:lang w:val="en-US" w:eastAsia="zh-CN"/>
        </w:rPr>
        <w:t>将</w:t>
      </w:r>
      <w:r>
        <w:rPr>
          <w:rFonts w:hint="default" w:ascii="Times New Roman" w:hAnsi="Times New Roman" w:eastAsia="仿宋_GB2312" w:cs="Times New Roman"/>
          <w:color w:val="auto"/>
          <w:sz w:val="32"/>
          <w:szCs w:val="32"/>
          <w:lang w:val="en-US" w:eastAsia="zh-CN"/>
        </w:rPr>
        <w:t>城乡低收入人口（农村低保对象、特困人员、防止返贫监测对象）纳入基本医疗、大病保险、医疗救助三重制度保障范围，并全面落实县委交办的医疗救助历史遗留问题化解攻坚行动。</w:t>
      </w:r>
      <w:r>
        <w:rPr>
          <w:rFonts w:hint="default" w:ascii="Times New Roman" w:hAnsi="Times New Roman" w:eastAsia="仿宋_GB2312" w:cs="Times New Roman"/>
          <w:bCs/>
          <w:color w:val="auto"/>
          <w:kern w:val="33"/>
          <w:sz w:val="32"/>
          <w:szCs w:val="32"/>
          <w:highlight w:val="none"/>
          <w:lang w:val="en-US" w:eastAsia="zh-CN"/>
        </w:rPr>
        <w:t>截至12月底</w:t>
      </w:r>
      <w:r>
        <w:rPr>
          <w:rFonts w:hint="default" w:ascii="Times New Roman" w:hAnsi="Times New Roman" w:eastAsia="仿宋_GB2312" w:cs="Times New Roman"/>
          <w:bCs/>
          <w:color w:val="auto"/>
          <w:kern w:val="33"/>
          <w:sz w:val="32"/>
          <w:szCs w:val="32"/>
          <w:highlight w:val="none"/>
        </w:rPr>
        <w:t>，实施</w:t>
      </w:r>
      <w:r>
        <w:rPr>
          <w:rFonts w:hint="default" w:ascii="Times New Roman" w:hAnsi="Times New Roman" w:eastAsia="仿宋_GB2312" w:cs="Times New Roman"/>
          <w:bCs/>
          <w:color w:val="auto"/>
          <w:kern w:val="33"/>
          <w:sz w:val="32"/>
          <w:szCs w:val="32"/>
          <w:highlight w:val="none"/>
          <w:lang w:val="en-US" w:eastAsia="zh-CN"/>
        </w:rPr>
        <w:t>门诊、住院医疗救助共计8218</w:t>
      </w:r>
      <w:r>
        <w:rPr>
          <w:rFonts w:hint="default" w:ascii="Times New Roman" w:hAnsi="Times New Roman" w:eastAsia="仿宋_GB2312" w:cs="Times New Roman"/>
          <w:bCs/>
          <w:color w:val="auto"/>
          <w:kern w:val="33"/>
          <w:sz w:val="32"/>
          <w:szCs w:val="32"/>
          <w:highlight w:val="none"/>
        </w:rPr>
        <w:t>人次，支出医疗救助资金</w:t>
      </w:r>
      <w:r>
        <w:rPr>
          <w:rFonts w:hint="default" w:ascii="Times New Roman" w:hAnsi="Times New Roman" w:eastAsia="仿宋_GB2312" w:cs="Times New Roman"/>
          <w:bCs/>
          <w:color w:val="auto"/>
          <w:kern w:val="33"/>
          <w:sz w:val="32"/>
          <w:szCs w:val="32"/>
          <w:highlight w:val="none"/>
          <w:lang w:val="en-US" w:eastAsia="zh-CN"/>
        </w:rPr>
        <w:t>754.38</w:t>
      </w:r>
      <w:r>
        <w:rPr>
          <w:rFonts w:hint="default" w:ascii="Times New Roman" w:hAnsi="Times New Roman" w:eastAsia="仿宋_GB2312" w:cs="Times New Roman"/>
          <w:bCs/>
          <w:color w:val="auto"/>
          <w:kern w:val="33"/>
          <w:sz w:val="32"/>
          <w:szCs w:val="32"/>
          <w:highlight w:val="none"/>
        </w:rPr>
        <w:t>万元，全面实现困难群众医疗兜底保障。</w:t>
      </w:r>
    </w:p>
    <w:p w14:paraId="45F5AC35">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highlight w:val="none"/>
          <w:lang w:val="en-US" w:eastAsia="zh-CN"/>
        </w:rPr>
      </w:pPr>
      <w:r>
        <w:rPr>
          <w:rFonts w:hint="default" w:ascii="Times New Roman" w:hAnsi="Times New Roman" w:eastAsia="仿宋_GB2312" w:cs="Times New Roman"/>
          <w:bCs/>
          <w:color w:val="auto"/>
          <w:kern w:val="33"/>
          <w:sz w:val="32"/>
          <w:szCs w:val="32"/>
          <w:highlight w:val="none"/>
          <w:lang w:val="en-US" w:eastAsia="zh-CN"/>
        </w:rPr>
        <w:t>三是全面落实公务员个人医疗账户补充政策。已积极争取县级财政安排预算资金2980万元，按工资总额4%的标准兑现6792名财政供养人员的公务员个人医疗账户补充。</w:t>
      </w:r>
    </w:p>
    <w:p w14:paraId="2F215036">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highlight w:val="none"/>
          <w:lang w:val="en-US" w:eastAsia="zh-CN"/>
        </w:rPr>
      </w:pPr>
      <w:r>
        <w:rPr>
          <w:rFonts w:hint="default" w:ascii="Times New Roman" w:hAnsi="Times New Roman" w:eastAsia="仿宋_GB2312" w:cs="Times New Roman"/>
          <w:b/>
          <w:bCs w:val="0"/>
          <w:color w:val="auto"/>
          <w:kern w:val="33"/>
          <w:sz w:val="32"/>
          <w:szCs w:val="32"/>
          <w:highlight w:val="none"/>
          <w:lang w:val="en-US" w:eastAsia="zh-CN"/>
        </w:rPr>
        <w:t>3.进一步加大医保基金监管力度。</w:t>
      </w:r>
    </w:p>
    <w:p w14:paraId="7F5F9B53">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lang w:eastAsia="zh-CN"/>
        </w:rPr>
      </w:pPr>
      <w:r>
        <w:rPr>
          <w:rFonts w:hint="default" w:ascii="Times New Roman" w:hAnsi="Times New Roman" w:eastAsia="仿宋_GB2312" w:cs="Times New Roman"/>
          <w:bCs/>
          <w:color w:val="auto"/>
          <w:kern w:val="33"/>
          <w:sz w:val="32"/>
          <w:szCs w:val="32"/>
        </w:rPr>
        <w:t>一是通过日常稽核、自查自纠、行政执法、现场检查、案件举报等多种手段，严惩医疗费重复报销、虚假报销、医保卡套现以及第三方责任事故纳入医保报销等违法违规行为，维护医保基金安全有效运行。</w:t>
      </w:r>
      <w:r>
        <w:rPr>
          <w:rFonts w:hint="default" w:ascii="Times New Roman" w:hAnsi="Times New Roman" w:eastAsia="仿宋_GB2312" w:cs="Times New Roman"/>
          <w:bCs/>
          <w:color w:val="auto"/>
          <w:kern w:val="33"/>
          <w:sz w:val="32"/>
          <w:szCs w:val="32"/>
          <w:lang w:val="en-US" w:eastAsia="zh-CN"/>
        </w:rPr>
        <w:t>1-12月</w:t>
      </w:r>
      <w:r>
        <w:rPr>
          <w:rFonts w:hint="default" w:ascii="Times New Roman" w:hAnsi="Times New Roman" w:eastAsia="仿宋_GB2312" w:cs="Times New Roman"/>
          <w:bCs/>
          <w:color w:val="auto"/>
          <w:kern w:val="33"/>
          <w:sz w:val="32"/>
          <w:szCs w:val="32"/>
        </w:rPr>
        <w:t>，</w:t>
      </w:r>
      <w:r>
        <w:rPr>
          <w:rFonts w:hint="default" w:ascii="Times New Roman" w:hAnsi="Times New Roman" w:eastAsia="仿宋_GB2312" w:cs="Times New Roman"/>
          <w:bCs/>
          <w:color w:val="auto"/>
          <w:kern w:val="33"/>
          <w:sz w:val="32"/>
          <w:szCs w:val="32"/>
          <w:lang w:val="en-US" w:eastAsia="zh-CN"/>
        </w:rPr>
        <w:t>对定点医药机构进行</w:t>
      </w:r>
      <w:r>
        <w:rPr>
          <w:rFonts w:hint="default" w:ascii="Times New Roman" w:hAnsi="Times New Roman" w:eastAsia="仿宋_GB2312" w:cs="Times New Roman"/>
          <w:bCs/>
          <w:color w:val="auto"/>
          <w:kern w:val="33"/>
          <w:sz w:val="32"/>
          <w:szCs w:val="32"/>
        </w:rPr>
        <w:t>限期整改</w:t>
      </w:r>
      <w:r>
        <w:rPr>
          <w:rFonts w:hint="default" w:ascii="Times New Roman" w:hAnsi="Times New Roman" w:eastAsia="仿宋_GB2312" w:cs="Times New Roman"/>
          <w:bCs/>
          <w:color w:val="auto"/>
          <w:kern w:val="33"/>
          <w:sz w:val="32"/>
          <w:szCs w:val="32"/>
          <w:lang w:val="en-US" w:eastAsia="zh-CN"/>
        </w:rPr>
        <w:t>65</w:t>
      </w:r>
      <w:r>
        <w:rPr>
          <w:rFonts w:hint="default" w:ascii="Times New Roman" w:hAnsi="Times New Roman" w:eastAsia="仿宋_GB2312" w:cs="Times New Roman"/>
          <w:bCs/>
          <w:color w:val="auto"/>
          <w:kern w:val="33"/>
          <w:sz w:val="32"/>
          <w:szCs w:val="32"/>
        </w:rPr>
        <w:t>家、暂停医保2家</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解除医保协议1家</w:t>
      </w:r>
      <w:r>
        <w:rPr>
          <w:rFonts w:hint="default" w:ascii="Times New Roman" w:hAnsi="Times New Roman" w:eastAsia="仿宋_GB2312" w:cs="Times New Roman"/>
          <w:bCs/>
          <w:color w:val="auto"/>
          <w:kern w:val="33"/>
          <w:sz w:val="32"/>
          <w:szCs w:val="32"/>
        </w:rPr>
        <w:t>，收回违规金</w:t>
      </w:r>
      <w:r>
        <w:rPr>
          <w:rFonts w:hint="default" w:ascii="Times New Roman" w:hAnsi="Times New Roman" w:eastAsia="仿宋_GB2312" w:cs="Times New Roman"/>
          <w:bCs/>
          <w:color w:val="auto"/>
          <w:kern w:val="33"/>
          <w:sz w:val="32"/>
          <w:szCs w:val="32"/>
          <w:lang w:val="en-US" w:eastAsia="zh-CN"/>
        </w:rPr>
        <w:t>66.96</w:t>
      </w:r>
      <w:r>
        <w:rPr>
          <w:rFonts w:hint="default" w:ascii="Times New Roman" w:hAnsi="Times New Roman" w:eastAsia="仿宋_GB2312" w:cs="Times New Roman"/>
          <w:bCs/>
          <w:color w:val="auto"/>
          <w:kern w:val="33"/>
          <w:sz w:val="32"/>
          <w:szCs w:val="32"/>
        </w:rPr>
        <w:t>万元，处理违约金</w:t>
      </w:r>
      <w:r>
        <w:rPr>
          <w:rFonts w:hint="default" w:ascii="Times New Roman" w:hAnsi="Times New Roman" w:eastAsia="仿宋_GB2312" w:cs="Times New Roman"/>
          <w:bCs/>
          <w:color w:val="auto"/>
          <w:kern w:val="33"/>
          <w:sz w:val="32"/>
          <w:szCs w:val="32"/>
          <w:lang w:val="en-US" w:eastAsia="zh-CN"/>
        </w:rPr>
        <w:t>14.85</w:t>
      </w:r>
      <w:r>
        <w:rPr>
          <w:rFonts w:hint="default" w:ascii="Times New Roman" w:hAnsi="Times New Roman" w:eastAsia="仿宋_GB2312" w:cs="Times New Roman"/>
          <w:bCs/>
          <w:color w:val="auto"/>
          <w:kern w:val="33"/>
          <w:sz w:val="32"/>
          <w:szCs w:val="32"/>
        </w:rPr>
        <w:t>万元</w:t>
      </w:r>
      <w:r>
        <w:rPr>
          <w:rFonts w:hint="default" w:ascii="Times New Roman" w:hAnsi="Times New Roman" w:eastAsia="仿宋_GB2312" w:cs="Times New Roman"/>
          <w:bCs/>
          <w:color w:val="auto"/>
          <w:kern w:val="33"/>
          <w:sz w:val="32"/>
          <w:szCs w:val="32"/>
          <w:lang w:eastAsia="zh-CN"/>
        </w:rPr>
        <w:t>；与公安局等部门互相配合，开展行政执法1件，追回医保基金1951.62元；兑现举报奖励金972.35元，对欺诈骗保行为形成有力威慑。</w:t>
      </w:r>
    </w:p>
    <w:p w14:paraId="7236F189">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rPr>
        <w:t>二是强化宣传动员。结合医保基金监管条例集中宣传月活动，通过政府门户网站、定点医药机构、举行定点集中宣传、举办义诊等形式广泛宣传医保政策，发放政策宣传、基金监管资料2万余份，并公布举报电话，营造医保基金安全监管良好氛围。</w:t>
      </w:r>
    </w:p>
    <w:p w14:paraId="6820C244">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rPr>
        <w:t>三是强化专项整治。深入推进医疗保障行业突出问题系统治理，组织全县各定点医疗机构对照问题清单，逐条逐项梳理，全面开展自查自纠，对存在的问题进行清零，并有针对性地制定具体整改措施，促进医疗机构进一步规范医疗服务行为。从7月起，县医保局联合县纪委监委、县公安局、县卫健局组成联合检查组，全面开展了2022年全县打击欺诈骗保专项整治行动，对全县范围内66家定点医疗机构、定点药店进行了全覆盖现场检查，处罚定点医药机构66家，解除协议1家。</w:t>
      </w:r>
    </w:p>
    <w:p w14:paraId="686A5E25">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eastAsia="zh-CN"/>
        </w:rPr>
      </w:pPr>
      <w:r>
        <w:rPr>
          <w:rFonts w:hint="default" w:ascii="Times New Roman" w:hAnsi="Times New Roman" w:eastAsia="仿宋_GB2312" w:cs="Times New Roman"/>
          <w:b/>
          <w:bCs w:val="0"/>
          <w:color w:val="auto"/>
          <w:kern w:val="33"/>
          <w:sz w:val="32"/>
          <w:szCs w:val="32"/>
          <w:lang w:val="en-US" w:eastAsia="zh-CN"/>
        </w:rPr>
        <w:t>4.</w:t>
      </w:r>
      <w:r>
        <w:rPr>
          <w:rFonts w:hint="default" w:ascii="Times New Roman" w:hAnsi="Times New Roman" w:eastAsia="仿宋_GB2312" w:cs="Times New Roman"/>
          <w:b/>
          <w:bCs w:val="0"/>
          <w:color w:val="auto"/>
          <w:kern w:val="33"/>
          <w:sz w:val="32"/>
          <w:szCs w:val="32"/>
        </w:rPr>
        <w:t>医保脱贫攻坚成果与乡村振兴战略有效衔接</w:t>
      </w:r>
      <w:r>
        <w:rPr>
          <w:rFonts w:hint="default" w:ascii="Times New Roman" w:hAnsi="Times New Roman" w:eastAsia="仿宋_GB2312" w:cs="Times New Roman"/>
          <w:b/>
          <w:bCs w:val="0"/>
          <w:color w:val="auto"/>
          <w:kern w:val="33"/>
          <w:sz w:val="32"/>
          <w:szCs w:val="32"/>
          <w:lang w:eastAsia="zh-CN"/>
        </w:rPr>
        <w:t>。</w:t>
      </w:r>
    </w:p>
    <w:p w14:paraId="19B0CCCD">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一是</w:t>
      </w:r>
      <w:r>
        <w:rPr>
          <w:rFonts w:hint="default" w:ascii="Times New Roman" w:hAnsi="Times New Roman" w:eastAsia="仿宋_GB2312" w:cs="Times New Roman"/>
          <w:bCs/>
          <w:color w:val="auto"/>
          <w:kern w:val="33"/>
          <w:sz w:val="32"/>
          <w:szCs w:val="32"/>
        </w:rPr>
        <w:t>加大重点人群信息管理。完善特困人员、低保对象等农村低收入人口台账及乡村振兴部门返贫致贫人口、监测人口台账，定期对新增和清退重点人群进行参保状态核查、系统标识等更新维护，确保重点人群信息准确并及时享受医保待遇。  </w:t>
      </w:r>
    </w:p>
    <w:p w14:paraId="7F055920">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highlight w:val="none"/>
        </w:rPr>
      </w:pPr>
      <w:r>
        <w:rPr>
          <w:rFonts w:hint="default" w:ascii="Times New Roman" w:hAnsi="Times New Roman" w:eastAsia="仿宋_GB2312" w:cs="Times New Roman"/>
          <w:bCs/>
          <w:color w:val="auto"/>
          <w:kern w:val="33"/>
          <w:sz w:val="32"/>
          <w:szCs w:val="32"/>
          <w:lang w:val="en-US" w:eastAsia="zh-CN"/>
        </w:rPr>
        <w:t>二是</w:t>
      </w:r>
      <w:r>
        <w:rPr>
          <w:rFonts w:hint="default" w:ascii="Times New Roman" w:hAnsi="Times New Roman" w:eastAsia="仿宋_GB2312" w:cs="Times New Roman"/>
          <w:bCs/>
          <w:color w:val="auto"/>
          <w:kern w:val="33"/>
          <w:sz w:val="32"/>
          <w:szCs w:val="32"/>
        </w:rPr>
        <w:t>巩固乡村振兴工作成效。强化衔接政策宣传，落实分类参保资助，优化医保公共服务。</w:t>
      </w:r>
      <w:r>
        <w:rPr>
          <w:rFonts w:hint="default" w:ascii="Times New Roman" w:hAnsi="Times New Roman" w:eastAsia="仿宋_GB2312" w:cs="Times New Roman"/>
          <w:bCs/>
          <w:color w:val="auto"/>
          <w:kern w:val="33"/>
          <w:sz w:val="32"/>
          <w:szCs w:val="32"/>
          <w:highlight w:val="none"/>
        </w:rPr>
        <w:t>截至</w:t>
      </w:r>
      <w:r>
        <w:rPr>
          <w:rFonts w:hint="default" w:ascii="Times New Roman" w:hAnsi="Times New Roman" w:eastAsia="仿宋_GB2312" w:cs="Times New Roman"/>
          <w:bCs/>
          <w:color w:val="auto"/>
          <w:kern w:val="33"/>
          <w:sz w:val="32"/>
          <w:szCs w:val="32"/>
          <w:highlight w:val="none"/>
          <w:lang w:val="en-US" w:eastAsia="zh-CN"/>
        </w:rPr>
        <w:t>目前</w:t>
      </w:r>
      <w:r>
        <w:rPr>
          <w:rFonts w:hint="default" w:ascii="Times New Roman" w:hAnsi="Times New Roman" w:eastAsia="仿宋_GB2312" w:cs="Times New Roman"/>
          <w:bCs/>
          <w:color w:val="auto"/>
          <w:kern w:val="33"/>
          <w:sz w:val="32"/>
          <w:szCs w:val="32"/>
          <w:highlight w:val="none"/>
        </w:rPr>
        <w:t>，</w:t>
      </w:r>
      <w:r>
        <w:rPr>
          <w:rFonts w:hint="default" w:ascii="Times New Roman" w:hAnsi="Times New Roman" w:eastAsia="仿宋_GB2312" w:cs="Times New Roman"/>
          <w:bCs/>
          <w:color w:val="auto"/>
          <w:kern w:val="33"/>
          <w:sz w:val="32"/>
          <w:szCs w:val="32"/>
          <w:highlight w:val="none"/>
          <w:lang w:val="en-US" w:eastAsia="zh-CN"/>
        </w:rPr>
        <w:t>2022年度</w:t>
      </w:r>
      <w:r>
        <w:rPr>
          <w:rFonts w:hint="default" w:ascii="Times New Roman" w:hAnsi="Times New Roman" w:eastAsia="仿宋_GB2312" w:cs="Times New Roman"/>
          <w:bCs/>
          <w:color w:val="auto"/>
          <w:kern w:val="33"/>
          <w:sz w:val="32"/>
          <w:szCs w:val="32"/>
          <w:highlight w:val="none"/>
        </w:rPr>
        <w:t>已稳定脱贫户、特困供养人员、低保对象、监测人口等特殊人群参保3.</w:t>
      </w:r>
      <w:r>
        <w:rPr>
          <w:rFonts w:hint="default" w:ascii="Times New Roman" w:hAnsi="Times New Roman" w:eastAsia="仿宋_GB2312" w:cs="Times New Roman"/>
          <w:bCs/>
          <w:color w:val="auto"/>
          <w:kern w:val="33"/>
          <w:sz w:val="32"/>
          <w:szCs w:val="32"/>
          <w:highlight w:val="none"/>
          <w:lang w:val="en-US" w:eastAsia="zh-CN"/>
        </w:rPr>
        <w:t>04</w:t>
      </w:r>
      <w:r>
        <w:rPr>
          <w:rFonts w:hint="default" w:ascii="Times New Roman" w:hAnsi="Times New Roman" w:eastAsia="仿宋_GB2312" w:cs="Times New Roman"/>
          <w:bCs/>
          <w:color w:val="auto"/>
          <w:kern w:val="33"/>
          <w:sz w:val="32"/>
          <w:szCs w:val="32"/>
          <w:highlight w:val="none"/>
        </w:rPr>
        <w:t>万人，财政资助金额97</w:t>
      </w:r>
      <w:r>
        <w:rPr>
          <w:rFonts w:hint="default" w:ascii="Times New Roman" w:hAnsi="Times New Roman" w:eastAsia="仿宋_GB2312" w:cs="Times New Roman"/>
          <w:bCs/>
          <w:color w:val="auto"/>
          <w:kern w:val="33"/>
          <w:sz w:val="32"/>
          <w:szCs w:val="32"/>
          <w:highlight w:val="none"/>
          <w:lang w:val="en-US" w:eastAsia="zh-CN"/>
        </w:rPr>
        <w:t>3</w:t>
      </w:r>
      <w:r>
        <w:rPr>
          <w:rFonts w:hint="default" w:ascii="Times New Roman" w:hAnsi="Times New Roman" w:eastAsia="仿宋_GB2312" w:cs="Times New Roman"/>
          <w:bCs/>
          <w:color w:val="auto"/>
          <w:kern w:val="33"/>
          <w:sz w:val="32"/>
          <w:szCs w:val="32"/>
          <w:highlight w:val="none"/>
        </w:rPr>
        <w:t>.</w:t>
      </w:r>
      <w:r>
        <w:rPr>
          <w:rFonts w:hint="default" w:ascii="Times New Roman" w:hAnsi="Times New Roman" w:eastAsia="仿宋_GB2312" w:cs="Times New Roman"/>
          <w:bCs/>
          <w:color w:val="auto"/>
          <w:kern w:val="33"/>
          <w:sz w:val="32"/>
          <w:szCs w:val="32"/>
          <w:highlight w:val="none"/>
          <w:lang w:val="en-US" w:eastAsia="zh-CN"/>
        </w:rPr>
        <w:t>06</w:t>
      </w:r>
      <w:r>
        <w:rPr>
          <w:rFonts w:hint="default" w:ascii="Times New Roman" w:hAnsi="Times New Roman" w:eastAsia="仿宋_GB2312" w:cs="Times New Roman"/>
          <w:bCs/>
          <w:color w:val="auto"/>
          <w:kern w:val="33"/>
          <w:sz w:val="32"/>
          <w:szCs w:val="32"/>
          <w:highlight w:val="none"/>
        </w:rPr>
        <w:t>万元</w:t>
      </w:r>
      <w:r>
        <w:rPr>
          <w:rFonts w:hint="default" w:ascii="Times New Roman" w:hAnsi="Times New Roman" w:eastAsia="仿宋_GB2312" w:cs="Times New Roman"/>
          <w:bCs/>
          <w:color w:val="auto"/>
          <w:kern w:val="33"/>
          <w:sz w:val="32"/>
          <w:szCs w:val="32"/>
          <w:highlight w:val="none"/>
          <w:lang w:val="en-US" w:eastAsia="zh-CN"/>
        </w:rPr>
        <w:t>全部到位</w:t>
      </w:r>
      <w:r>
        <w:rPr>
          <w:rFonts w:hint="default" w:ascii="Times New Roman" w:hAnsi="Times New Roman" w:eastAsia="仿宋_GB2312" w:cs="Times New Roman"/>
          <w:bCs/>
          <w:color w:val="auto"/>
          <w:kern w:val="33"/>
          <w:sz w:val="32"/>
          <w:szCs w:val="32"/>
          <w:highlight w:val="none"/>
        </w:rPr>
        <w:t>，困难群众</w:t>
      </w:r>
      <w:r>
        <w:rPr>
          <w:rFonts w:hint="default" w:ascii="Times New Roman" w:hAnsi="Times New Roman" w:eastAsia="仿宋_GB2312" w:cs="Times New Roman"/>
          <w:bCs/>
          <w:color w:val="auto"/>
          <w:kern w:val="33"/>
          <w:sz w:val="32"/>
          <w:szCs w:val="32"/>
          <w:highlight w:val="none"/>
          <w:lang w:eastAsia="zh-CN"/>
        </w:rPr>
        <w:t>参保率</w:t>
      </w:r>
      <w:r>
        <w:rPr>
          <w:rFonts w:hint="default" w:ascii="Times New Roman" w:hAnsi="Times New Roman" w:eastAsia="仿宋_GB2312" w:cs="Times New Roman"/>
          <w:bCs/>
          <w:color w:val="auto"/>
          <w:kern w:val="33"/>
          <w:sz w:val="32"/>
          <w:szCs w:val="32"/>
          <w:highlight w:val="none"/>
        </w:rPr>
        <w:t>100%。</w:t>
      </w:r>
    </w:p>
    <w:p w14:paraId="629E64C2">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三是</w:t>
      </w:r>
      <w:r>
        <w:rPr>
          <w:rFonts w:hint="default" w:ascii="Times New Roman" w:hAnsi="Times New Roman" w:eastAsia="仿宋_GB2312" w:cs="Times New Roman"/>
          <w:bCs/>
          <w:color w:val="auto"/>
          <w:kern w:val="33"/>
          <w:sz w:val="32"/>
          <w:szCs w:val="32"/>
        </w:rPr>
        <w:t>做好大额医疗费用数据监测工作。通过医保系统筛查将城乡居民自付医疗费用超过我市上一年度城乡居民可支配收入50%作为因病致贫风险预警监测标准，按月推送监测数据到乡村振兴、民政等部门，由相关职能部门入户核查和评估，对存在返贫风险的及时纳入</w:t>
      </w:r>
      <w:r>
        <w:rPr>
          <w:rFonts w:hint="default" w:ascii="Times New Roman" w:hAnsi="Times New Roman" w:eastAsia="仿宋_GB2312" w:cs="Times New Roman"/>
          <w:bCs/>
          <w:color w:val="auto"/>
          <w:kern w:val="33"/>
          <w:sz w:val="32"/>
          <w:szCs w:val="32"/>
          <w:lang w:val="en-US" w:eastAsia="zh-CN"/>
        </w:rPr>
        <w:t>医疗</w:t>
      </w:r>
      <w:r>
        <w:rPr>
          <w:rFonts w:hint="default" w:ascii="Times New Roman" w:hAnsi="Times New Roman" w:eastAsia="仿宋_GB2312" w:cs="Times New Roman"/>
          <w:bCs/>
          <w:color w:val="auto"/>
          <w:kern w:val="33"/>
          <w:sz w:val="32"/>
          <w:szCs w:val="32"/>
        </w:rPr>
        <w:t>救助。</w:t>
      </w:r>
      <w:r>
        <w:rPr>
          <w:rFonts w:hint="default" w:ascii="Times New Roman" w:hAnsi="Times New Roman" w:eastAsia="仿宋_GB2312" w:cs="Times New Roman"/>
          <w:bCs/>
          <w:color w:val="auto"/>
          <w:kern w:val="33"/>
          <w:sz w:val="32"/>
          <w:szCs w:val="32"/>
          <w:lang w:val="en-US" w:eastAsia="zh-CN"/>
        </w:rPr>
        <w:t>1-12月</w:t>
      </w:r>
      <w:r>
        <w:rPr>
          <w:rFonts w:hint="default" w:ascii="Times New Roman" w:hAnsi="Times New Roman" w:eastAsia="仿宋_GB2312" w:cs="Times New Roman"/>
          <w:bCs/>
          <w:color w:val="auto"/>
          <w:kern w:val="33"/>
          <w:sz w:val="32"/>
          <w:szCs w:val="32"/>
        </w:rPr>
        <w:t>共</w:t>
      </w:r>
      <w:r>
        <w:rPr>
          <w:rFonts w:hint="default" w:ascii="Times New Roman" w:hAnsi="Times New Roman" w:eastAsia="仿宋_GB2312" w:cs="Times New Roman"/>
          <w:bCs/>
          <w:color w:val="auto"/>
          <w:kern w:val="33"/>
          <w:sz w:val="32"/>
          <w:szCs w:val="32"/>
          <w:lang w:val="en-US" w:eastAsia="zh-CN"/>
        </w:rPr>
        <w:t>推送</w:t>
      </w:r>
      <w:r>
        <w:rPr>
          <w:rFonts w:hint="default" w:ascii="Times New Roman" w:hAnsi="Times New Roman" w:eastAsia="仿宋_GB2312" w:cs="Times New Roman"/>
          <w:bCs/>
          <w:color w:val="auto"/>
          <w:kern w:val="33"/>
          <w:sz w:val="32"/>
          <w:szCs w:val="32"/>
        </w:rPr>
        <w:t>监测预警</w:t>
      </w:r>
      <w:r>
        <w:rPr>
          <w:rFonts w:hint="default" w:ascii="Times New Roman" w:hAnsi="Times New Roman" w:eastAsia="仿宋_GB2312" w:cs="Times New Roman"/>
          <w:bCs/>
          <w:color w:val="auto"/>
          <w:kern w:val="33"/>
          <w:sz w:val="32"/>
          <w:szCs w:val="32"/>
          <w:lang w:val="en-US" w:eastAsia="zh-CN"/>
        </w:rPr>
        <w:t>835人</w:t>
      </w:r>
      <w:r>
        <w:rPr>
          <w:rFonts w:hint="default" w:ascii="Times New Roman" w:hAnsi="Times New Roman" w:eastAsia="仿宋_GB2312" w:cs="Times New Roman"/>
          <w:bCs/>
          <w:color w:val="auto"/>
          <w:kern w:val="33"/>
          <w:sz w:val="32"/>
          <w:szCs w:val="32"/>
        </w:rPr>
        <w:t>。</w:t>
      </w:r>
    </w:p>
    <w:p w14:paraId="45DF3938">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eastAsia="zh-CN"/>
        </w:rPr>
      </w:pPr>
      <w:r>
        <w:rPr>
          <w:rFonts w:hint="default" w:ascii="Times New Roman" w:hAnsi="Times New Roman" w:eastAsia="仿宋_GB2312" w:cs="Times New Roman"/>
          <w:b/>
          <w:bCs w:val="0"/>
          <w:color w:val="auto"/>
          <w:kern w:val="33"/>
          <w:sz w:val="32"/>
          <w:szCs w:val="32"/>
          <w:lang w:val="en-US" w:eastAsia="zh-CN"/>
        </w:rPr>
        <w:t>5.</w:t>
      </w:r>
      <w:r>
        <w:rPr>
          <w:rFonts w:hint="default" w:ascii="Times New Roman" w:hAnsi="Times New Roman" w:eastAsia="仿宋_GB2312" w:cs="Times New Roman"/>
          <w:b/>
          <w:bCs w:val="0"/>
          <w:color w:val="auto"/>
          <w:kern w:val="33"/>
          <w:sz w:val="32"/>
          <w:szCs w:val="32"/>
        </w:rPr>
        <w:t>持续强化新冠疫情防控保障</w:t>
      </w:r>
      <w:r>
        <w:rPr>
          <w:rFonts w:hint="default" w:ascii="Times New Roman" w:hAnsi="Times New Roman" w:eastAsia="仿宋_GB2312" w:cs="Times New Roman"/>
          <w:b/>
          <w:bCs w:val="0"/>
          <w:color w:val="auto"/>
          <w:kern w:val="33"/>
          <w:sz w:val="32"/>
          <w:szCs w:val="32"/>
          <w:lang w:eastAsia="zh-CN"/>
        </w:rPr>
        <w:t>。</w:t>
      </w:r>
    </w:p>
    <w:p w14:paraId="2935A15C">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一是</w:t>
      </w:r>
      <w:r>
        <w:rPr>
          <w:rFonts w:hint="default" w:ascii="Times New Roman" w:hAnsi="Times New Roman" w:eastAsia="仿宋_GB2312" w:cs="Times New Roman"/>
          <w:bCs/>
          <w:color w:val="auto"/>
          <w:kern w:val="33"/>
          <w:sz w:val="32"/>
          <w:szCs w:val="32"/>
        </w:rPr>
        <w:t>加强与市医保部门沟通协调，</w:t>
      </w:r>
      <w:r>
        <w:rPr>
          <w:rFonts w:hint="default" w:ascii="Times New Roman" w:hAnsi="Times New Roman" w:eastAsia="仿宋_GB2312" w:cs="Times New Roman"/>
          <w:bCs/>
          <w:color w:val="auto"/>
          <w:kern w:val="33"/>
          <w:sz w:val="32"/>
          <w:szCs w:val="32"/>
          <w:lang w:val="en-US" w:eastAsia="zh-CN"/>
        </w:rPr>
        <w:t>及时拨付新冠疫苗接种费用</w:t>
      </w:r>
      <w:r>
        <w:rPr>
          <w:rFonts w:hint="default" w:ascii="Times New Roman" w:hAnsi="Times New Roman" w:eastAsia="仿宋_GB2312" w:cs="Times New Roman"/>
          <w:bCs/>
          <w:color w:val="auto"/>
          <w:kern w:val="33"/>
          <w:sz w:val="32"/>
          <w:szCs w:val="32"/>
        </w:rPr>
        <w:t>。截至目前，已向我县</w:t>
      </w:r>
      <w:r>
        <w:rPr>
          <w:rFonts w:hint="default" w:ascii="Times New Roman" w:hAnsi="Times New Roman" w:eastAsia="仿宋_GB2312" w:cs="Times New Roman"/>
          <w:bCs/>
          <w:color w:val="auto"/>
          <w:kern w:val="33"/>
          <w:sz w:val="32"/>
          <w:szCs w:val="32"/>
          <w:lang w:val="en-US" w:eastAsia="zh-CN"/>
        </w:rPr>
        <w:t>12</w:t>
      </w:r>
      <w:r>
        <w:rPr>
          <w:rFonts w:hint="default" w:ascii="Times New Roman" w:hAnsi="Times New Roman" w:eastAsia="仿宋_GB2312" w:cs="Times New Roman"/>
          <w:bCs/>
          <w:color w:val="auto"/>
          <w:kern w:val="33"/>
          <w:sz w:val="32"/>
          <w:szCs w:val="32"/>
        </w:rPr>
        <w:t>家疫苗接种机构拨付新冠疫苗接种费</w:t>
      </w:r>
      <w:r>
        <w:rPr>
          <w:rFonts w:hint="default" w:ascii="Times New Roman" w:hAnsi="Times New Roman" w:eastAsia="仿宋_GB2312" w:cs="Times New Roman"/>
          <w:bCs/>
          <w:color w:val="auto"/>
          <w:kern w:val="33"/>
          <w:sz w:val="32"/>
          <w:szCs w:val="32"/>
          <w:lang w:val="en-US" w:eastAsia="zh-CN"/>
        </w:rPr>
        <w:t>114</w:t>
      </w:r>
      <w:r>
        <w:rPr>
          <w:rFonts w:hint="default" w:ascii="Times New Roman" w:hAnsi="Times New Roman" w:eastAsia="仿宋_GB2312" w:cs="Times New Roman"/>
          <w:bCs/>
          <w:color w:val="auto"/>
          <w:kern w:val="33"/>
          <w:sz w:val="32"/>
          <w:szCs w:val="32"/>
        </w:rPr>
        <w:t>万</w:t>
      </w:r>
      <w:r>
        <w:rPr>
          <w:rFonts w:hint="default" w:ascii="Times New Roman" w:hAnsi="Times New Roman" w:eastAsia="仿宋_GB2312" w:cs="Times New Roman"/>
          <w:bCs/>
          <w:color w:val="auto"/>
          <w:kern w:val="33"/>
          <w:sz w:val="32"/>
          <w:szCs w:val="32"/>
          <w:lang w:val="en-US" w:eastAsia="zh-CN"/>
        </w:rPr>
        <w:t>余</w:t>
      </w:r>
      <w:r>
        <w:rPr>
          <w:rFonts w:hint="default" w:ascii="Times New Roman" w:hAnsi="Times New Roman" w:eastAsia="仿宋_GB2312" w:cs="Times New Roman"/>
          <w:bCs/>
          <w:color w:val="auto"/>
          <w:kern w:val="33"/>
          <w:sz w:val="32"/>
          <w:szCs w:val="32"/>
        </w:rPr>
        <w:t>元，保障疫苗接种</w:t>
      </w:r>
      <w:r>
        <w:rPr>
          <w:rFonts w:hint="default" w:ascii="Times New Roman" w:hAnsi="Times New Roman" w:eastAsia="仿宋_GB2312" w:cs="Times New Roman"/>
          <w:bCs/>
          <w:color w:val="auto"/>
          <w:kern w:val="33"/>
          <w:sz w:val="32"/>
          <w:szCs w:val="32"/>
          <w:lang w:val="en-US" w:eastAsia="zh-CN"/>
        </w:rPr>
        <w:t>工作</w:t>
      </w:r>
      <w:r>
        <w:rPr>
          <w:rFonts w:hint="default" w:ascii="Times New Roman" w:hAnsi="Times New Roman" w:eastAsia="仿宋_GB2312" w:cs="Times New Roman"/>
          <w:bCs/>
          <w:color w:val="auto"/>
          <w:kern w:val="33"/>
          <w:sz w:val="32"/>
          <w:szCs w:val="32"/>
        </w:rPr>
        <w:t>有序推进。</w:t>
      </w:r>
    </w:p>
    <w:p w14:paraId="50802096">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二是</w:t>
      </w:r>
      <w:r>
        <w:rPr>
          <w:rFonts w:hint="default" w:ascii="Times New Roman" w:hAnsi="Times New Roman" w:eastAsia="仿宋_GB2312" w:cs="Times New Roman"/>
          <w:bCs/>
          <w:color w:val="auto"/>
          <w:kern w:val="33"/>
          <w:sz w:val="32"/>
          <w:szCs w:val="32"/>
        </w:rPr>
        <w:t>强化疫情防控物资和医疗服务价格监测，严禁趁机哄抬医药价格</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今年疫情期间</w:t>
      </w:r>
      <w:r>
        <w:rPr>
          <w:rFonts w:hint="default" w:ascii="Times New Roman" w:hAnsi="Times New Roman" w:eastAsia="仿宋_GB2312" w:cs="Times New Roman"/>
          <w:bCs/>
          <w:color w:val="auto"/>
          <w:kern w:val="33"/>
          <w:sz w:val="32"/>
          <w:szCs w:val="32"/>
        </w:rPr>
        <w:t>加大对辖区内5个监测哨点销售的33个品规的医药器械</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4个品规的消毒用品</w:t>
      </w:r>
      <w:r>
        <w:rPr>
          <w:rFonts w:hint="default" w:ascii="Times New Roman" w:hAnsi="Times New Roman" w:eastAsia="仿宋_GB2312" w:cs="Times New Roman"/>
          <w:bCs/>
          <w:color w:val="auto"/>
          <w:kern w:val="33"/>
          <w:sz w:val="32"/>
          <w:szCs w:val="32"/>
          <w:lang w:val="en-US" w:eastAsia="zh-CN"/>
        </w:rPr>
        <w:t>的</w:t>
      </w:r>
      <w:r>
        <w:rPr>
          <w:rFonts w:hint="default" w:ascii="Times New Roman" w:hAnsi="Times New Roman" w:eastAsia="仿宋_GB2312" w:cs="Times New Roman"/>
          <w:bCs/>
          <w:color w:val="auto"/>
          <w:kern w:val="33"/>
          <w:sz w:val="32"/>
          <w:szCs w:val="32"/>
        </w:rPr>
        <w:t>应急监测</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深入盐边县人民医院、一心堂连锁药店等</w:t>
      </w:r>
      <w:r>
        <w:rPr>
          <w:rFonts w:hint="default" w:ascii="Times New Roman" w:hAnsi="Times New Roman" w:eastAsia="仿宋_GB2312" w:cs="Times New Roman"/>
          <w:bCs/>
          <w:color w:val="auto"/>
          <w:kern w:val="33"/>
          <w:sz w:val="32"/>
          <w:szCs w:val="32"/>
          <w:lang w:val="en-US" w:eastAsia="zh-CN"/>
        </w:rPr>
        <w:t>医药机构</w:t>
      </w:r>
      <w:r>
        <w:rPr>
          <w:rFonts w:hint="default" w:ascii="Times New Roman" w:hAnsi="Times New Roman" w:eastAsia="仿宋_GB2312" w:cs="Times New Roman"/>
          <w:bCs/>
          <w:color w:val="auto"/>
          <w:kern w:val="33"/>
          <w:sz w:val="32"/>
          <w:szCs w:val="32"/>
        </w:rPr>
        <w:t>开展现场医药价格监测，重点监测了部分常用抗病毒治感冒类药物以及口罩、酒精等消杀类药械。同时，对部分定点零售药店存在的价签与实物不符的情况进行了现场处理</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有效杜绝了借机涨价和囤积急需医用物资等违规</w:t>
      </w:r>
      <w:r>
        <w:rPr>
          <w:rFonts w:hint="default" w:ascii="Times New Roman" w:hAnsi="Times New Roman" w:eastAsia="仿宋_GB2312" w:cs="Times New Roman"/>
          <w:bCs/>
          <w:color w:val="auto"/>
          <w:kern w:val="33"/>
          <w:sz w:val="32"/>
          <w:szCs w:val="32"/>
          <w:lang w:val="en-US" w:eastAsia="zh-CN"/>
        </w:rPr>
        <w:t>情况</w:t>
      </w:r>
      <w:r>
        <w:rPr>
          <w:rFonts w:hint="default" w:ascii="Times New Roman" w:hAnsi="Times New Roman" w:eastAsia="仿宋_GB2312" w:cs="Times New Roman"/>
          <w:bCs/>
          <w:color w:val="auto"/>
          <w:kern w:val="33"/>
          <w:sz w:val="32"/>
          <w:szCs w:val="32"/>
        </w:rPr>
        <w:t>。</w:t>
      </w:r>
    </w:p>
    <w:p w14:paraId="49146612">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rPr>
      </w:pPr>
      <w:r>
        <w:rPr>
          <w:rFonts w:hint="default" w:ascii="Times New Roman" w:hAnsi="Times New Roman" w:eastAsia="仿宋_GB2312" w:cs="Times New Roman"/>
          <w:b/>
          <w:bCs w:val="0"/>
          <w:color w:val="auto"/>
          <w:kern w:val="33"/>
          <w:sz w:val="32"/>
          <w:szCs w:val="32"/>
          <w:lang w:val="en-US" w:eastAsia="zh-CN"/>
        </w:rPr>
        <w:t>6.</w:t>
      </w:r>
      <w:r>
        <w:rPr>
          <w:rFonts w:hint="default" w:ascii="Times New Roman" w:hAnsi="Times New Roman" w:eastAsia="仿宋_GB2312" w:cs="Times New Roman"/>
          <w:b/>
          <w:bCs w:val="0"/>
          <w:color w:val="auto"/>
          <w:kern w:val="33"/>
          <w:sz w:val="32"/>
          <w:szCs w:val="32"/>
        </w:rPr>
        <w:t>深入实施药品集中采购制度。</w:t>
      </w:r>
    </w:p>
    <w:p w14:paraId="072CAF7A">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rPr>
        <w:t>结合盐边南北片区工作实际，改革创新采购方式，将全县21家公立定点医疗机构的药械集中采购任务统筹分配给盐边县人民医院和盐边县中医院两家医共体医疗机构组织实施，简化工作流程，缩短预付款及回款周期，提升了药械集采效率，</w:t>
      </w:r>
      <w:r>
        <w:rPr>
          <w:rFonts w:hint="default" w:ascii="Times New Roman" w:hAnsi="Times New Roman" w:eastAsia="仿宋_GB2312" w:cs="Times New Roman"/>
          <w:bCs/>
          <w:color w:val="auto"/>
          <w:kern w:val="33"/>
          <w:sz w:val="32"/>
          <w:szCs w:val="32"/>
          <w:lang w:val="en-US" w:eastAsia="zh-CN"/>
        </w:rPr>
        <w:t>助力</w:t>
      </w:r>
      <w:r>
        <w:rPr>
          <w:rFonts w:hint="default" w:ascii="Times New Roman" w:hAnsi="Times New Roman" w:eastAsia="仿宋_GB2312" w:cs="Times New Roman"/>
          <w:bCs/>
          <w:color w:val="auto"/>
          <w:kern w:val="33"/>
          <w:sz w:val="32"/>
          <w:szCs w:val="32"/>
        </w:rPr>
        <w:t>定点医疗机构控制成本，有效减轻患者的医药费负担。</w:t>
      </w:r>
      <w:r>
        <w:rPr>
          <w:rFonts w:hint="default" w:ascii="Times New Roman" w:hAnsi="Times New Roman" w:eastAsia="仿宋_GB2312" w:cs="Times New Roman"/>
          <w:bCs/>
          <w:color w:val="auto"/>
          <w:kern w:val="33"/>
          <w:sz w:val="32"/>
          <w:szCs w:val="32"/>
          <w:lang w:val="en-US" w:eastAsia="zh-CN"/>
        </w:rPr>
        <w:t>截至目前</w:t>
      </w:r>
      <w:r>
        <w:rPr>
          <w:rFonts w:hint="default" w:ascii="Times New Roman" w:hAnsi="Times New Roman" w:eastAsia="仿宋_GB2312" w:cs="Times New Roman"/>
          <w:bCs/>
          <w:color w:val="auto"/>
          <w:kern w:val="33"/>
          <w:sz w:val="32"/>
          <w:szCs w:val="32"/>
        </w:rPr>
        <w:t>，与省市同步开展</w:t>
      </w:r>
      <w:r>
        <w:rPr>
          <w:rFonts w:hint="default" w:ascii="Times New Roman" w:hAnsi="Times New Roman" w:eastAsia="仿宋_GB2312" w:cs="Times New Roman"/>
          <w:bCs/>
          <w:color w:val="auto"/>
          <w:kern w:val="33"/>
          <w:sz w:val="32"/>
          <w:szCs w:val="32"/>
          <w:lang w:val="en-US" w:eastAsia="zh-CN"/>
        </w:rPr>
        <w:t>7</w:t>
      </w:r>
      <w:r>
        <w:rPr>
          <w:rFonts w:hint="default" w:ascii="Times New Roman" w:hAnsi="Times New Roman" w:eastAsia="仿宋_GB2312" w:cs="Times New Roman"/>
          <w:bCs/>
          <w:color w:val="auto"/>
          <w:kern w:val="33"/>
          <w:sz w:val="32"/>
          <w:szCs w:val="32"/>
        </w:rPr>
        <w:t>批</w:t>
      </w:r>
      <w:r>
        <w:rPr>
          <w:rFonts w:hint="default" w:ascii="Times New Roman" w:hAnsi="Times New Roman" w:eastAsia="仿宋_GB2312" w:cs="Times New Roman"/>
          <w:bCs/>
          <w:color w:val="auto"/>
          <w:kern w:val="33"/>
          <w:sz w:val="32"/>
          <w:szCs w:val="32"/>
          <w:lang w:val="en-US" w:eastAsia="zh-CN"/>
        </w:rPr>
        <w:t>药械</w:t>
      </w:r>
      <w:r>
        <w:rPr>
          <w:rFonts w:hint="default" w:ascii="Times New Roman" w:hAnsi="Times New Roman" w:eastAsia="仿宋_GB2312" w:cs="Times New Roman"/>
          <w:bCs/>
          <w:color w:val="auto"/>
          <w:kern w:val="33"/>
          <w:sz w:val="32"/>
          <w:szCs w:val="32"/>
        </w:rPr>
        <w:t>采购任务，涉及7</w:t>
      </w:r>
      <w:r>
        <w:rPr>
          <w:rFonts w:hint="default" w:ascii="Times New Roman" w:hAnsi="Times New Roman" w:eastAsia="仿宋_GB2312" w:cs="Times New Roman"/>
          <w:bCs/>
          <w:color w:val="auto"/>
          <w:kern w:val="33"/>
          <w:sz w:val="32"/>
          <w:szCs w:val="32"/>
          <w:lang w:val="en-US" w:eastAsia="zh-CN"/>
        </w:rPr>
        <w:t>0余个品规药械</w:t>
      </w:r>
      <w:r>
        <w:rPr>
          <w:rFonts w:hint="default" w:ascii="Times New Roman" w:hAnsi="Times New Roman" w:eastAsia="仿宋_GB2312" w:cs="Times New Roman"/>
          <w:bCs/>
          <w:color w:val="auto"/>
          <w:kern w:val="33"/>
          <w:sz w:val="32"/>
          <w:szCs w:val="32"/>
        </w:rPr>
        <w:t>，采购金额为</w:t>
      </w:r>
      <w:r>
        <w:rPr>
          <w:rFonts w:hint="default" w:ascii="Times New Roman" w:hAnsi="Times New Roman" w:eastAsia="仿宋_GB2312" w:cs="Times New Roman"/>
          <w:bCs/>
          <w:color w:val="auto"/>
          <w:kern w:val="33"/>
          <w:sz w:val="32"/>
          <w:szCs w:val="32"/>
          <w:lang w:val="en-US" w:eastAsia="zh-CN"/>
        </w:rPr>
        <w:t>122.48</w:t>
      </w:r>
      <w:r>
        <w:rPr>
          <w:rFonts w:hint="default" w:ascii="Times New Roman" w:hAnsi="Times New Roman" w:eastAsia="仿宋_GB2312" w:cs="Times New Roman"/>
          <w:bCs/>
          <w:color w:val="auto"/>
          <w:kern w:val="33"/>
          <w:sz w:val="32"/>
          <w:szCs w:val="32"/>
        </w:rPr>
        <w:t>万元。</w:t>
      </w:r>
    </w:p>
    <w:p w14:paraId="4CC42848">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eastAsia="zh-CN"/>
        </w:rPr>
      </w:pPr>
      <w:r>
        <w:rPr>
          <w:rFonts w:hint="default" w:ascii="Times New Roman" w:hAnsi="Times New Roman" w:eastAsia="仿宋_GB2312" w:cs="Times New Roman"/>
          <w:b/>
          <w:bCs w:val="0"/>
          <w:color w:val="auto"/>
          <w:kern w:val="33"/>
          <w:sz w:val="32"/>
          <w:szCs w:val="32"/>
          <w:lang w:val="en-US" w:eastAsia="zh-CN"/>
        </w:rPr>
        <w:t>7.</w:t>
      </w:r>
      <w:r>
        <w:rPr>
          <w:rFonts w:hint="default" w:ascii="Times New Roman" w:hAnsi="Times New Roman" w:eastAsia="仿宋_GB2312" w:cs="Times New Roman"/>
          <w:b/>
          <w:bCs w:val="0"/>
          <w:color w:val="auto"/>
          <w:kern w:val="33"/>
          <w:sz w:val="32"/>
          <w:szCs w:val="32"/>
        </w:rPr>
        <w:t>加快推进医保支付方式改革</w:t>
      </w:r>
      <w:r>
        <w:rPr>
          <w:rFonts w:hint="default" w:ascii="Times New Roman" w:hAnsi="Times New Roman" w:eastAsia="仿宋_GB2312" w:cs="Times New Roman"/>
          <w:b/>
          <w:bCs w:val="0"/>
          <w:color w:val="auto"/>
          <w:kern w:val="33"/>
          <w:sz w:val="32"/>
          <w:szCs w:val="32"/>
          <w:lang w:eastAsia="zh-CN"/>
        </w:rPr>
        <w:t>。</w:t>
      </w:r>
    </w:p>
    <w:p w14:paraId="23E051B8">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rPr>
        <w:t>按照攀枝花市建设国家DRG付费试点城市的工作部署，将县内有住院条件的12家医院纳入DRG付费改革，废除传统的按疾病项目付费，实行总额控制下的按疾病病种付费，年初根据点数法确定区域总额，年终进行考核结算。2021年，医疗机构在年初总额预算的基础上实现盈利的有11家，共盈利253.43万元，其中盐边县中医院盈利220万元，达到了“降低基金支出、减轻就医负担、增加医院收入”的改革目标。</w:t>
      </w:r>
    </w:p>
    <w:p w14:paraId="7B04B39E">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eastAsia="zh-CN"/>
        </w:rPr>
      </w:pPr>
      <w:r>
        <w:rPr>
          <w:rFonts w:hint="default" w:ascii="Times New Roman" w:hAnsi="Times New Roman" w:eastAsia="仿宋_GB2312" w:cs="Times New Roman"/>
          <w:b/>
          <w:bCs w:val="0"/>
          <w:color w:val="auto"/>
          <w:kern w:val="33"/>
          <w:sz w:val="32"/>
          <w:szCs w:val="32"/>
          <w:lang w:val="en-US" w:eastAsia="zh-CN"/>
        </w:rPr>
        <w:t>8.</w:t>
      </w:r>
      <w:r>
        <w:rPr>
          <w:rFonts w:hint="default" w:ascii="Times New Roman" w:hAnsi="Times New Roman" w:eastAsia="仿宋_GB2312" w:cs="Times New Roman"/>
          <w:b/>
          <w:bCs w:val="0"/>
          <w:color w:val="auto"/>
          <w:kern w:val="33"/>
          <w:sz w:val="32"/>
          <w:szCs w:val="32"/>
        </w:rPr>
        <w:t>加强医保经办服务体系建设</w:t>
      </w:r>
      <w:r>
        <w:rPr>
          <w:rFonts w:hint="default" w:ascii="Times New Roman" w:hAnsi="Times New Roman" w:eastAsia="仿宋_GB2312" w:cs="Times New Roman"/>
          <w:b/>
          <w:bCs w:val="0"/>
          <w:color w:val="auto"/>
          <w:kern w:val="33"/>
          <w:sz w:val="32"/>
          <w:szCs w:val="32"/>
          <w:lang w:eastAsia="zh-CN"/>
        </w:rPr>
        <w:t>。</w:t>
      </w:r>
    </w:p>
    <w:p w14:paraId="0A51BACE">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一是</w:t>
      </w:r>
      <w:r>
        <w:rPr>
          <w:rFonts w:hint="default" w:ascii="Times New Roman" w:hAnsi="Times New Roman" w:eastAsia="仿宋_GB2312" w:cs="Times New Roman"/>
          <w:bCs/>
          <w:color w:val="auto"/>
          <w:kern w:val="33"/>
          <w:sz w:val="32"/>
          <w:szCs w:val="32"/>
        </w:rPr>
        <w:t>医保经办服务体系更加完善。构建起纵向到底、横向到边的“县、乡、村”三</w:t>
      </w:r>
      <w:r>
        <w:rPr>
          <w:rFonts w:hint="default" w:ascii="Times New Roman" w:hAnsi="Times New Roman" w:eastAsia="仿宋_GB2312" w:cs="Times New Roman"/>
          <w:bCs/>
          <w:color w:val="auto"/>
          <w:kern w:val="33"/>
          <w:sz w:val="32"/>
          <w:szCs w:val="32"/>
          <w:lang w:val="en-US" w:eastAsia="zh-CN"/>
        </w:rPr>
        <w:t>级</w:t>
      </w:r>
      <w:r>
        <w:rPr>
          <w:rFonts w:hint="default" w:ascii="Times New Roman" w:hAnsi="Times New Roman" w:eastAsia="仿宋_GB2312" w:cs="Times New Roman"/>
          <w:bCs/>
          <w:color w:val="auto"/>
          <w:kern w:val="33"/>
          <w:sz w:val="32"/>
          <w:szCs w:val="32"/>
        </w:rPr>
        <w:t>经办服务体系，基本实现了医保服务网络全域覆盖。稳步推行“一窗通办、一网通行”医保综合柜员制改革工作，通过梳理业务事项清单、优化业务办理流程、组织开展培训学习等措施，综合提高窗口经办人员综合业务水平。县医保窗口实现了“前台综合受理、后台分类审批、统一窗口出件”，构建起“一站式服务”的医保经办集成式服务新格局。</w:t>
      </w:r>
      <w:r>
        <w:rPr>
          <w:rFonts w:hint="default" w:ascii="Times New Roman" w:hAnsi="Times New Roman" w:eastAsia="仿宋_GB2312" w:cs="Times New Roman"/>
          <w:bCs/>
          <w:color w:val="auto"/>
          <w:kern w:val="33"/>
          <w:sz w:val="32"/>
          <w:szCs w:val="32"/>
          <w:lang w:val="en-US" w:eastAsia="zh-CN"/>
        </w:rPr>
        <w:t>积极推动医保经办服务下沉工作</w:t>
      </w:r>
      <w:r>
        <w:rPr>
          <w:rFonts w:hint="default" w:ascii="Times New Roman" w:hAnsi="Times New Roman" w:eastAsia="仿宋_GB2312" w:cs="Times New Roman"/>
          <w:bCs/>
          <w:color w:val="auto"/>
          <w:kern w:val="33"/>
          <w:sz w:val="32"/>
          <w:szCs w:val="32"/>
        </w:rPr>
        <w:t>，在12个乡</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镇</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便民服务中心设立医保服务窗口</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在</w:t>
      </w:r>
      <w:r>
        <w:rPr>
          <w:rFonts w:hint="default" w:ascii="Times New Roman" w:hAnsi="Times New Roman" w:eastAsia="仿宋_GB2312" w:cs="Times New Roman"/>
          <w:bCs/>
          <w:color w:val="auto"/>
          <w:kern w:val="33"/>
          <w:sz w:val="32"/>
          <w:szCs w:val="32"/>
        </w:rPr>
        <w:t>88个村</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社区</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便民服务站</w:t>
      </w:r>
      <w:r>
        <w:rPr>
          <w:rFonts w:hint="default" w:ascii="Times New Roman" w:hAnsi="Times New Roman" w:eastAsia="仿宋_GB2312" w:cs="Times New Roman"/>
          <w:bCs/>
          <w:color w:val="auto"/>
          <w:kern w:val="33"/>
          <w:sz w:val="32"/>
          <w:szCs w:val="32"/>
          <w:lang w:val="en-US" w:eastAsia="zh-CN"/>
        </w:rPr>
        <w:t>设立</w:t>
      </w:r>
      <w:r>
        <w:rPr>
          <w:rFonts w:hint="default" w:ascii="Times New Roman" w:hAnsi="Times New Roman" w:eastAsia="仿宋_GB2312" w:cs="Times New Roman"/>
          <w:bCs/>
          <w:color w:val="auto"/>
          <w:kern w:val="33"/>
          <w:sz w:val="32"/>
          <w:szCs w:val="32"/>
        </w:rPr>
        <w:t>医保事项</w:t>
      </w:r>
      <w:r>
        <w:rPr>
          <w:rFonts w:hint="default" w:ascii="Times New Roman" w:hAnsi="Times New Roman" w:eastAsia="仿宋_GB2312" w:cs="Times New Roman"/>
          <w:bCs/>
          <w:color w:val="auto"/>
          <w:kern w:val="33"/>
          <w:sz w:val="32"/>
          <w:szCs w:val="32"/>
          <w:lang w:val="en-US" w:eastAsia="zh-CN"/>
        </w:rPr>
        <w:t>帮办</w:t>
      </w:r>
      <w:r>
        <w:rPr>
          <w:rFonts w:hint="default" w:ascii="Times New Roman" w:hAnsi="Times New Roman" w:eastAsia="仿宋_GB2312" w:cs="Times New Roman"/>
          <w:bCs/>
          <w:color w:val="auto"/>
          <w:kern w:val="33"/>
          <w:sz w:val="32"/>
          <w:szCs w:val="32"/>
        </w:rPr>
        <w:t>代办</w:t>
      </w:r>
      <w:r>
        <w:rPr>
          <w:rFonts w:hint="default" w:ascii="Times New Roman" w:hAnsi="Times New Roman" w:eastAsia="仿宋_GB2312" w:cs="Times New Roman"/>
          <w:bCs/>
          <w:color w:val="auto"/>
          <w:kern w:val="33"/>
          <w:sz w:val="32"/>
          <w:szCs w:val="32"/>
          <w:lang w:val="en-US" w:eastAsia="zh-CN"/>
        </w:rPr>
        <w:t>点</w:t>
      </w:r>
      <w:r>
        <w:rPr>
          <w:rFonts w:hint="default" w:ascii="Times New Roman" w:hAnsi="Times New Roman" w:eastAsia="仿宋_GB2312" w:cs="Times New Roman"/>
          <w:bCs/>
          <w:color w:val="auto"/>
          <w:kern w:val="33"/>
          <w:sz w:val="32"/>
          <w:szCs w:val="32"/>
        </w:rPr>
        <w:t>。</w:t>
      </w:r>
      <w:r>
        <w:rPr>
          <w:rFonts w:hint="default" w:ascii="Times New Roman" w:hAnsi="Times New Roman" w:eastAsia="仿宋_GB2312" w:cs="Times New Roman"/>
          <w:bCs/>
          <w:color w:val="auto"/>
          <w:kern w:val="33"/>
          <w:sz w:val="32"/>
          <w:szCs w:val="32"/>
          <w:lang w:val="en-US" w:eastAsia="zh-CN"/>
        </w:rPr>
        <w:t>试点</w:t>
      </w:r>
      <w:r>
        <w:rPr>
          <w:rFonts w:hint="default" w:ascii="Times New Roman" w:hAnsi="Times New Roman" w:eastAsia="仿宋_GB2312" w:cs="Times New Roman"/>
          <w:bCs/>
          <w:color w:val="auto"/>
          <w:kern w:val="33"/>
          <w:sz w:val="32"/>
          <w:szCs w:val="32"/>
        </w:rPr>
        <w:t>开展医保网格化服务管理，依托广大网格员为网格辖区居民提供参保动员、高频事项代办等服务。</w:t>
      </w:r>
    </w:p>
    <w:p w14:paraId="1EA28F7F">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二是积极推动</w:t>
      </w:r>
      <w:r>
        <w:rPr>
          <w:rFonts w:hint="default" w:ascii="Times New Roman" w:hAnsi="Times New Roman" w:eastAsia="仿宋_GB2312" w:cs="Times New Roman"/>
          <w:bCs/>
          <w:color w:val="auto"/>
          <w:kern w:val="33"/>
          <w:sz w:val="32"/>
          <w:szCs w:val="32"/>
        </w:rPr>
        <w:t>服务渠道多元</w:t>
      </w:r>
      <w:r>
        <w:rPr>
          <w:rFonts w:hint="default" w:ascii="Times New Roman" w:hAnsi="Times New Roman" w:eastAsia="仿宋_GB2312" w:cs="Times New Roman"/>
          <w:bCs/>
          <w:color w:val="auto"/>
          <w:kern w:val="33"/>
          <w:sz w:val="32"/>
          <w:szCs w:val="32"/>
          <w:lang w:val="en-US" w:eastAsia="zh-CN"/>
        </w:rPr>
        <w:t>化</w:t>
      </w:r>
      <w:r>
        <w:rPr>
          <w:rFonts w:hint="default" w:ascii="Times New Roman" w:hAnsi="Times New Roman" w:eastAsia="仿宋_GB2312" w:cs="Times New Roman"/>
          <w:bCs/>
          <w:color w:val="auto"/>
          <w:kern w:val="33"/>
          <w:sz w:val="32"/>
          <w:szCs w:val="32"/>
        </w:rPr>
        <w:t>。坚持传统服务方式与新型服务方式“两条腿”走路，大力推动医保经办数字化转型，充分利用四川医保APP、一体化政务服务平台等，推行医保服务事项“网上办”“掌上办”，实现了数据多跑路、群众少跑腿。目前，我县医保政务服务事项网上可办率达到100%。2022年1～1</w:t>
      </w:r>
      <w:r>
        <w:rPr>
          <w:rFonts w:hint="default" w:ascii="Times New Roman" w:hAnsi="Times New Roman" w:eastAsia="仿宋_GB2312" w:cs="Times New Roman"/>
          <w:bCs/>
          <w:color w:val="auto"/>
          <w:kern w:val="33"/>
          <w:sz w:val="32"/>
          <w:szCs w:val="32"/>
          <w:lang w:val="en-US" w:eastAsia="zh-CN"/>
        </w:rPr>
        <w:t>2</w:t>
      </w:r>
      <w:r>
        <w:rPr>
          <w:rFonts w:hint="default" w:ascii="Times New Roman" w:hAnsi="Times New Roman" w:eastAsia="仿宋_GB2312" w:cs="Times New Roman"/>
          <w:bCs/>
          <w:color w:val="auto"/>
          <w:kern w:val="33"/>
          <w:sz w:val="32"/>
          <w:szCs w:val="32"/>
        </w:rPr>
        <w:t>月共办理事项</w:t>
      </w:r>
      <w:r>
        <w:rPr>
          <w:rFonts w:hint="default" w:ascii="Times New Roman" w:hAnsi="Times New Roman" w:eastAsia="仿宋_GB2312" w:cs="Times New Roman"/>
          <w:bCs/>
          <w:color w:val="auto"/>
          <w:kern w:val="33"/>
          <w:sz w:val="32"/>
          <w:szCs w:val="32"/>
          <w:lang w:val="en-US" w:eastAsia="zh-CN"/>
        </w:rPr>
        <w:t>19364</w:t>
      </w:r>
      <w:r>
        <w:rPr>
          <w:rFonts w:hint="default" w:ascii="Times New Roman" w:hAnsi="Times New Roman" w:eastAsia="仿宋_GB2312" w:cs="Times New Roman"/>
          <w:bCs/>
          <w:color w:val="auto"/>
          <w:kern w:val="33"/>
          <w:sz w:val="32"/>
          <w:szCs w:val="32"/>
        </w:rPr>
        <w:t>件。其中系统办理7613件，线上办理</w:t>
      </w:r>
      <w:r>
        <w:rPr>
          <w:rFonts w:hint="default" w:ascii="Times New Roman" w:hAnsi="Times New Roman" w:eastAsia="仿宋_GB2312" w:cs="Times New Roman"/>
          <w:bCs/>
          <w:color w:val="auto"/>
          <w:kern w:val="33"/>
          <w:sz w:val="32"/>
          <w:szCs w:val="32"/>
          <w:lang w:val="en-US" w:eastAsia="zh-CN"/>
        </w:rPr>
        <w:t>11751</w:t>
      </w:r>
      <w:r>
        <w:rPr>
          <w:rFonts w:hint="default" w:ascii="Times New Roman" w:hAnsi="Times New Roman" w:eastAsia="仿宋_GB2312" w:cs="Times New Roman"/>
          <w:bCs/>
          <w:color w:val="auto"/>
          <w:kern w:val="33"/>
          <w:sz w:val="32"/>
          <w:szCs w:val="32"/>
        </w:rPr>
        <w:t>件。办理事项主要包括“参保人员参保信息查询”“城乡居民参保登记”“职工参保登记”等。本年度好差评满意率达到100%。</w:t>
      </w:r>
    </w:p>
    <w:p w14:paraId="588FE586">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rPr>
      </w:pPr>
      <w:r>
        <w:rPr>
          <w:rFonts w:hint="default" w:ascii="Times New Roman" w:hAnsi="Times New Roman" w:eastAsia="仿宋_GB2312" w:cs="Times New Roman"/>
          <w:b/>
          <w:bCs w:val="0"/>
          <w:color w:val="auto"/>
          <w:kern w:val="33"/>
          <w:sz w:val="32"/>
          <w:szCs w:val="32"/>
          <w:lang w:val="en-US" w:eastAsia="zh-CN"/>
        </w:rPr>
        <w:t>9.</w:t>
      </w:r>
      <w:r>
        <w:rPr>
          <w:rFonts w:hint="default" w:ascii="Times New Roman" w:hAnsi="Times New Roman" w:eastAsia="仿宋_GB2312" w:cs="Times New Roman"/>
          <w:b/>
          <w:bCs w:val="0"/>
          <w:color w:val="auto"/>
          <w:kern w:val="33"/>
          <w:sz w:val="32"/>
          <w:szCs w:val="32"/>
        </w:rPr>
        <w:t>全力</w:t>
      </w:r>
      <w:r>
        <w:rPr>
          <w:rFonts w:hint="default" w:ascii="Times New Roman" w:hAnsi="Times New Roman" w:eastAsia="仿宋_GB2312" w:cs="Times New Roman"/>
          <w:b/>
          <w:bCs w:val="0"/>
          <w:color w:val="auto"/>
          <w:kern w:val="33"/>
          <w:sz w:val="32"/>
          <w:szCs w:val="32"/>
          <w:lang w:val="en-US" w:eastAsia="zh-CN"/>
        </w:rPr>
        <w:t>做好基本医疗保险参保征缴工作</w:t>
      </w:r>
      <w:r>
        <w:rPr>
          <w:rFonts w:hint="default" w:ascii="Times New Roman" w:hAnsi="Times New Roman" w:eastAsia="仿宋_GB2312" w:cs="Times New Roman"/>
          <w:b/>
          <w:bCs w:val="0"/>
          <w:color w:val="auto"/>
          <w:kern w:val="33"/>
          <w:sz w:val="32"/>
          <w:szCs w:val="32"/>
        </w:rPr>
        <w:t>。</w:t>
      </w:r>
    </w:p>
    <w:p w14:paraId="3F06101B">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Cs/>
          <w:color w:val="auto"/>
          <w:kern w:val="33"/>
          <w:sz w:val="32"/>
          <w:szCs w:val="32"/>
        </w:rPr>
      </w:pPr>
      <w:r>
        <w:rPr>
          <w:rFonts w:hint="default" w:ascii="Times New Roman" w:hAnsi="Times New Roman" w:eastAsia="仿宋_GB2312" w:cs="Times New Roman"/>
          <w:bCs/>
          <w:color w:val="auto"/>
          <w:kern w:val="33"/>
          <w:sz w:val="32"/>
          <w:szCs w:val="32"/>
          <w:lang w:val="en-US" w:eastAsia="zh-CN"/>
        </w:rPr>
        <w:t>2022年，我局加强同县级各部门的沟通协调、加大医保政策宣传力度，分类</w:t>
      </w:r>
      <w:r>
        <w:rPr>
          <w:rFonts w:hint="default" w:ascii="Times New Roman" w:hAnsi="Times New Roman" w:eastAsia="仿宋_GB2312" w:cs="Times New Roman"/>
          <w:bCs/>
          <w:color w:val="auto"/>
          <w:kern w:val="33"/>
          <w:sz w:val="32"/>
          <w:szCs w:val="32"/>
        </w:rPr>
        <w:t>做好</w:t>
      </w:r>
      <w:r>
        <w:rPr>
          <w:rFonts w:hint="default" w:ascii="Times New Roman" w:hAnsi="Times New Roman" w:eastAsia="仿宋_GB2312" w:cs="Times New Roman"/>
          <w:bCs/>
          <w:color w:val="auto"/>
          <w:kern w:val="33"/>
          <w:sz w:val="32"/>
          <w:szCs w:val="32"/>
          <w:lang w:val="en-US" w:eastAsia="zh-CN"/>
        </w:rPr>
        <w:t>城镇职工、城乡居民基本医疗保险</w:t>
      </w:r>
      <w:r>
        <w:rPr>
          <w:rFonts w:hint="default" w:ascii="Times New Roman" w:hAnsi="Times New Roman" w:eastAsia="仿宋_GB2312" w:cs="Times New Roman"/>
          <w:bCs/>
          <w:color w:val="auto"/>
          <w:kern w:val="33"/>
          <w:sz w:val="32"/>
          <w:szCs w:val="32"/>
        </w:rPr>
        <w:t>医保的征缴工作</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2022年</w:t>
      </w:r>
      <w:r>
        <w:rPr>
          <w:rFonts w:hint="default" w:ascii="Times New Roman" w:hAnsi="Times New Roman" w:eastAsia="仿宋_GB2312" w:cs="Times New Roman"/>
          <w:bCs/>
          <w:color w:val="auto"/>
          <w:kern w:val="33"/>
          <w:sz w:val="32"/>
          <w:szCs w:val="32"/>
        </w:rPr>
        <w:t>职工基本医疗保险</w:t>
      </w:r>
      <w:r>
        <w:rPr>
          <w:rFonts w:hint="default" w:ascii="Times New Roman" w:hAnsi="Times New Roman" w:eastAsia="仿宋_GB2312" w:cs="Times New Roman"/>
          <w:bCs/>
          <w:color w:val="auto"/>
          <w:kern w:val="33"/>
          <w:sz w:val="32"/>
          <w:szCs w:val="32"/>
          <w:lang w:val="en-US" w:eastAsia="zh-CN"/>
        </w:rPr>
        <w:t>参保2.15</w:t>
      </w:r>
      <w:r>
        <w:rPr>
          <w:rFonts w:hint="default" w:ascii="Times New Roman" w:hAnsi="Times New Roman" w:eastAsia="仿宋_GB2312" w:cs="Times New Roman"/>
          <w:bCs/>
          <w:color w:val="auto"/>
          <w:kern w:val="33"/>
          <w:sz w:val="32"/>
          <w:szCs w:val="32"/>
        </w:rPr>
        <w:t>万人</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城乡居民基本医疗保险</w:t>
      </w:r>
      <w:r>
        <w:rPr>
          <w:rFonts w:hint="default" w:ascii="Times New Roman" w:hAnsi="Times New Roman" w:eastAsia="仿宋_GB2312" w:cs="Times New Roman"/>
          <w:bCs/>
          <w:color w:val="auto"/>
          <w:kern w:val="33"/>
          <w:sz w:val="32"/>
          <w:szCs w:val="32"/>
          <w:lang w:val="en-US" w:eastAsia="zh-CN"/>
        </w:rPr>
        <w:t>参保15.96</w:t>
      </w:r>
      <w:r>
        <w:rPr>
          <w:rFonts w:hint="default" w:ascii="Times New Roman" w:hAnsi="Times New Roman" w:eastAsia="仿宋_GB2312" w:cs="Times New Roman"/>
          <w:bCs/>
          <w:color w:val="auto"/>
          <w:kern w:val="33"/>
          <w:sz w:val="32"/>
          <w:szCs w:val="32"/>
        </w:rPr>
        <w:t>万人</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lang w:val="en-US" w:eastAsia="zh-CN"/>
        </w:rPr>
        <w:t>同时，2023年城乡居民医保</w:t>
      </w:r>
      <w:r>
        <w:rPr>
          <w:rFonts w:hint="default" w:ascii="Times New Roman" w:hAnsi="Times New Roman" w:eastAsia="仿宋_GB2312" w:cs="Times New Roman"/>
          <w:bCs/>
          <w:color w:val="auto"/>
          <w:kern w:val="33"/>
          <w:sz w:val="32"/>
          <w:szCs w:val="32"/>
          <w:lang w:eastAsia="zh-CN"/>
        </w:rPr>
        <w:t>集中征缴期内</w:t>
      </w:r>
      <w:r>
        <w:rPr>
          <w:rFonts w:hint="default" w:ascii="Times New Roman" w:hAnsi="Times New Roman" w:eastAsia="仿宋_GB2312" w:cs="Times New Roman"/>
          <w:bCs/>
          <w:color w:val="auto"/>
          <w:kern w:val="33"/>
          <w:sz w:val="32"/>
          <w:szCs w:val="32"/>
          <w:lang w:val="en-US" w:eastAsia="zh-CN"/>
        </w:rPr>
        <w:t>，我县</w:t>
      </w:r>
      <w:r>
        <w:rPr>
          <w:rFonts w:hint="default" w:ascii="Times New Roman" w:hAnsi="Times New Roman" w:eastAsia="仿宋_GB2312" w:cs="Times New Roman"/>
          <w:bCs/>
          <w:color w:val="auto"/>
          <w:kern w:val="33"/>
          <w:sz w:val="32"/>
          <w:szCs w:val="32"/>
        </w:rPr>
        <w:t>继续实施全民参保计划，</w:t>
      </w:r>
      <w:r>
        <w:rPr>
          <w:rFonts w:hint="default" w:ascii="Times New Roman" w:hAnsi="Times New Roman" w:eastAsia="仿宋_GB2312" w:cs="Times New Roman"/>
          <w:bCs/>
          <w:color w:val="auto"/>
          <w:kern w:val="33"/>
          <w:sz w:val="32"/>
          <w:szCs w:val="32"/>
          <w:lang w:eastAsia="zh-CN"/>
        </w:rPr>
        <w:t>截至</w:t>
      </w:r>
      <w:r>
        <w:rPr>
          <w:rFonts w:hint="default" w:ascii="Times New Roman" w:hAnsi="Times New Roman" w:eastAsia="仿宋_GB2312" w:cs="Times New Roman"/>
          <w:bCs/>
          <w:color w:val="auto"/>
          <w:kern w:val="33"/>
          <w:sz w:val="32"/>
          <w:szCs w:val="32"/>
          <w:lang w:val="en-US" w:eastAsia="zh-CN"/>
        </w:rPr>
        <w:t>2022年</w:t>
      </w:r>
      <w:r>
        <w:rPr>
          <w:rFonts w:hint="default" w:ascii="Times New Roman" w:hAnsi="Times New Roman" w:eastAsia="仿宋_GB2312" w:cs="Times New Roman"/>
          <w:bCs/>
          <w:color w:val="auto"/>
          <w:kern w:val="33"/>
          <w:sz w:val="32"/>
          <w:szCs w:val="32"/>
          <w:lang w:eastAsia="zh-CN"/>
        </w:rPr>
        <w:t>12月底</w:t>
      </w:r>
      <w:r>
        <w:rPr>
          <w:rFonts w:hint="default" w:ascii="Times New Roman" w:hAnsi="Times New Roman" w:eastAsia="仿宋_GB2312" w:cs="Times New Roman"/>
          <w:bCs/>
          <w:color w:val="auto"/>
          <w:kern w:val="33"/>
          <w:sz w:val="32"/>
          <w:szCs w:val="32"/>
        </w:rPr>
        <w:t>，已完成</w:t>
      </w:r>
      <w:r>
        <w:rPr>
          <w:rFonts w:hint="default" w:ascii="Times New Roman" w:hAnsi="Times New Roman" w:eastAsia="仿宋_GB2312" w:cs="Times New Roman"/>
          <w:bCs/>
          <w:color w:val="auto"/>
          <w:kern w:val="33"/>
          <w:sz w:val="32"/>
          <w:szCs w:val="32"/>
          <w:lang w:val="en-US" w:eastAsia="zh-CN"/>
        </w:rPr>
        <w:t>2023年度</w:t>
      </w:r>
      <w:r>
        <w:rPr>
          <w:rFonts w:hint="default" w:ascii="Times New Roman" w:hAnsi="Times New Roman" w:eastAsia="仿宋_GB2312" w:cs="Times New Roman"/>
          <w:bCs/>
          <w:color w:val="auto"/>
          <w:kern w:val="33"/>
          <w:sz w:val="32"/>
          <w:szCs w:val="32"/>
        </w:rPr>
        <w:t>城乡居民参保</w:t>
      </w:r>
      <w:r>
        <w:rPr>
          <w:rFonts w:hint="default" w:ascii="Times New Roman" w:hAnsi="Times New Roman" w:eastAsia="仿宋_GB2312" w:cs="Times New Roman"/>
          <w:bCs/>
          <w:color w:val="auto"/>
          <w:kern w:val="33"/>
          <w:sz w:val="32"/>
          <w:szCs w:val="32"/>
          <w:lang w:val="en-US" w:eastAsia="zh-CN"/>
        </w:rPr>
        <w:t>14.9</w:t>
      </w:r>
      <w:r>
        <w:rPr>
          <w:rFonts w:hint="default" w:ascii="Times New Roman" w:hAnsi="Times New Roman" w:eastAsia="仿宋_GB2312" w:cs="Times New Roman"/>
          <w:bCs/>
          <w:color w:val="auto"/>
          <w:kern w:val="33"/>
          <w:sz w:val="32"/>
          <w:szCs w:val="32"/>
        </w:rPr>
        <w:t>万余人。</w:t>
      </w:r>
    </w:p>
    <w:p w14:paraId="404CCA83">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仿宋_GB2312" w:cs="Times New Roman"/>
          <w:b/>
          <w:bCs w:val="0"/>
          <w:color w:val="auto"/>
          <w:kern w:val="33"/>
          <w:sz w:val="32"/>
          <w:szCs w:val="32"/>
          <w:lang w:val="en-US" w:eastAsia="zh-CN"/>
        </w:rPr>
      </w:pPr>
      <w:r>
        <w:rPr>
          <w:rFonts w:hint="default" w:ascii="Times New Roman" w:hAnsi="Times New Roman" w:eastAsia="仿宋_GB2312" w:cs="Times New Roman"/>
          <w:b/>
          <w:bCs w:val="0"/>
          <w:color w:val="auto"/>
          <w:kern w:val="33"/>
          <w:sz w:val="32"/>
          <w:szCs w:val="32"/>
          <w:lang w:val="en-US" w:eastAsia="zh-CN"/>
        </w:rPr>
        <w:t>10.全力推进县委、县政府安排的各项任务。</w:t>
      </w:r>
    </w:p>
    <w:p w14:paraId="006A12CA">
      <w:pPr>
        <w:keepNext w:val="0"/>
        <w:keepLines w:val="0"/>
        <w:pageBreakBefore w:val="0"/>
        <w:widowControl w:val="0"/>
        <w:kinsoku/>
        <w:wordWrap/>
        <w:overflowPunct/>
        <w:topLinePunct w:val="0"/>
        <w:autoSpaceDE/>
        <w:autoSpaceDN/>
        <w:bidi w:val="0"/>
        <w:adjustRightInd/>
        <w:snapToGrid/>
        <w:spacing w:line="560" w:lineRule="exact"/>
        <w:ind w:firstLine="660"/>
        <w:jc w:val="both"/>
        <w:textAlignment w:val="auto"/>
        <w:rPr>
          <w:rFonts w:hint="default" w:ascii="Times New Roman" w:hAnsi="Times New Roman" w:eastAsia="楷体_GB2312" w:cs="Times New Roman"/>
          <w:b/>
          <w:bCs/>
          <w:kern w:val="0"/>
          <w:sz w:val="32"/>
          <w:szCs w:val="32"/>
          <w:shd w:val="clear" w:color="auto" w:fill="FFFFFF"/>
          <w:lang w:val="en-US" w:eastAsia="zh-CN"/>
        </w:rPr>
      </w:pPr>
      <w:r>
        <w:rPr>
          <w:rFonts w:hint="default" w:ascii="Times New Roman" w:hAnsi="Times New Roman" w:eastAsia="仿宋_GB2312" w:cs="Times New Roman"/>
          <w:bCs/>
          <w:color w:val="auto"/>
          <w:kern w:val="33"/>
          <w:sz w:val="32"/>
          <w:szCs w:val="32"/>
        </w:rPr>
        <w:t>紧紧围绕县委</w:t>
      </w:r>
      <w:r>
        <w:rPr>
          <w:rFonts w:hint="default" w:ascii="Times New Roman" w:hAnsi="Times New Roman" w:eastAsia="仿宋_GB2312" w:cs="Times New Roman"/>
          <w:bCs/>
          <w:color w:val="auto"/>
          <w:kern w:val="33"/>
          <w:sz w:val="32"/>
          <w:szCs w:val="32"/>
          <w:lang w:eastAsia="zh-CN"/>
        </w:rPr>
        <w:t>、</w:t>
      </w:r>
      <w:r>
        <w:rPr>
          <w:rFonts w:hint="default" w:ascii="Times New Roman" w:hAnsi="Times New Roman" w:eastAsia="仿宋_GB2312" w:cs="Times New Roman"/>
          <w:bCs/>
          <w:color w:val="auto"/>
          <w:kern w:val="33"/>
          <w:sz w:val="32"/>
          <w:szCs w:val="32"/>
        </w:rPr>
        <w:t>县政府中心工作，结合医保职能职责，强化相关部门的沟通协作，加强工作力量的统筹协调，全面完成疫情防控、森林草原防灭火、</w:t>
      </w:r>
      <w:r>
        <w:rPr>
          <w:rFonts w:hint="default" w:ascii="Times New Roman" w:hAnsi="Times New Roman" w:eastAsia="仿宋_GB2312" w:cs="Times New Roman"/>
          <w:bCs/>
          <w:color w:val="auto"/>
          <w:kern w:val="33"/>
          <w:sz w:val="32"/>
          <w:szCs w:val="32"/>
          <w:lang w:val="en-US" w:eastAsia="zh-CN"/>
        </w:rPr>
        <w:t>既有建筑物加装电梯、民族团结、创建文明城市、</w:t>
      </w:r>
      <w:r>
        <w:rPr>
          <w:rFonts w:hint="default" w:ascii="Times New Roman" w:hAnsi="Times New Roman" w:eastAsia="仿宋_GB2312" w:cs="Times New Roman"/>
          <w:bCs/>
          <w:color w:val="auto"/>
          <w:kern w:val="33"/>
          <w:sz w:val="32"/>
          <w:szCs w:val="32"/>
        </w:rPr>
        <w:t>深化改革、法治政府建设、信访维稳等工作任务，充分发挥医疗保障围绕中心、服务大局的重要</w:t>
      </w:r>
      <w:r>
        <w:rPr>
          <w:rFonts w:hint="eastAsia" w:eastAsia="仿宋_GB2312" w:cs="Times New Roman"/>
          <w:bCs/>
          <w:color w:val="auto"/>
          <w:kern w:val="33"/>
          <w:sz w:val="32"/>
          <w:szCs w:val="32"/>
          <w:lang w:eastAsia="zh-CN"/>
        </w:rPr>
        <w:t>作用。</w:t>
      </w:r>
    </w:p>
    <w:p w14:paraId="43280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（四）部门整体支出绩效目标。</w:t>
      </w:r>
    </w:p>
    <w:p w14:paraId="2AEB4308">
      <w:pPr>
        <w:pStyle w:val="14"/>
        <w:keepNext w:val="0"/>
        <w:keepLines w:val="0"/>
        <w:pageBreakBefore w:val="0"/>
        <w:kinsoku/>
        <w:wordWrap/>
        <w:overflowPunct/>
        <w:topLinePunct w:val="0"/>
        <w:autoSpaceDE/>
        <w:autoSpaceDN/>
        <w:bidi w:val="0"/>
        <w:spacing w:after="0" w:line="560" w:lineRule="exact"/>
        <w:ind w:left="0" w:leftChars="0" w:firstLine="643" w:firstLineChars="200"/>
        <w:textAlignment w:val="auto"/>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b/>
          <w:bCs/>
          <w:kern w:val="0"/>
          <w:sz w:val="32"/>
          <w:szCs w:val="32"/>
          <w:shd w:val="clear" w:color="auto" w:fill="FFFFFF"/>
          <w:lang w:val="zh-CN" w:eastAsia="zh-CN" w:bidi="ar-SA"/>
        </w:rPr>
        <w:t>1.绩效目标制定。</w:t>
      </w:r>
      <w:r>
        <w:rPr>
          <w:rFonts w:hint="default" w:ascii="Times New Roman" w:hAnsi="Times New Roman" w:eastAsia="仿宋_GB2312" w:cs="Times New Roman"/>
          <w:kern w:val="0"/>
          <w:sz w:val="32"/>
          <w:szCs w:val="32"/>
          <w:shd w:val="clear" w:color="auto" w:fill="FFFFFF"/>
          <w:lang w:val="zh-CN" w:eastAsia="zh-CN" w:bidi="ar-SA"/>
        </w:rPr>
        <w:t>部门预算总体目标包括按时发放工资，保障机关正常运行；完成城乡居民医疗保险和职工医疗保险征收工作；加大医保基金监管力度，保障医保基金安全；保证医保脱贫攻坚成果与乡村振兴战略有效衔接；持续强化新冠疫情防控保障；加强医保经办服务体系建设；完成其他医疗保障事务及县委、县政府交办的其他任务。</w:t>
      </w:r>
    </w:p>
    <w:p w14:paraId="02C79CC8">
      <w:pPr>
        <w:pStyle w:val="14"/>
        <w:keepNext w:val="0"/>
        <w:keepLines w:val="0"/>
        <w:pageBreakBefore w:val="0"/>
        <w:kinsoku/>
        <w:wordWrap/>
        <w:overflowPunct/>
        <w:topLinePunct w:val="0"/>
        <w:autoSpaceDE/>
        <w:autoSpaceDN/>
        <w:bidi w:val="0"/>
        <w:spacing w:after="0" w:line="560" w:lineRule="exact"/>
        <w:ind w:left="0" w:leftChars="0" w:firstLine="643" w:firstLineChars="200"/>
        <w:textAlignment w:val="auto"/>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b/>
          <w:bCs/>
          <w:kern w:val="0"/>
          <w:sz w:val="32"/>
          <w:szCs w:val="32"/>
          <w:shd w:val="clear" w:color="auto" w:fill="FFFFFF"/>
          <w:lang w:val="zh-CN" w:eastAsia="zh-CN" w:bidi="ar-SA"/>
        </w:rPr>
        <w:t>2.目标实现情况。</w:t>
      </w:r>
      <w:r>
        <w:rPr>
          <w:rFonts w:hint="default" w:ascii="Times New Roman" w:hAnsi="Times New Roman" w:eastAsia="仿宋_GB2312" w:cs="Times New Roman"/>
          <w:kern w:val="0"/>
          <w:sz w:val="32"/>
          <w:szCs w:val="32"/>
          <w:shd w:val="clear" w:color="auto" w:fill="FFFFFF"/>
          <w:lang w:val="zh-CN" w:eastAsia="zh-CN" w:bidi="ar-SA"/>
        </w:rPr>
        <w:t>人员类：每月按时发放职工工资及相关待遇。全年实现支出300.41万元，及时、足额保障了全体员工的工资、奖金、社会保险缴费、医疗保险缴费、住房公积金缴纳等基本支出，全面完成年初制定的预算绩效目标。运转类：为履行职能、维持机关日常运转，全年实现支出30.67万元，全面完成年初公用经费预算绩效目标。特定目标类：全年项目实现支出628.06万元，包括6个项目。医疗救助项目支出607.27万元，其中中央资金376.76万元，省级资金80.51万元，县级资金150万元。完成对23854名困难群众进行资助参保，门诊、住院救助人次数达到9550人次，有效缓解困难群众医疗费用负担，健全医疗保障体系；欺诈骗保举报奖励金项目支出0.1万元，完成欺诈骗保案件举报奖励1例，切实保障医保基金安全；基层医疗机构业务网络通信费项目支出1.06万元，完成支付了7家村卫生室的医保专网系统网络通信费，保障村卫生室医保就医结算业务正常办理，解决偏远地区老百姓普通门诊医疗费用报销问题；正县级领导干部享受上一级非领导职务医疗待遇补助资金项目支出0.84万元，完成3名厅级干部医疗费报销，保障其医疗待遇；离休干部医疗费项目支出12.39万元，完成3名离休干部医疗费报销，保障其医疗待遇；建国初期参加革命工作部分退休干部医疗补助金项目支出6.4万元，完成16名退休干部医保个人账户及时上账，保障其医疗待遇。</w:t>
      </w:r>
    </w:p>
    <w:p w14:paraId="5A7C33A8">
      <w:pPr>
        <w:pStyle w:val="14"/>
        <w:keepNext w:val="0"/>
        <w:keepLines w:val="0"/>
        <w:pageBreakBefore w:val="0"/>
        <w:kinsoku/>
        <w:wordWrap/>
        <w:overflowPunct/>
        <w:topLinePunct w:val="0"/>
        <w:autoSpaceDE/>
        <w:autoSpaceDN/>
        <w:bidi w:val="0"/>
        <w:spacing w:after="0" w:line="560" w:lineRule="exact"/>
        <w:ind w:left="0" w:leftChars="0" w:firstLine="643" w:firstLineChars="200"/>
        <w:textAlignment w:val="auto"/>
        <w:rPr>
          <w:rFonts w:hint="default" w:ascii="Times New Roman" w:hAnsi="Times New Roman" w:eastAsia="仿宋_GB2312" w:cs="Times New Roman"/>
          <w:kern w:val="0"/>
          <w:sz w:val="32"/>
          <w:szCs w:val="32"/>
          <w:shd w:val="clear" w:color="auto" w:fill="FFFFFF"/>
          <w:lang w:val="zh-CN" w:eastAsia="zh-CN" w:bidi="ar-SA"/>
        </w:rPr>
      </w:pPr>
      <w:r>
        <w:rPr>
          <w:rFonts w:hint="default" w:ascii="Times New Roman" w:hAnsi="Times New Roman" w:eastAsia="仿宋_GB2312" w:cs="Times New Roman"/>
          <w:b/>
          <w:bCs/>
          <w:kern w:val="0"/>
          <w:sz w:val="32"/>
          <w:szCs w:val="32"/>
          <w:shd w:val="clear" w:color="auto" w:fill="FFFFFF"/>
          <w:lang w:val="zh-CN" w:eastAsia="zh-CN" w:bidi="ar-SA"/>
        </w:rPr>
        <w:t>3.其他情况。</w:t>
      </w:r>
      <w:r>
        <w:rPr>
          <w:rFonts w:hint="default" w:ascii="Times New Roman" w:hAnsi="Times New Roman" w:eastAsia="仿宋_GB2312" w:cs="Times New Roman"/>
          <w:kern w:val="0"/>
          <w:sz w:val="32"/>
          <w:szCs w:val="32"/>
          <w:shd w:val="clear" w:color="auto" w:fill="FFFFFF"/>
          <w:lang w:val="zh-CN" w:eastAsia="zh-CN" w:bidi="ar-SA"/>
        </w:rPr>
        <w:t>支出控制在预算指标内，预算完成情况良好，严格按照财政相关规定，对财政各项资金加强监督管理，确保资金及时、足额到位，专款专用；定期按规定对财政拨付的专项资金进行自查，做好资金使用效益管理工作，充分发挥各项资金的使用效益；在项目实施过程中，严格按照专项资金管理办法和各项财务管理制度执行，项目审批流程齐全、附件资料完整，资金拨付合法合规，会计核算及时，资金使用无截留、挤占、挪用、虚列支出等情况。</w:t>
      </w:r>
    </w:p>
    <w:p w14:paraId="214E092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二、部门资金收支情况</w:t>
      </w:r>
    </w:p>
    <w:p w14:paraId="0E532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（一）部门总体收支情况。</w:t>
      </w:r>
    </w:p>
    <w:p w14:paraId="2678BA9A">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1.部门总体收入情况</w:t>
      </w:r>
      <w:r>
        <w:rPr>
          <w:rFonts w:hint="default" w:ascii="Times New Roman" w:hAnsi="Times New Roman" w:eastAsia="仿宋_GB2312" w:cs="Times New Roman"/>
          <w:b/>
          <w:bCs/>
          <w:kern w:val="0"/>
          <w:sz w:val="32"/>
          <w:szCs w:val="32"/>
          <w:shd w:val="clear" w:color="auto" w:fill="FFFFFF"/>
          <w:lang w:eastAsia="zh-CN"/>
        </w:rPr>
        <w:t>。</w:t>
      </w:r>
    </w:p>
    <w:p w14:paraId="625ACA3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年部门收入</w:t>
      </w:r>
      <w:r>
        <w:rPr>
          <w:rFonts w:hint="default" w:ascii="Times New Roman" w:hAnsi="Times New Roman" w:cs="Times New Roman"/>
          <w:sz w:val="32"/>
          <w:szCs w:val="32"/>
          <w:lang w:val="en-US" w:eastAsia="zh-CN"/>
        </w:rPr>
        <w:t>959.14</w:t>
      </w:r>
      <w:r>
        <w:rPr>
          <w:rFonts w:hint="default" w:ascii="Times New Roman" w:hAnsi="Times New Roman" w:eastAsia="仿宋_GB2312" w:cs="Times New Roman"/>
          <w:sz w:val="32"/>
          <w:szCs w:val="32"/>
          <w:lang w:val="en-US" w:eastAsia="zh-CN"/>
        </w:rPr>
        <w:t>万元。</w:t>
      </w:r>
    </w:p>
    <w:p w14:paraId="691CAE29">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2.部门总体支出情况</w:t>
      </w:r>
      <w:r>
        <w:rPr>
          <w:rFonts w:hint="default" w:ascii="Times New Roman" w:hAnsi="Times New Roman" w:eastAsia="仿宋_GB2312" w:cs="Times New Roman"/>
          <w:b/>
          <w:bCs/>
          <w:kern w:val="0"/>
          <w:sz w:val="32"/>
          <w:szCs w:val="32"/>
          <w:shd w:val="clear" w:color="auto" w:fill="FFFFFF"/>
          <w:lang w:eastAsia="zh-CN"/>
        </w:rPr>
        <w:t>。</w:t>
      </w:r>
    </w:p>
    <w:p w14:paraId="7534E57C">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年部门支出</w:t>
      </w:r>
      <w:r>
        <w:rPr>
          <w:rFonts w:hint="default" w:ascii="Times New Roman" w:hAnsi="Times New Roman" w:cs="Times New Roman"/>
          <w:sz w:val="32"/>
          <w:szCs w:val="32"/>
          <w:lang w:val="en-US" w:eastAsia="zh-CN"/>
        </w:rPr>
        <w:t>959.14</w:t>
      </w:r>
      <w:r>
        <w:rPr>
          <w:rFonts w:hint="default" w:ascii="Times New Roman" w:hAnsi="Times New Roman" w:eastAsia="仿宋_GB2312" w:cs="Times New Roman"/>
          <w:sz w:val="32"/>
          <w:szCs w:val="32"/>
          <w:lang w:val="en-US" w:eastAsia="zh-CN"/>
        </w:rPr>
        <w:t>万元。基本支出</w:t>
      </w:r>
      <w:r>
        <w:rPr>
          <w:rFonts w:hint="default" w:ascii="Times New Roman" w:hAnsi="Times New Roman" w:cs="Times New Roman"/>
          <w:sz w:val="32"/>
          <w:szCs w:val="32"/>
          <w:lang w:val="en-US" w:eastAsia="zh-CN"/>
        </w:rPr>
        <w:t>331.08</w:t>
      </w:r>
      <w:r>
        <w:rPr>
          <w:rFonts w:hint="default" w:ascii="Times New Roman" w:hAnsi="Times New Roman" w:eastAsia="仿宋_GB2312" w:cs="Times New Roman"/>
          <w:sz w:val="32"/>
          <w:szCs w:val="32"/>
          <w:lang w:val="en-US" w:eastAsia="zh-CN"/>
        </w:rPr>
        <w:t>万元，其中人员经费支出</w:t>
      </w:r>
      <w:r>
        <w:rPr>
          <w:rFonts w:hint="default" w:ascii="Times New Roman" w:hAnsi="Times New Roman" w:cs="Times New Roman"/>
          <w:sz w:val="32"/>
          <w:szCs w:val="32"/>
          <w:lang w:val="en-US" w:eastAsia="zh-CN"/>
        </w:rPr>
        <w:t>300.41</w:t>
      </w:r>
      <w:r>
        <w:rPr>
          <w:rFonts w:hint="default" w:ascii="Times New Roman" w:hAnsi="Times New Roman" w:eastAsia="仿宋_GB2312" w:cs="Times New Roman"/>
          <w:sz w:val="32"/>
          <w:szCs w:val="32"/>
          <w:lang w:val="en-US" w:eastAsia="zh-CN"/>
        </w:rPr>
        <w:t>万元，公用经费支出</w:t>
      </w:r>
      <w:r>
        <w:rPr>
          <w:rFonts w:hint="default" w:ascii="Times New Roman" w:hAnsi="Times New Roman" w:cs="Times New Roman"/>
          <w:sz w:val="32"/>
          <w:szCs w:val="32"/>
          <w:lang w:val="en-US" w:eastAsia="zh-CN"/>
        </w:rPr>
        <w:t>30.67</w:t>
      </w:r>
      <w:r>
        <w:rPr>
          <w:rFonts w:hint="default" w:ascii="Times New Roman" w:hAnsi="Times New Roman" w:eastAsia="仿宋_GB2312" w:cs="Times New Roman"/>
          <w:sz w:val="32"/>
          <w:szCs w:val="32"/>
          <w:lang w:val="en-US" w:eastAsia="zh-CN"/>
        </w:rPr>
        <w:t>万元；项目支出</w:t>
      </w:r>
      <w:r>
        <w:rPr>
          <w:rFonts w:hint="default" w:ascii="Times New Roman" w:hAnsi="Times New Roman" w:cs="Times New Roman"/>
          <w:sz w:val="32"/>
          <w:szCs w:val="32"/>
          <w:lang w:val="en-US" w:eastAsia="zh-CN"/>
        </w:rPr>
        <w:t>628.06</w:t>
      </w:r>
      <w:r>
        <w:rPr>
          <w:rFonts w:hint="default" w:ascii="Times New Roman" w:hAnsi="Times New Roman" w:eastAsia="仿宋_GB2312" w:cs="Times New Roman"/>
          <w:sz w:val="32"/>
          <w:szCs w:val="32"/>
          <w:lang w:val="en-US" w:eastAsia="zh-CN"/>
        </w:rPr>
        <w:t>万元。</w:t>
      </w:r>
    </w:p>
    <w:p w14:paraId="247B146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3.部门总体结转结余情况</w:t>
      </w:r>
      <w:r>
        <w:rPr>
          <w:rFonts w:hint="default" w:ascii="Times New Roman" w:hAnsi="Times New Roman" w:eastAsia="仿宋_GB2312" w:cs="Times New Roman"/>
          <w:b/>
          <w:bCs/>
          <w:kern w:val="0"/>
          <w:sz w:val="32"/>
          <w:szCs w:val="32"/>
          <w:shd w:val="clear" w:color="auto" w:fill="FFFFFF"/>
          <w:lang w:eastAsia="zh-CN"/>
        </w:rPr>
        <w:t>。</w:t>
      </w:r>
    </w:p>
    <w:p w14:paraId="4EC91D9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2022年无结转结余资金。</w:t>
      </w:r>
    </w:p>
    <w:p w14:paraId="0B161C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（二）部门财政拨款收支情况。</w:t>
      </w:r>
    </w:p>
    <w:p w14:paraId="6311DC83">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1.部门财政拨款收入情况</w:t>
      </w:r>
      <w:r>
        <w:rPr>
          <w:rFonts w:hint="default" w:ascii="Times New Roman" w:hAnsi="Times New Roman" w:eastAsia="仿宋_GB2312" w:cs="Times New Roman"/>
          <w:b/>
          <w:bCs/>
          <w:kern w:val="0"/>
          <w:sz w:val="32"/>
          <w:szCs w:val="32"/>
          <w:shd w:val="clear" w:color="auto" w:fill="FFFFFF"/>
          <w:lang w:eastAsia="zh-CN"/>
        </w:rPr>
        <w:t>。</w:t>
      </w:r>
    </w:p>
    <w:p w14:paraId="79ABEB14">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年财政拨款收入</w:t>
      </w:r>
      <w:r>
        <w:rPr>
          <w:rFonts w:hint="default" w:ascii="Times New Roman" w:hAnsi="Times New Roman" w:cs="Times New Roman"/>
          <w:sz w:val="32"/>
          <w:szCs w:val="32"/>
          <w:lang w:val="en-US" w:eastAsia="zh-CN"/>
        </w:rPr>
        <w:t>959.14</w:t>
      </w:r>
      <w:r>
        <w:rPr>
          <w:rFonts w:hint="default" w:ascii="Times New Roman" w:hAnsi="Times New Roman" w:eastAsia="仿宋_GB2312" w:cs="Times New Roman"/>
          <w:sz w:val="32"/>
          <w:szCs w:val="32"/>
          <w:lang w:val="en-US" w:eastAsia="zh-CN"/>
        </w:rPr>
        <w:t>万元。</w:t>
      </w:r>
    </w:p>
    <w:p w14:paraId="3A2CF8F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2.部门财政拨款支出情况</w:t>
      </w:r>
      <w:r>
        <w:rPr>
          <w:rFonts w:hint="default" w:ascii="Times New Roman" w:hAnsi="Times New Roman" w:eastAsia="仿宋_GB2312" w:cs="Times New Roman"/>
          <w:b/>
          <w:bCs/>
          <w:kern w:val="0"/>
          <w:sz w:val="32"/>
          <w:szCs w:val="32"/>
          <w:shd w:val="clear" w:color="auto" w:fill="FFFFFF"/>
          <w:lang w:eastAsia="zh-CN"/>
        </w:rPr>
        <w:t>。</w:t>
      </w:r>
    </w:p>
    <w:p w14:paraId="341B129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年财政拨款支出</w:t>
      </w:r>
      <w:r>
        <w:rPr>
          <w:rFonts w:hint="default" w:ascii="Times New Roman" w:hAnsi="Times New Roman" w:cs="Times New Roman"/>
          <w:sz w:val="32"/>
          <w:szCs w:val="32"/>
          <w:lang w:val="en-US" w:eastAsia="zh-CN"/>
        </w:rPr>
        <w:t>959.14</w:t>
      </w:r>
      <w:r>
        <w:rPr>
          <w:rFonts w:hint="default" w:ascii="Times New Roman" w:hAnsi="Times New Roman" w:eastAsia="仿宋_GB2312" w:cs="Times New Roman"/>
          <w:sz w:val="32"/>
          <w:szCs w:val="32"/>
          <w:lang w:val="en-US" w:eastAsia="zh-CN"/>
        </w:rPr>
        <w:t>万元。</w:t>
      </w:r>
    </w:p>
    <w:p w14:paraId="57EDE48E">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rPr>
        <w:t>3.部门财政拨款结转结余情况</w:t>
      </w:r>
      <w:r>
        <w:rPr>
          <w:rFonts w:hint="default" w:ascii="Times New Roman" w:hAnsi="Times New Roman" w:eastAsia="仿宋_GB2312" w:cs="Times New Roman"/>
          <w:b/>
          <w:bCs/>
          <w:kern w:val="0"/>
          <w:sz w:val="32"/>
          <w:szCs w:val="32"/>
          <w:shd w:val="clear" w:color="auto" w:fill="FFFFFF"/>
          <w:lang w:eastAsia="zh-CN"/>
        </w:rPr>
        <w:t>。</w:t>
      </w:r>
    </w:p>
    <w:p w14:paraId="1524CDA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val="en-US" w:eastAsia="zh-CN"/>
        </w:rPr>
        <w:t>2022年无财政拨款结转结余资金。</w:t>
      </w:r>
    </w:p>
    <w:p w14:paraId="5AA4CED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FF0000"/>
          <w:kern w:val="0"/>
          <w:sz w:val="32"/>
          <w:szCs w:val="32"/>
          <w:shd w:val="clear" w:color="auto" w:fill="FFFFFF"/>
        </w:rPr>
      </w:pPr>
      <w:r>
        <w:rPr>
          <w:rFonts w:hint="default" w:ascii="Times New Roman" w:hAnsi="Times New Roman" w:eastAsia="黑体" w:cs="Times New Roman"/>
          <w:kern w:val="0"/>
          <w:sz w:val="32"/>
          <w:szCs w:val="32"/>
          <w:shd w:val="clear" w:color="auto" w:fill="FFFFFF"/>
        </w:rPr>
        <w:t>三、部门整体绩效分析</w:t>
      </w:r>
    </w:p>
    <w:p w14:paraId="2E7909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（一）部门预算项目绩效分析。</w:t>
      </w:r>
    </w:p>
    <w:p w14:paraId="4873D8B0">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FF0000"/>
          <w:kern w:val="0"/>
          <w:sz w:val="32"/>
          <w:szCs w:val="32"/>
          <w:shd w:val="clear" w:color="auto" w:fill="FFFFFF"/>
          <w:lang w:val="zh-CN" w:eastAsia="zh-CN"/>
        </w:rPr>
      </w:pPr>
      <w:r>
        <w:rPr>
          <w:rFonts w:hint="default" w:ascii="Times New Roman" w:hAnsi="Times New Roman" w:eastAsia="仿宋_GB2312" w:cs="Times New Roman"/>
          <w:b/>
          <w:bCs/>
          <w:kern w:val="0"/>
          <w:sz w:val="32"/>
          <w:szCs w:val="32"/>
          <w:shd w:val="clear" w:color="auto" w:fill="FFFFFF"/>
        </w:rPr>
        <w:t>1.人员类项目绩效分析</w:t>
      </w:r>
      <w:r>
        <w:rPr>
          <w:rFonts w:hint="default" w:ascii="Times New Roman" w:hAnsi="Times New Roman" w:eastAsia="仿宋_GB2312" w:cs="Times New Roman"/>
          <w:b/>
          <w:bCs/>
          <w:kern w:val="0"/>
          <w:sz w:val="32"/>
          <w:szCs w:val="32"/>
          <w:shd w:val="clear" w:color="auto" w:fill="FFFFFF"/>
          <w:lang w:eastAsia="zh-CN"/>
        </w:rPr>
        <w:t>。</w:t>
      </w:r>
    </w:p>
    <w:p w14:paraId="39869F7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auto"/>
          <w:kern w:val="0"/>
          <w:sz w:val="32"/>
          <w:szCs w:val="32"/>
          <w:shd w:val="clear" w:color="auto" w:fill="FFFFFF"/>
          <w:lang w:val="en-US" w:eastAsia="zh-CN"/>
        </w:rPr>
        <w:t>人员类项目资金主要包括人员工资、养老保险、医疗保险、住房公积金等人员经费。绩效目标主要是保障人员经费按时发放、足额缴纳。预算支出规范，无超预算的现象，严格按照审批资金支付，执行进度达100%；项目预算编制完整，无未纳入预算的支出；预算支出控制率高；预算动态调整依规定执行；预算目标完成预期；无资金结余和违规记录。</w:t>
      </w:r>
    </w:p>
    <w:p w14:paraId="46F6CC1C">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FFFFFF"/>
          <w14:textFill>
            <w14:solidFill>
              <w14:schemeClr w14:val="tx1"/>
            </w14:solidFill>
          </w14:textFill>
        </w:rPr>
        <w:t>2.运转类项目绩效分析</w:t>
      </w:r>
      <w:r>
        <w:rPr>
          <w:rFonts w:hint="default" w:ascii="Times New Roman" w:hAnsi="Times New Roman" w:eastAsia="仿宋_GB2312" w:cs="Times New Roman"/>
          <w:b/>
          <w:bCs/>
          <w:color w:val="000000" w:themeColor="text1"/>
          <w:kern w:val="0"/>
          <w:sz w:val="32"/>
          <w:szCs w:val="32"/>
          <w:shd w:val="clear" w:color="auto" w:fill="FFFFFF"/>
          <w:lang w:eastAsia="zh-CN"/>
          <w14:textFill>
            <w14:solidFill>
              <w14:schemeClr w14:val="tx1"/>
            </w14:solidFill>
          </w14:textFill>
        </w:rPr>
        <w:t>。</w:t>
      </w:r>
    </w:p>
    <w:p w14:paraId="359105D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运转类项目资金主要包括办公费、水费、电费、邮电费、差旅费、公务接待费等公用经费。</w:t>
      </w:r>
      <w:r>
        <w:rPr>
          <w:rFonts w:hint="default" w:ascii="Times New Roman" w:hAnsi="Times New Roman" w:eastAsia="仿宋_GB2312" w:cs="Times New Roman"/>
          <w:color w:val="auto"/>
          <w:kern w:val="0"/>
          <w:sz w:val="32"/>
          <w:szCs w:val="32"/>
          <w:shd w:val="clear" w:color="auto" w:fill="FFFFFF"/>
          <w:lang w:val="en-US" w:eastAsia="zh-CN"/>
        </w:rPr>
        <w:t>绩效目标主要是保障机关正常运行。预算支出规范，无超预算的现象，严格按照审批资金支付，执行进度达100%；项目预算编制完整，无未纳入预算的支出；预算支出控制率高；预算动态调整依规定执行；预算目标完成预期；无资金结余和违规记录。</w:t>
      </w:r>
    </w:p>
    <w:p w14:paraId="60FEFBF2">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default" w:ascii="Times New Roman" w:hAnsi="Times New Roman" w:eastAsia="仿宋_GB2312" w:cs="Times New Roman"/>
          <w:b/>
          <w:bCs/>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FFFFFF"/>
          <w14:textFill>
            <w14:solidFill>
              <w14:schemeClr w14:val="tx1"/>
            </w14:solidFill>
          </w14:textFill>
        </w:rPr>
        <w:t>3.特定目标类项目绩效分析</w:t>
      </w:r>
      <w:r>
        <w:rPr>
          <w:rFonts w:hint="default" w:ascii="Times New Roman" w:hAnsi="Times New Roman" w:eastAsia="仿宋_GB2312" w:cs="Times New Roman"/>
          <w:b/>
          <w:bCs/>
          <w:color w:val="000000" w:themeColor="text1"/>
          <w:kern w:val="0"/>
          <w:sz w:val="32"/>
          <w:szCs w:val="32"/>
          <w:shd w:val="clear" w:color="auto" w:fill="FFFFFF"/>
          <w:lang w:eastAsia="zh-CN"/>
          <w14:textFill>
            <w14:solidFill>
              <w14:schemeClr w14:val="tx1"/>
            </w14:solidFill>
          </w14:textFill>
        </w:rPr>
        <w:t>。</w:t>
      </w:r>
    </w:p>
    <w:p w14:paraId="41ED89A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特定目标类项目资金主要包括医疗救助资金、离休干部医疗费等项目经费。</w:t>
      </w:r>
      <w:r>
        <w:rPr>
          <w:rFonts w:hint="default" w:ascii="Times New Roman" w:hAnsi="Times New Roman" w:eastAsia="仿宋_GB2312" w:cs="Times New Roman"/>
          <w:color w:val="auto"/>
          <w:kern w:val="0"/>
          <w:sz w:val="32"/>
          <w:szCs w:val="32"/>
          <w:shd w:val="clear" w:color="auto" w:fill="FFFFFF"/>
          <w:lang w:val="en-US" w:eastAsia="zh-CN"/>
        </w:rPr>
        <w:t>绩效目标主要是根据各个项目的实施进度，按时支付资金，保障各个项目正常开展。预算支出规范，无超预算的现象，严格按照审批资金支付，执行进度达100%；项目资金预算办法科学，考虑的因素必要合理，无超预算的现象；预算支出控制率高；预算动态调整依规定执行；预算目标完成预期；无资金结余和违规记录。</w:t>
      </w:r>
    </w:p>
    <w:p w14:paraId="2E68DE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（二）部门整体履职绩效分析。</w:t>
      </w:r>
    </w:p>
    <w:p w14:paraId="5E01FAB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zh-CN"/>
          <w14:textFill>
            <w14:solidFill>
              <w14:schemeClr w14:val="tx1"/>
            </w14:solidFill>
          </w14:textFill>
        </w:rPr>
        <w:t>部门整体绩效目标完成情况很好。根据应保尽保原则，推动各类人群全面参保，确保完成上级任务；抓好异地就医直接结算各项工作落实，加强定点医药机构执行协议管理，持续推进医保支付方式改革；加强监督管理，规范医疗机构采购行为，做好国家和省集中带量采购药品、耗材的落地执行；深入推进医保领域“放管服”改革，不断加强基层医保经办公共服务扁平化、高效化管理，全面提升医保服务水平，保障参保人员待遇问题；深入开展医保专项治理、基金监管抽查复查等行动，营造维护医保基金安全的社会合力，维护医保基金安全；紧紧围绕县委、县政府中心工作，完成各项任务。</w:t>
      </w:r>
    </w:p>
    <w:p w14:paraId="1792B2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（三）结果应用情况。</w:t>
      </w:r>
    </w:p>
    <w:p w14:paraId="1B84276F">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lang w:val="zh-CN" w:eastAsia="zh-CN"/>
          <w14:textFill>
            <w14:solidFill>
              <w14:schemeClr w14:val="tx1"/>
            </w14:solidFill>
          </w14:textFill>
        </w:rPr>
        <w:t>年初预算制定部门预算整体绩效目标，项目绩效目标。具体实施过程中对照绩效目标，核对是否完成，对有偏离的及时修改。项目完成后对项目开展自评工作，并按要求在统一政府网站向社会公开。评价结果的运用是判断评价工作能否取得成效的主要依据，也是保证这项工作持续、深入发展的基本前提。财政绩效评价还是加强财政支出管理、合理配置公共资源、优化财政支出结构、提高资金使用效益的重要手段。应高度重视绩效评价工作，提高评价质量，应用于平时资金支付过程中。</w:t>
      </w:r>
    </w:p>
    <w:p w14:paraId="1B6A772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val="0"/>
          <w:bCs w:val="0"/>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（四）</w:t>
      </w:r>
      <w:r>
        <w:rPr>
          <w:rFonts w:hint="default" w:ascii="Times New Roman" w:hAnsi="Times New Roman" w:eastAsia="楷体_GB2312" w:cs="Times New Roman"/>
          <w:b w:val="0"/>
          <w:bCs w:val="0"/>
          <w:color w:val="000000" w:themeColor="text1"/>
          <w:kern w:val="0"/>
          <w:sz w:val="32"/>
          <w:szCs w:val="32"/>
          <w:shd w:val="clear" w:color="auto" w:fill="FFFFFF"/>
          <w:lang w:val="zh-CN"/>
          <w14:textFill>
            <w14:solidFill>
              <w14:schemeClr w14:val="tx1"/>
            </w14:solidFill>
          </w14:textFill>
        </w:rPr>
        <w:t>自评质量。</w:t>
      </w:r>
    </w:p>
    <w:p w14:paraId="4750C18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本单位已按照本级财政要求强化绩效管理理念，秉承客观公正、实事求是的原则开展了单位自评工作。安排项目经办人实施，相关人员监督，做到严格审核，落实项目实施运行及资金使用情况，及时开展、报送绩效自评相关材料。抓好绩效目标编制，加强过程监控，深入开展财政支出绩效评价，强化评价结果应用，组织绩效自评和绩效跟踪监控，对发现的问题及时反馈并要求改进，加强评价结果与项目资金安排的衔接。强化日常监管，确保资金使用效益。</w:t>
      </w:r>
    </w:p>
    <w:p w14:paraId="009CBDF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黑体"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黑体" w:cs="Times New Roman"/>
          <w:color w:val="000000" w:themeColor="text1"/>
          <w:kern w:val="0"/>
          <w:sz w:val="32"/>
          <w:szCs w:val="32"/>
          <w:shd w:val="clear" w:color="auto" w:fill="FFFFFF"/>
          <w14:textFill>
            <w14:solidFill>
              <w14:schemeClr w14:val="tx1"/>
            </w14:solidFill>
          </w14:textFill>
        </w:rPr>
        <w:t>四、评价结论及建议</w:t>
      </w:r>
    </w:p>
    <w:p w14:paraId="2C3F1B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（一）评价结论。</w:t>
      </w:r>
    </w:p>
    <w:p w14:paraId="5DC04A2A">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bCs/>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仿宋_GB2312" w:cs="Times New Roman"/>
          <w:sz w:val="32"/>
          <w:szCs w:val="32"/>
        </w:rPr>
        <w:t>部门预算编制规范、准确，各项经费足额纳入预算安排，确保了部门正常运转和专项工作的顺利开展，较好</w:t>
      </w:r>
      <w:r>
        <w:rPr>
          <w:rFonts w:hint="eastAsia" w:eastAsia="仿宋_GB2312" w:cs="Times New Roman"/>
          <w:sz w:val="32"/>
          <w:szCs w:val="32"/>
          <w:lang w:eastAsia="zh-CN"/>
        </w:rPr>
        <w:t>地</w:t>
      </w:r>
      <w:r>
        <w:rPr>
          <w:rFonts w:hint="default" w:ascii="Times New Roman" w:hAnsi="Times New Roman" w:eastAsia="仿宋_GB2312" w:cs="Times New Roman"/>
          <w:sz w:val="32"/>
          <w:szCs w:val="32"/>
        </w:rPr>
        <w:t>完成年初绩效目标任务</w:t>
      </w:r>
      <w:r>
        <w:rPr>
          <w:rFonts w:hint="default" w:ascii="Times New Roman" w:hAnsi="Times New Roman" w:eastAsia="仿宋_GB2312" w:cs="Times New Roman"/>
          <w:sz w:val="32"/>
          <w:szCs w:val="32"/>
          <w:lang w:eastAsia="zh-CN"/>
        </w:rPr>
        <w:t>。经自我评价，项目资金申报与实际相符。资金支付及时，不存在截留、挪用专项资金的违</w:t>
      </w:r>
      <w:r>
        <w:rPr>
          <w:rFonts w:hint="default" w:ascii="Times New Roman" w:hAnsi="Times New Roman" w:eastAsia="仿宋_GB2312" w:cs="Times New Roman"/>
          <w:color w:val="auto"/>
          <w:sz w:val="32"/>
          <w:szCs w:val="32"/>
          <w:lang w:eastAsia="zh-CN"/>
        </w:rPr>
        <w:t>规情况</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资金</w:t>
      </w:r>
      <w:r>
        <w:rPr>
          <w:rFonts w:hint="default" w:ascii="Times New Roman" w:hAnsi="Times New Roman" w:cs="Times New Roman"/>
          <w:color w:val="auto"/>
          <w:sz w:val="32"/>
          <w:szCs w:val="32"/>
          <w:lang w:eastAsia="zh-CN"/>
        </w:rPr>
        <w:t>支付</w:t>
      </w:r>
      <w:r>
        <w:rPr>
          <w:rFonts w:hint="default" w:ascii="Times New Roman" w:hAnsi="Times New Roman" w:eastAsia="仿宋_GB2312" w:cs="Times New Roman"/>
          <w:color w:val="auto"/>
          <w:sz w:val="32"/>
          <w:szCs w:val="32"/>
          <w:lang w:eastAsia="zh-CN"/>
        </w:rPr>
        <w:t>程序合法、合规</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资金使用目标明确，受益群体满意度较高，全面达到预期目标。</w:t>
      </w:r>
    </w:p>
    <w:p w14:paraId="23702FC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（二）存在问题。</w:t>
      </w:r>
    </w:p>
    <w:p w14:paraId="42311D8B">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单位内部预算管理和绩效理念还未牢固树立，对预算编制、预算执行的监督结果实际运用不够；单位绩效评价体系还不够完善，绩效评价能力还有待加强。</w:t>
      </w:r>
    </w:p>
    <w:p w14:paraId="5A67FDB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（三）改进建议。</w:t>
      </w:r>
    </w:p>
    <w:p w14:paraId="1D258E98">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zh-CN" w:eastAsia="zh-CN"/>
        </w:rPr>
        <w:t>随着绩效评价工作的重要性、准确性、完整性加强，应加强认识，统筹协调各部门参与到预算编制、项目申报。进一步提高绩效评价工作效率，从而完善预算绩效管理制度，优化资金使用。</w:t>
      </w:r>
    </w:p>
    <w:p w14:paraId="406F1398">
      <w:pPr>
        <w:spacing w:line="560" w:lineRule="exact"/>
        <w:ind w:firstLine="640" w:firstLineChars="200"/>
        <w:rPr>
          <w:rFonts w:hint="default" w:ascii="Times New Roman" w:hAnsi="Times New Roman" w:eastAsia="仿宋_GB2312" w:cs="Times New Roman"/>
          <w:color w:val="auto"/>
          <w:sz w:val="32"/>
          <w:szCs w:val="32"/>
          <w:lang w:val="zh-CN" w:eastAsia="zh-CN"/>
        </w:rPr>
      </w:pPr>
    </w:p>
    <w:p w14:paraId="384E951A">
      <w:pPr>
        <w:pStyle w:val="14"/>
        <w:spacing w:line="560" w:lineRule="exact"/>
        <w:ind w:left="0" w:leftChars="0" w:firstLine="640"/>
        <w:rPr>
          <w:rFonts w:hint="default" w:ascii="Times New Roman" w:hAnsi="Times New Roman" w:eastAsia="仿宋_GB2312" w:cs="Times New Roman"/>
          <w:color w:val="000000" w:themeColor="text1"/>
          <w:sz w:val="32"/>
          <w:lang w:val="zh-CN"/>
          <w14:textFill>
            <w14:solidFill>
              <w14:schemeClr w14:val="tx1"/>
            </w14:solidFill>
          </w14:textFill>
        </w:rPr>
      </w:pPr>
    </w:p>
    <w:p w14:paraId="6DC387ED">
      <w:pPr>
        <w:pStyle w:val="14"/>
        <w:spacing w:line="560" w:lineRule="exact"/>
        <w:ind w:left="0" w:leftChars="0" w:firstLine="640"/>
        <w:rPr>
          <w:rFonts w:hint="default" w:ascii="Times New Roman" w:hAnsi="Times New Roman" w:eastAsia="仿宋_GB2312" w:cs="Times New Roman"/>
          <w:color w:val="000000" w:themeColor="text1"/>
          <w:sz w:val="32"/>
          <w:lang w:val="zh-CN"/>
          <w14:textFill>
            <w14:solidFill>
              <w14:schemeClr w14:val="tx1"/>
            </w14:solidFill>
          </w14:textFill>
        </w:rPr>
      </w:pPr>
    </w:p>
    <w:p w14:paraId="2727B29B">
      <w:pPr>
        <w:pStyle w:val="14"/>
        <w:spacing w:line="560" w:lineRule="exact"/>
        <w:ind w:left="0" w:leftChars="0" w:firstLine="640"/>
        <w:rPr>
          <w:rFonts w:hint="default" w:ascii="Times New Roman" w:hAnsi="Times New Roman" w:eastAsia="仿宋_GB2312" w:cs="Times New Roman"/>
          <w:color w:val="000000" w:themeColor="text1"/>
          <w:sz w:val="32"/>
          <w:lang w:val="zh-CN"/>
          <w14:textFill>
            <w14:solidFill>
              <w14:schemeClr w14:val="tx1"/>
            </w14:solidFill>
          </w14:textFill>
        </w:rPr>
      </w:pPr>
    </w:p>
    <w:p w14:paraId="07BE47CF">
      <w:pPr>
        <w:pStyle w:val="14"/>
        <w:spacing w:line="560" w:lineRule="exact"/>
        <w:ind w:left="0" w:leftChars="0" w:firstLine="640"/>
        <w:rPr>
          <w:rFonts w:hint="default" w:ascii="Times New Roman" w:hAnsi="Times New Roman" w:eastAsia="仿宋_GB2312" w:cs="Times New Roman"/>
          <w:color w:val="000000" w:themeColor="text1"/>
          <w:sz w:val="32"/>
          <w:lang w:val="zh-CN"/>
          <w14:textFill>
            <w14:solidFill>
              <w14:schemeClr w14:val="tx1"/>
            </w14:solidFill>
          </w14:textFill>
        </w:rPr>
        <w:sectPr>
          <w:footerReference r:id="rId10" w:type="first"/>
          <w:footerReference r:id="rId9" w:type="default"/>
          <w:pgSz w:w="11906" w:h="16838"/>
          <w:pgMar w:top="1440" w:right="1800" w:bottom="1440" w:left="1800" w:header="851" w:footer="482" w:gutter="0"/>
          <w:pgNumType w:fmt="numberInDash" w:start="1"/>
          <w:cols w:space="0" w:num="1"/>
          <w:titlePg/>
          <w:rtlGutter w:val="0"/>
          <w:docGrid w:type="lines" w:linePitch="312" w:charSpace="0"/>
        </w:sectPr>
      </w:pPr>
    </w:p>
    <w:p w14:paraId="1847720A">
      <w:pPr>
        <w:pStyle w:val="14"/>
        <w:spacing w:line="560" w:lineRule="exact"/>
        <w:ind w:left="0" w:leftChars="0" w:firstLine="640"/>
        <w:rPr>
          <w:rFonts w:hint="default" w:ascii="Times New Roman" w:hAnsi="Times New Roman" w:eastAsia="仿宋_GB2312" w:cs="Times New Roman"/>
          <w:color w:val="000000" w:themeColor="text1"/>
          <w:sz w:val="32"/>
          <w14:textFill>
            <w14:solidFill>
              <w14:schemeClr w14:val="tx1"/>
            </w14:solidFill>
          </w14:textFill>
        </w:rPr>
      </w:pPr>
      <w:r>
        <w:rPr>
          <w:rFonts w:hint="default" w:ascii="Times New Roman" w:hAnsi="Times New Roman" w:eastAsia="仿宋_GB2312" w:cs="Times New Roman"/>
          <w:color w:val="000000" w:themeColor="text1"/>
          <w:sz w:val="32"/>
          <w:lang w:val="zh-CN"/>
          <w14:textFill>
            <w14:solidFill>
              <w14:schemeClr w14:val="tx1"/>
            </w14:solidFill>
          </w14:textFill>
        </w:rPr>
        <w:t>附表：</w:t>
      </w:r>
      <w:r>
        <w:rPr>
          <w:rFonts w:hint="default" w:ascii="Times New Roman" w:hAnsi="Times New Roman" w:eastAsia="仿宋_GB2312" w:cs="Times New Roman"/>
          <w:color w:val="000000" w:themeColor="text1"/>
          <w:sz w:val="32"/>
          <w14:textFill>
            <w14:solidFill>
              <w14:schemeClr w14:val="tx1"/>
            </w14:solidFill>
          </w14:textFill>
        </w:rPr>
        <w:t>部门预算项目支出绩效自评表（2022年度）</w:t>
      </w:r>
    </w:p>
    <w:p w14:paraId="1064F9CE">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640"/>
        <w:textAlignment w:val="auto"/>
      </w:pPr>
      <w:r>
        <w:drawing>
          <wp:inline distT="0" distB="0" distL="114300" distR="114300">
            <wp:extent cx="8512175" cy="5819140"/>
            <wp:effectExtent l="0" t="0" r="3175" b="10160"/>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0"/>
                    <a:stretch>
                      <a:fillRect/>
                    </a:stretch>
                  </pic:blipFill>
                  <pic:spPr>
                    <a:xfrm>
                      <a:off x="0" y="0"/>
                      <a:ext cx="8512175" cy="5819140"/>
                    </a:xfrm>
                    <a:prstGeom prst="rect">
                      <a:avLst/>
                    </a:prstGeom>
                    <a:noFill/>
                    <a:ln>
                      <a:noFill/>
                    </a:ln>
                  </pic:spPr>
                </pic:pic>
              </a:graphicData>
            </a:graphic>
          </wp:inline>
        </w:drawing>
      </w:r>
    </w:p>
    <w:p w14:paraId="46264FAA">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lang w:val="en-US" w:eastAsia="zh-CN"/>
        </w:rPr>
        <w:t xml:space="preserve">   </w:t>
      </w:r>
      <w:r>
        <w:drawing>
          <wp:inline distT="0" distB="0" distL="114300" distR="114300">
            <wp:extent cx="8704580" cy="6188710"/>
            <wp:effectExtent l="0" t="0" r="1270" b="254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21"/>
                    <a:stretch>
                      <a:fillRect/>
                    </a:stretch>
                  </pic:blipFill>
                  <pic:spPr>
                    <a:xfrm>
                      <a:off x="0" y="0"/>
                      <a:ext cx="8704580" cy="6188710"/>
                    </a:xfrm>
                    <a:prstGeom prst="rect">
                      <a:avLst/>
                    </a:prstGeom>
                    <a:noFill/>
                    <a:ln>
                      <a:noFill/>
                    </a:ln>
                  </pic:spPr>
                </pic:pic>
              </a:graphicData>
            </a:graphic>
          </wp:inline>
        </w:drawing>
      </w:r>
    </w:p>
    <w:p w14:paraId="508BB88D">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lang w:val="en-US" w:eastAsia="zh-CN"/>
        </w:rPr>
        <w:t xml:space="preserve">    </w:t>
      </w:r>
      <w:r>
        <w:drawing>
          <wp:inline distT="0" distB="0" distL="114300" distR="114300">
            <wp:extent cx="8671560" cy="6262370"/>
            <wp:effectExtent l="0" t="0" r="15240" b="508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22"/>
                    <a:stretch>
                      <a:fillRect/>
                    </a:stretch>
                  </pic:blipFill>
                  <pic:spPr>
                    <a:xfrm>
                      <a:off x="0" y="0"/>
                      <a:ext cx="8671560" cy="6262370"/>
                    </a:xfrm>
                    <a:prstGeom prst="rect">
                      <a:avLst/>
                    </a:prstGeom>
                    <a:noFill/>
                    <a:ln>
                      <a:noFill/>
                    </a:ln>
                  </pic:spPr>
                </pic:pic>
              </a:graphicData>
            </a:graphic>
          </wp:inline>
        </w:drawing>
      </w:r>
    </w:p>
    <w:p w14:paraId="0AEA333F">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lang w:val="en-US" w:eastAsia="zh-CN"/>
        </w:rPr>
        <w:t xml:space="preserve">   </w:t>
      </w:r>
      <w:r>
        <w:drawing>
          <wp:inline distT="0" distB="0" distL="114300" distR="114300">
            <wp:extent cx="8832215" cy="6155055"/>
            <wp:effectExtent l="0" t="0" r="6985" b="17145"/>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23"/>
                    <a:stretch>
                      <a:fillRect/>
                    </a:stretch>
                  </pic:blipFill>
                  <pic:spPr>
                    <a:xfrm>
                      <a:off x="0" y="0"/>
                      <a:ext cx="8832215" cy="6155055"/>
                    </a:xfrm>
                    <a:prstGeom prst="rect">
                      <a:avLst/>
                    </a:prstGeom>
                    <a:noFill/>
                    <a:ln>
                      <a:noFill/>
                    </a:ln>
                  </pic:spPr>
                </pic:pic>
              </a:graphicData>
            </a:graphic>
          </wp:inline>
        </w:drawing>
      </w:r>
    </w:p>
    <w:p w14:paraId="326BA188">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lang w:val="en-US" w:eastAsia="zh-CN"/>
        </w:rPr>
        <w:t xml:space="preserve">  </w:t>
      </w:r>
      <w:r>
        <w:drawing>
          <wp:inline distT="0" distB="0" distL="114300" distR="114300">
            <wp:extent cx="8898890" cy="6182995"/>
            <wp:effectExtent l="0" t="0" r="16510" b="8255"/>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24"/>
                    <a:stretch>
                      <a:fillRect/>
                    </a:stretch>
                  </pic:blipFill>
                  <pic:spPr>
                    <a:xfrm>
                      <a:off x="0" y="0"/>
                      <a:ext cx="8898890" cy="6182995"/>
                    </a:xfrm>
                    <a:prstGeom prst="rect">
                      <a:avLst/>
                    </a:prstGeom>
                    <a:noFill/>
                    <a:ln>
                      <a:noFill/>
                    </a:ln>
                  </pic:spPr>
                </pic:pic>
              </a:graphicData>
            </a:graphic>
          </wp:inline>
        </w:drawing>
      </w:r>
    </w:p>
    <w:p w14:paraId="077F4E86">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pPr>
      <w:r>
        <w:rPr>
          <w:rFonts w:hint="eastAsia"/>
          <w:lang w:val="en-US" w:eastAsia="zh-CN"/>
        </w:rPr>
        <w:t xml:space="preserve">   </w:t>
      </w:r>
      <w:r>
        <w:drawing>
          <wp:inline distT="0" distB="0" distL="114300" distR="114300">
            <wp:extent cx="8756650" cy="6269990"/>
            <wp:effectExtent l="0" t="0" r="6350" b="1651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25"/>
                    <a:stretch>
                      <a:fillRect/>
                    </a:stretch>
                  </pic:blipFill>
                  <pic:spPr>
                    <a:xfrm>
                      <a:off x="0" y="0"/>
                      <a:ext cx="8756650" cy="6269990"/>
                    </a:xfrm>
                    <a:prstGeom prst="rect">
                      <a:avLst/>
                    </a:prstGeom>
                    <a:noFill/>
                    <a:ln>
                      <a:noFill/>
                    </a:ln>
                  </pic:spPr>
                </pic:pic>
              </a:graphicData>
            </a:graphic>
          </wp:inline>
        </w:drawing>
      </w:r>
    </w:p>
    <w:p w14:paraId="6EAD99EB">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lang w:val="zh-CN"/>
        </w:rPr>
        <w:sectPr>
          <w:pgSz w:w="16838" w:h="11906" w:orient="landscape"/>
          <w:pgMar w:top="952" w:right="1157" w:bottom="839" w:left="1157" w:header="567" w:footer="482" w:gutter="0"/>
          <w:pgNumType w:fmt="numberInDash"/>
          <w:cols w:space="0" w:num="1"/>
          <w:titlePg/>
          <w:rtlGutter w:val="0"/>
          <w:docGrid w:type="lines" w:linePitch="312" w:charSpace="0"/>
        </w:sectPr>
      </w:pPr>
      <w:r>
        <w:rPr>
          <w:rFonts w:hint="eastAsia"/>
          <w:lang w:val="en-US" w:eastAsia="zh-CN"/>
        </w:rPr>
        <w:t xml:space="preserve">    </w:t>
      </w:r>
      <w:r>
        <w:drawing>
          <wp:inline distT="0" distB="0" distL="114300" distR="114300">
            <wp:extent cx="8713470" cy="6242685"/>
            <wp:effectExtent l="0" t="0" r="11430" b="5715"/>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26"/>
                    <a:stretch>
                      <a:fillRect/>
                    </a:stretch>
                  </pic:blipFill>
                  <pic:spPr>
                    <a:xfrm>
                      <a:off x="0" y="0"/>
                      <a:ext cx="8713470" cy="6242685"/>
                    </a:xfrm>
                    <a:prstGeom prst="rect">
                      <a:avLst/>
                    </a:prstGeom>
                    <a:noFill/>
                    <a:ln>
                      <a:noFill/>
                    </a:ln>
                  </pic:spPr>
                </pic:pic>
              </a:graphicData>
            </a:graphic>
          </wp:inline>
        </w:drawing>
      </w:r>
    </w:p>
    <w:p w14:paraId="3C0856F9">
      <w:pPr>
        <w:widowControl/>
        <w:spacing w:line="560" w:lineRule="exact"/>
        <w:contextualSpacing/>
        <w:rPr>
          <w:rFonts w:hint="default" w:ascii="Times New Roman" w:hAnsi="Times New Roman" w:eastAsia="黑体" w:cs="Times New Roman"/>
          <w:b w:val="0"/>
          <w:bCs/>
          <w:sz w:val="32"/>
          <w:szCs w:val="32"/>
          <w:shd w:val="clear" w:color="auto" w:fill="FFFFFF"/>
        </w:rPr>
      </w:pPr>
      <w:r>
        <w:rPr>
          <w:rFonts w:hint="default" w:ascii="Times New Roman" w:hAnsi="Times New Roman" w:eastAsia="黑体" w:cs="Times New Roman"/>
          <w:b w:val="0"/>
          <w:bCs/>
          <w:sz w:val="32"/>
          <w:szCs w:val="32"/>
          <w:shd w:val="clear" w:color="auto" w:fill="FFFFFF"/>
          <w:lang w:val="zh-CN"/>
        </w:rPr>
        <w:t>附件</w:t>
      </w:r>
      <w:r>
        <w:rPr>
          <w:rFonts w:hint="default" w:ascii="Times New Roman" w:hAnsi="Times New Roman" w:eastAsia="黑体" w:cs="Times New Roman"/>
          <w:b w:val="0"/>
          <w:bCs/>
          <w:sz w:val="32"/>
          <w:szCs w:val="32"/>
          <w:shd w:val="clear" w:color="auto" w:fill="FFFFFF"/>
        </w:rPr>
        <w:t>2</w:t>
      </w:r>
    </w:p>
    <w:p w14:paraId="0672FC63">
      <w:pPr>
        <w:widowControl/>
        <w:spacing w:line="560" w:lineRule="exact"/>
        <w:contextualSpacing/>
        <w:rPr>
          <w:rFonts w:hint="default" w:ascii="Times New Roman" w:hAnsi="Times New Roman" w:eastAsia="黑体" w:cs="Times New Roman"/>
          <w:b w:val="0"/>
          <w:bCs/>
          <w:sz w:val="32"/>
          <w:szCs w:val="32"/>
          <w:shd w:val="clear" w:color="auto" w:fill="FFFFFF"/>
        </w:rPr>
      </w:pPr>
    </w:p>
    <w:p w14:paraId="56CD4FEE">
      <w:pPr>
        <w:pStyle w:val="3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kern w:val="2"/>
          <w:sz w:val="44"/>
          <w:szCs w:val="44"/>
          <w:lang w:val="en-US"/>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val="en-US"/>
          <w14:textFill>
            <w14:solidFill>
              <w14:schemeClr w14:val="tx1"/>
            </w14:solidFill>
          </w14:textFill>
        </w:rPr>
        <w:t>2023年专项资金预算项目绩效自评报告</w:t>
      </w:r>
    </w:p>
    <w:p w14:paraId="6A688F1B">
      <w:pPr>
        <w:pStyle w:val="34"/>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000000" w:themeColor="text1"/>
          <w:kern w:val="2"/>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val="en-US" w:eastAsia="zh-CN"/>
          <w14:textFill>
            <w14:solidFill>
              <w14:schemeClr w14:val="tx1"/>
            </w14:solidFill>
          </w14:textFill>
        </w:rPr>
        <w:t>（医疗救助资金）</w:t>
      </w:r>
    </w:p>
    <w:p w14:paraId="5C69324B">
      <w:pPr>
        <w:pStyle w:val="34"/>
        <w:spacing w:line="578" w:lineRule="exact"/>
        <w:ind w:firstLine="640"/>
        <w:jc w:val="center"/>
        <w:rPr>
          <w:rFonts w:hint="default" w:ascii="Times New Roman" w:hAnsi="Times New Roman" w:cs="Times New Roman"/>
          <w:color w:val="auto"/>
          <w:kern w:val="2"/>
          <w:sz w:val="32"/>
          <w:szCs w:val="32"/>
        </w:rPr>
      </w:pPr>
    </w:p>
    <w:p w14:paraId="7C18329F">
      <w:pPr>
        <w:adjustRightInd w:val="0"/>
        <w:snapToGrid w:val="0"/>
        <w:spacing w:line="578" w:lineRule="exact"/>
        <w:ind w:firstLine="72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14:paraId="6E86C31B">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（一）项目基本情况。</w:t>
      </w:r>
    </w:p>
    <w:p w14:paraId="0A8CA018">
      <w:pPr>
        <w:numPr>
          <w:ilvl w:val="0"/>
          <w:numId w:val="0"/>
        </w:numPr>
        <w:spacing w:line="560" w:lineRule="exact"/>
        <w:ind w:firstLine="643" w:firstLineChars="200"/>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1</w:t>
      </w:r>
      <w:r>
        <w:rPr>
          <w:rFonts w:hint="default" w:ascii="Times New Roman" w:hAnsi="Times New Roman" w:eastAsia="仿宋_GB2312" w:cs="Times New Roman"/>
          <w:b/>
          <w:bCs/>
          <w:kern w:val="0"/>
          <w:sz w:val="32"/>
          <w:szCs w:val="32"/>
          <w:shd w:val="clear" w:color="auto" w:fill="FFFFFF"/>
          <w:lang w:val="en-US" w:eastAsia="zh-CN"/>
        </w:rPr>
        <w:t>.</w:t>
      </w:r>
      <w:r>
        <w:rPr>
          <w:rFonts w:hint="default" w:ascii="Times New Roman" w:hAnsi="Times New Roman" w:eastAsia="仿宋_GB2312" w:cs="Times New Roman"/>
          <w:b/>
          <w:bCs/>
          <w:kern w:val="0"/>
          <w:sz w:val="32"/>
          <w:szCs w:val="32"/>
          <w:shd w:val="clear" w:color="auto" w:fill="FFFFFF"/>
          <w:lang w:val="zh-CN"/>
        </w:rPr>
        <w:t>项目主管部门（单位）在该项目管理中的职能。</w:t>
      </w:r>
    </w:p>
    <w:p w14:paraId="78D3171C">
      <w:pPr>
        <w:numPr>
          <w:ilvl w:val="0"/>
          <w:numId w:val="0"/>
        </w:numPr>
        <w:spacing w:line="56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eastAsia="zh-CN"/>
        </w:rPr>
        <w:t>主要是贯彻执行医疗保险、生育保险、医疗救助等医疗保障的法律、法规、规章。</w:t>
      </w:r>
    </w:p>
    <w:p w14:paraId="3CD47F60">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2.项目立项、资金申报的依据。</w:t>
      </w:r>
    </w:p>
    <w:p w14:paraId="1EE04473">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val="en-US" w:eastAsia="zh-CN"/>
        </w:rPr>
        <w:t>根据《盐边县机构改革方案》的通知（盐边委发〔2019〕1 号）文件明确县民政局的医疗救助职责划转县医保局，负责资助困难群众医疗保险参保以及重点救助对象的门诊、住院医疗费。</w:t>
      </w:r>
    </w:p>
    <w:p w14:paraId="628F74D2">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color w:val="FF0000"/>
          <w:kern w:val="0"/>
          <w:sz w:val="32"/>
          <w:szCs w:val="32"/>
          <w:shd w:val="clear" w:color="auto" w:fill="FFFFFF"/>
          <w:lang w:eastAsia="zh-CN"/>
        </w:rPr>
      </w:pPr>
      <w:r>
        <w:rPr>
          <w:rFonts w:hint="default" w:ascii="Times New Roman" w:hAnsi="Times New Roman" w:eastAsia="仿宋_GB2312" w:cs="Times New Roman"/>
          <w:b/>
          <w:bCs/>
          <w:kern w:val="0"/>
          <w:sz w:val="32"/>
          <w:szCs w:val="32"/>
          <w:shd w:val="clear" w:color="auto" w:fill="FFFFFF"/>
          <w:lang w:val="zh-CN"/>
        </w:rPr>
        <w:t>3.资金</w:t>
      </w:r>
      <w:r>
        <w:rPr>
          <w:rFonts w:hint="default" w:ascii="Times New Roman" w:hAnsi="Times New Roman" w:eastAsia="仿宋_GB2312" w:cs="Times New Roman"/>
          <w:b/>
          <w:bCs/>
          <w:kern w:val="0"/>
          <w:sz w:val="32"/>
          <w:szCs w:val="32"/>
          <w:shd w:val="clear" w:color="auto" w:fill="FFFFFF"/>
        </w:rPr>
        <w:t>或项目</w:t>
      </w:r>
      <w:r>
        <w:rPr>
          <w:rFonts w:hint="default" w:ascii="Times New Roman" w:hAnsi="Times New Roman" w:eastAsia="仿宋_GB2312" w:cs="Times New Roman"/>
          <w:b/>
          <w:bCs/>
          <w:kern w:val="0"/>
          <w:sz w:val="32"/>
          <w:szCs w:val="32"/>
          <w:shd w:val="clear" w:color="auto" w:fill="FFFFFF"/>
          <w:lang w:val="zh-CN"/>
        </w:rPr>
        <w:t>管理办法制定情况，资金支持具体项目的条件、范围与支持方式概况。</w:t>
      </w:r>
    </w:p>
    <w:p w14:paraId="09865BD3">
      <w:pPr>
        <w:widowControl/>
        <w:adjustRightInd w:val="0"/>
        <w:snapToGrid w:val="0"/>
        <w:spacing w:line="578" w:lineRule="exact"/>
        <w:ind w:firstLine="640" w:firstLineChars="200"/>
        <w:contextualSpacing/>
        <w:jc w:val="left"/>
        <w:rPr>
          <w:rFonts w:hint="default" w:ascii="Times New Roman" w:hAnsi="Times New Roman" w:eastAsia="仿宋_GB2312" w:cs="Times New Roman"/>
          <w:color w:val="FF0000"/>
          <w:kern w:val="0"/>
          <w:sz w:val="32"/>
          <w:szCs w:val="32"/>
          <w:shd w:val="clear" w:color="auto" w:fill="FFFFFF"/>
          <w:lang w:val="zh-CN" w:eastAsia="zh-CN"/>
        </w:rPr>
      </w:pPr>
      <w:r>
        <w:rPr>
          <w:rFonts w:hint="default" w:ascii="Times New Roman" w:hAnsi="Times New Roman" w:eastAsia="仿宋_GB2312" w:cs="Times New Roman"/>
          <w:color w:val="auto"/>
          <w:kern w:val="0"/>
          <w:sz w:val="32"/>
          <w:szCs w:val="32"/>
          <w:shd w:val="clear" w:color="auto" w:fill="FFFFFF"/>
          <w:lang w:val="zh-CN" w:eastAsia="zh-CN"/>
        </w:rPr>
        <w:t>项目资金分为中央资金、省级资金和县级资金。由我单位管理支付，2022年下半年交由财政专户管理。支付范围包括资助困难群众城乡居民医疗保险参保，资助重点救助对象的门诊、住院医疗费。</w:t>
      </w:r>
    </w:p>
    <w:p w14:paraId="7E4748BC">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4.资金分配的原则及考虑因素。</w:t>
      </w:r>
    </w:p>
    <w:p w14:paraId="4BB8E48F">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eastAsia="zh-CN"/>
        </w:rPr>
        <w:t>中央、省级资金采用因素和据实据效法进行分配。考虑因素主要包括困难群众人数、户籍人口数、重点工作开展、财政困难程度等。不足部分由县级财政负担。</w:t>
      </w:r>
    </w:p>
    <w:p w14:paraId="74318A84">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（二）项目绩效目标。</w:t>
      </w:r>
    </w:p>
    <w:p w14:paraId="386E3F1D">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1.项目主要内容。</w:t>
      </w:r>
    </w:p>
    <w:p w14:paraId="1F4E81E9">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持续做好困难群众参保资助工作；重点救助对象自付医疗费用按规定年度限额内住院救助比例达到70%；年度救助对象人次符合客观需要；强化医疗救助规范管理</w:t>
      </w:r>
      <w:r>
        <w:rPr>
          <w:rFonts w:hint="default" w:ascii="Times New Roman" w:hAnsi="Times New Roman" w:eastAsia="仿宋_GB2312" w:cs="Times New Roman"/>
          <w:kern w:val="0"/>
          <w:sz w:val="32"/>
          <w:szCs w:val="32"/>
          <w:shd w:val="clear" w:color="auto" w:fill="FFFFFF"/>
          <w:lang w:val="zh-CN" w:eastAsia="zh-CN"/>
        </w:rPr>
        <w:t>，</w:t>
      </w:r>
      <w:r>
        <w:rPr>
          <w:rFonts w:hint="default" w:ascii="Times New Roman" w:hAnsi="Times New Roman" w:eastAsia="仿宋_GB2312" w:cs="Times New Roman"/>
          <w:kern w:val="0"/>
          <w:sz w:val="32"/>
          <w:szCs w:val="32"/>
          <w:shd w:val="clear" w:color="auto" w:fill="FFFFFF"/>
          <w:lang w:val="zh-CN"/>
        </w:rPr>
        <w:t>有效化解不合理累计结余。</w:t>
      </w:r>
    </w:p>
    <w:p w14:paraId="3B79FB08">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2.项目应实现的具体绩效目标。</w:t>
      </w:r>
    </w:p>
    <w:p w14:paraId="312134DE">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eastAsia="zh-CN"/>
        </w:rPr>
        <w:t>项目完成指标包括数量指标：资助参保人数完成23854人，门诊、住院救助人次数达到9550人次；质量指标：重点救助对象自付费用按规定年度限额内住院救助比例达到70%以上；时效指标：“一站式”即时结算覆盖率达到100%；成本指标：医疗救助资金使用情况不低于上年。</w:t>
      </w:r>
    </w:p>
    <w:p w14:paraId="072E7567">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eastAsia="zh-CN"/>
        </w:rPr>
        <w:t>项目效益指标包括经济效益指标：不合理累计结余减少程度达到90%以上；社会效益指标：医疗救助对象覆盖范围逐步扩大，困难群众看病就医方便程度明显提高，有效缓解困难群众医疗费用负担；可持续影响指标：对健全社会救助体系的影响成效明显，对健全医疗保障制度体系的作用成效明显。</w:t>
      </w:r>
    </w:p>
    <w:p w14:paraId="740A19A1">
      <w:pPr>
        <w:widowControl/>
        <w:adjustRightInd w:val="0"/>
        <w:snapToGrid w:val="0"/>
        <w:spacing w:line="578"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eastAsia="zh-CN"/>
        </w:rPr>
        <w:t>服务对象满意度指标：政策知晓率达到98%，工作满意度达到97%。</w:t>
      </w:r>
    </w:p>
    <w:p w14:paraId="579BA393">
      <w:pPr>
        <w:widowControl/>
        <w:adjustRightInd w:val="0"/>
        <w:snapToGrid w:val="0"/>
        <w:spacing w:line="578" w:lineRule="exact"/>
        <w:ind w:firstLine="643" w:firstLineChars="200"/>
        <w:contextualSpacing/>
        <w:jc w:val="left"/>
        <w:rPr>
          <w:rFonts w:hint="default" w:ascii="Times New Roman" w:hAnsi="Times New Roman" w:eastAsia="仿宋_GB2312" w:cs="Times New Roman"/>
          <w:b/>
          <w:bCs/>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rPr>
        <w:t>3.分析评价申报内容是否与实际相符，申报目标是否合理可行。</w:t>
      </w:r>
    </w:p>
    <w:p w14:paraId="5251B9EC">
      <w:pPr>
        <w:spacing w:line="560" w:lineRule="exact"/>
        <w:ind w:firstLine="640" w:firstLineChars="200"/>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sz w:val="32"/>
          <w:szCs w:val="32"/>
          <w:lang w:val="en-US" w:eastAsia="zh-CN"/>
        </w:rPr>
        <w:t>通过绩效目标完成情况看，申报内容与实际基本相符，申报目标合理可行。</w:t>
      </w:r>
    </w:p>
    <w:p w14:paraId="677DB92F">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（三）项目自评步骤及方法。</w:t>
      </w:r>
    </w:p>
    <w:p w14:paraId="32728F68">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由项目负责人根据项目绩效申报指标逐个核对，比对。是否完成申报指标，</w:t>
      </w:r>
      <w:r>
        <w:rPr>
          <w:rFonts w:hint="default" w:ascii="Times New Roman" w:hAnsi="Times New Roman" w:cs="Times New Roman"/>
          <w:sz w:val="32"/>
          <w:szCs w:val="32"/>
          <w:lang w:eastAsia="zh-CN"/>
        </w:rPr>
        <w:t>评价完成情况</w:t>
      </w:r>
      <w:r>
        <w:rPr>
          <w:rFonts w:hint="default" w:ascii="Times New Roman" w:hAnsi="Times New Roman" w:eastAsia="仿宋_GB2312" w:cs="Times New Roman"/>
          <w:sz w:val="32"/>
          <w:szCs w:val="32"/>
          <w:lang w:eastAsia="zh-CN"/>
        </w:rPr>
        <w:t>。</w:t>
      </w:r>
    </w:p>
    <w:p w14:paraId="624F853F">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14:paraId="7F0FB60C">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（一）项目资金申报及批复情况。</w:t>
      </w:r>
    </w:p>
    <w:p w14:paraId="411354D1">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县级资金根据政策文件及上年度费用估算，纳入年初预算。</w:t>
      </w:r>
    </w:p>
    <w:p w14:paraId="396ABFCA">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（二）资金计划、到位及使用情况。</w:t>
      </w:r>
    </w:p>
    <w:p w14:paraId="4411EAFA">
      <w:pPr>
        <w:widowControl/>
        <w:adjustRightInd w:val="0"/>
        <w:snapToGrid w:val="0"/>
        <w:spacing w:line="578" w:lineRule="exact"/>
        <w:ind w:firstLine="643" w:firstLineChars="200"/>
        <w:contextualSpacing/>
        <w:jc w:val="left"/>
        <w:rPr>
          <w:rFonts w:hint="default" w:ascii="Times New Roman" w:hAnsi="Times New Roman" w:eastAsia="仿宋_GB2312" w:cs="Times New Roman"/>
          <w:color w:val="000000" w:themeColor="text1"/>
          <w:kern w:val="0"/>
          <w:sz w:val="32"/>
          <w:szCs w:val="32"/>
          <w:shd w:val="clear" w:color="auto" w:fill="FFFFFF"/>
          <w:lang w:val="zh-CN" w:eastAsia="zh-CN"/>
          <w14:textFill>
            <w14:solidFill>
              <w14:schemeClr w14:val="tx1"/>
            </w14:solidFill>
          </w14:textFill>
        </w:rPr>
      </w:pPr>
      <w:r>
        <w:rPr>
          <w:rFonts w:hint="default" w:ascii="Times New Roman" w:hAnsi="Times New Roman" w:eastAsia="仿宋_GB2312" w:cs="Times New Roman"/>
          <w:b/>
          <w:bCs/>
          <w:kern w:val="0"/>
          <w:sz w:val="32"/>
          <w:szCs w:val="32"/>
          <w:shd w:val="clear" w:color="auto" w:fill="FFFFFF"/>
          <w:lang w:val="zh-CN"/>
        </w:rPr>
        <w:t>1</w:t>
      </w:r>
      <w:r>
        <w:rPr>
          <w:rFonts w:hint="default" w:ascii="Times New Roman" w:hAnsi="Times New Roman" w:eastAsia="仿宋_GB2312" w:cs="Times New Roman"/>
          <w:b/>
          <w:bCs/>
          <w:color w:val="000000" w:themeColor="text1"/>
          <w:kern w:val="0"/>
          <w:sz w:val="32"/>
          <w:szCs w:val="32"/>
          <w:shd w:val="clear" w:color="auto" w:fill="FFFFFF"/>
          <w:lang w:val="zh-CN"/>
          <w14:textFill>
            <w14:solidFill>
              <w14:schemeClr w14:val="tx1"/>
            </w14:solidFill>
          </w14:textFill>
        </w:rPr>
        <w:t>.资金计划。</w:t>
      </w:r>
      <w:r>
        <w:rPr>
          <w:rFonts w:hint="default" w:ascii="Times New Roman" w:hAnsi="Times New Roman" w:eastAsia="仿宋_GB2312" w:cs="Times New Roman"/>
          <w:color w:val="000000" w:themeColor="text1"/>
          <w:kern w:val="0"/>
          <w:sz w:val="32"/>
          <w:szCs w:val="32"/>
          <w:shd w:val="clear" w:color="auto" w:fill="FFFFFF"/>
          <w:lang w:val="zh-CN" w:eastAsia="zh-CN"/>
          <w14:textFill>
            <w14:solidFill>
              <w14:schemeClr w14:val="tx1"/>
            </w14:solidFill>
          </w14:textFill>
        </w:rPr>
        <w:t>2022年医疗救助资金计划支出607.27万元，其中中央资金376.76万元，省级资金80.51万元，县级资金150万元。</w:t>
      </w:r>
    </w:p>
    <w:p w14:paraId="28291705">
      <w:pPr>
        <w:widowControl/>
        <w:adjustRightInd w:val="0"/>
        <w:snapToGrid w:val="0"/>
        <w:spacing w:line="578" w:lineRule="exact"/>
        <w:ind w:firstLine="643" w:firstLineChars="200"/>
        <w:contextualSpacing/>
        <w:jc w:val="left"/>
        <w:rPr>
          <w:rFonts w:hint="default" w:ascii="Times New Roman" w:hAnsi="Times New Roman" w:eastAsia="仿宋_GB2312" w:cs="Times New Roman"/>
          <w:color w:val="000000" w:themeColor="text1"/>
          <w:kern w:val="0"/>
          <w:sz w:val="32"/>
          <w:szCs w:val="32"/>
          <w:shd w:val="clear" w:color="auto" w:fill="FFFFFF"/>
          <w:lang w:val="zh-CN"/>
          <w14:textFill>
            <w14:solidFill>
              <w14:schemeClr w14:val="tx1"/>
            </w14:solidFill>
          </w14:textFill>
        </w:rPr>
      </w:pPr>
      <w:r>
        <w:rPr>
          <w:rFonts w:hint="default" w:ascii="Times New Roman" w:hAnsi="Times New Roman" w:eastAsia="仿宋_GB2312" w:cs="Times New Roman"/>
          <w:b/>
          <w:bCs/>
          <w:color w:val="000000" w:themeColor="text1"/>
          <w:kern w:val="0"/>
          <w:sz w:val="32"/>
          <w:szCs w:val="32"/>
          <w:shd w:val="clear" w:color="auto" w:fill="FFFFFF"/>
          <w:lang w:val="zh-CN"/>
          <w14:textFill>
            <w14:solidFill>
              <w14:schemeClr w14:val="tx1"/>
            </w14:solidFill>
          </w14:textFill>
        </w:rPr>
        <w:t>2.资金到位。</w:t>
      </w:r>
      <w:r>
        <w:rPr>
          <w:rFonts w:hint="default" w:ascii="Times New Roman" w:hAnsi="Times New Roman" w:eastAsia="仿宋_GB2312" w:cs="Times New Roman"/>
          <w:color w:val="000000" w:themeColor="text1"/>
          <w:kern w:val="0"/>
          <w:sz w:val="32"/>
          <w:szCs w:val="32"/>
          <w:shd w:val="clear" w:color="auto" w:fill="FFFFFF"/>
          <w:lang w:val="zh-CN" w:eastAsia="zh-CN"/>
          <w14:textFill>
            <w14:solidFill>
              <w14:schemeClr w14:val="tx1"/>
            </w14:solidFill>
          </w14:textFill>
        </w:rPr>
        <w:t>2022年到位资金607.27万元，其中中央资金376.76万元，省级资金80.51万元，县级资金150万元。到位率达100%，到位及时。</w:t>
      </w:r>
    </w:p>
    <w:p w14:paraId="24FAFF9C">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b/>
          <w:bCs/>
          <w:kern w:val="0"/>
          <w:sz w:val="32"/>
          <w:szCs w:val="32"/>
          <w:shd w:val="clear" w:color="auto" w:fill="FFFFFF"/>
          <w:lang w:val="zh-CN"/>
        </w:rPr>
        <w:t>3.资金使用。</w:t>
      </w:r>
      <w:r>
        <w:rPr>
          <w:rFonts w:hint="default" w:ascii="Times New Roman" w:hAnsi="Times New Roman" w:eastAsia="仿宋_GB2312" w:cs="Times New Roman"/>
          <w:kern w:val="0"/>
          <w:sz w:val="32"/>
          <w:szCs w:val="32"/>
          <w:shd w:val="clear" w:color="auto" w:fill="FFFFFF"/>
          <w:lang w:val="zh-CN" w:eastAsia="zh-CN"/>
        </w:rPr>
        <w:t>医疗救助资金根据医疗救助资金管理办法使用资金，专款专用。资金使用安全、规范、有效，主要用于资助困难群众参加城乡居民基本医疗保险、支付救助对象医疗费。</w:t>
      </w:r>
      <w:r>
        <w:rPr>
          <w:rFonts w:hint="default" w:ascii="Times New Roman" w:hAnsi="Times New Roman" w:eastAsia="仿宋_GB2312" w:cs="Times New Roman"/>
          <w:kern w:val="0"/>
          <w:sz w:val="32"/>
          <w:szCs w:val="32"/>
          <w:shd w:val="clear" w:color="auto" w:fill="FFFFFF"/>
          <w:lang w:val="zh-CN"/>
        </w:rPr>
        <w:t>支付范围、支付标准、支付进度、支付依据</w:t>
      </w:r>
      <w:r>
        <w:rPr>
          <w:rFonts w:hint="default" w:ascii="Times New Roman" w:hAnsi="Times New Roman" w:eastAsia="仿宋_GB2312" w:cs="Times New Roman"/>
          <w:kern w:val="0"/>
          <w:sz w:val="32"/>
          <w:szCs w:val="32"/>
          <w:shd w:val="clear" w:color="auto" w:fill="FFFFFF"/>
          <w:lang w:val="zh-CN" w:eastAsia="zh-CN"/>
        </w:rPr>
        <w:t>合规合法，与预算相符。</w:t>
      </w:r>
    </w:p>
    <w:p w14:paraId="7A5B6B84">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（三）项目财务管理情况。</w:t>
      </w:r>
    </w:p>
    <w:p w14:paraId="0AF450D5">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eastAsia="zh-CN"/>
        </w:rPr>
        <w:t>该项目实施单位财务管理制度健全，严格执行财务管理制度，账务处理及时，会计核算规范。</w:t>
      </w:r>
    </w:p>
    <w:p w14:paraId="557E9554">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14:paraId="14FAC5FE">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（一）项目组织架构及实施流程。</w:t>
      </w:r>
    </w:p>
    <w:p w14:paraId="01AC46C0">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项目由医疗救助业务经办人员负责，负责项目的计划、执行、控制等。</w:t>
      </w:r>
    </w:p>
    <w:p w14:paraId="40661C84">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en-US" w:eastAsia="zh-CN"/>
        </w:rPr>
        <w:t>由于医疗保险基金为市级统筹。资金支付方式有：一是根据市级单位医疗救助“一单制”周转金划转表上解资金到市级单位统一核算；二是县内定点医疗机构产生的医疗救助费用由我单位直接拨付到定点医疗机构；三是在市内其他区县产生的医疗救助费用根据实际拨付到区县；四是未实现“一单制”结算的医疗救助费用通过惠民惠农“一卡通”支付到本人社会保障卡。</w:t>
      </w:r>
    </w:p>
    <w:p w14:paraId="30154232">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（二）项目管理情况。</w:t>
      </w:r>
    </w:p>
    <w:p w14:paraId="5AB62335">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eastAsia="zh-CN"/>
        </w:rPr>
        <w:t>按照上级部门要求，一是编制资金预算，二是定期核对资金，三是规范落实医疗救助政策。及时与财政局核对医疗救助资金，了解资金到位情况，医疗救助资金实行专账专户管理核算，资金使用有完整的审批程序和手续。严格执行《四川省中央和省级财政医疗救助补助资金管理办法》，费用申请、拨付流程按照单位内部管理办法，逐级审核支付。</w:t>
      </w:r>
    </w:p>
    <w:p w14:paraId="6AF08796">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（三）项目监管情况。</w:t>
      </w:r>
    </w:p>
    <w:p w14:paraId="57543661">
      <w:pPr>
        <w:adjustRightInd w:val="0"/>
        <w:snapToGrid w:val="0"/>
        <w:spacing w:line="578" w:lineRule="exact"/>
        <w:ind w:firstLine="720"/>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kern w:val="0"/>
          <w:sz w:val="32"/>
          <w:szCs w:val="32"/>
          <w:shd w:val="clear" w:color="auto" w:fill="FFFFFF"/>
          <w:lang w:val="zh-CN" w:eastAsia="zh-CN"/>
        </w:rPr>
        <w:t>为保障资金安全、有效使用，相关业务费用由业务经办人初审后，业务审核人复审，分管领导终审后交由财务审核支付。各个经办人、审核人对项目实施并监管，保障程序合理合规。</w:t>
      </w:r>
    </w:p>
    <w:p w14:paraId="23EE8E2F">
      <w:pPr>
        <w:adjustRightInd w:val="0"/>
        <w:snapToGrid w:val="0"/>
        <w:spacing w:line="578" w:lineRule="exact"/>
        <w:ind w:firstLine="720"/>
        <w:rPr>
          <w:rFonts w:hint="default" w:ascii="Times New Roman" w:hAnsi="Times New Roman"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cs="Times New Roman"/>
          <w:sz w:val="32"/>
          <w:szCs w:val="32"/>
          <w:lang w:val="zh-CN"/>
        </w:rPr>
        <w:tab/>
      </w:r>
    </w:p>
    <w:p w14:paraId="06D5A828">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（一）项目完成情况。</w:t>
      </w:r>
    </w:p>
    <w:p w14:paraId="546FA4C9">
      <w:pPr>
        <w:widowControl/>
        <w:adjustRightInd w:val="0"/>
        <w:snapToGrid w:val="0"/>
        <w:spacing w:line="578" w:lineRule="exact"/>
        <w:ind w:firstLine="640"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eastAsia="zh-CN"/>
        </w:rPr>
        <w:t>2022年资助23854人参加城乡居民医疗保险；门诊、住院救助人次数达到9550人次；重点救助对象自付费用按规定年度限额内住院救助比例≥70%；“一站式”即时结算覆盖率达到100%。</w:t>
      </w:r>
      <w:r>
        <w:rPr>
          <w:rFonts w:hint="default" w:ascii="Times New Roman" w:hAnsi="Times New Roman" w:eastAsia="仿宋_GB2312" w:cs="Times New Roman"/>
          <w:kern w:val="0"/>
          <w:sz w:val="32"/>
          <w:szCs w:val="32"/>
          <w:shd w:val="clear" w:color="auto" w:fill="FFFFFF"/>
          <w:lang w:val="zh-CN"/>
        </w:rPr>
        <w:t>项目</w:t>
      </w:r>
      <w:r>
        <w:rPr>
          <w:rFonts w:hint="default" w:ascii="Times New Roman" w:hAnsi="Times New Roman" w:eastAsia="仿宋_GB2312" w:cs="Times New Roman"/>
          <w:kern w:val="0"/>
          <w:sz w:val="32"/>
          <w:szCs w:val="32"/>
          <w:shd w:val="clear" w:color="auto" w:fill="FFFFFF"/>
          <w:lang w:val="zh-CN" w:eastAsia="zh-CN"/>
        </w:rPr>
        <w:t>指标</w:t>
      </w:r>
      <w:r>
        <w:rPr>
          <w:rFonts w:hint="default" w:ascii="Times New Roman" w:hAnsi="Times New Roman" w:eastAsia="仿宋_GB2312" w:cs="Times New Roman"/>
          <w:kern w:val="0"/>
          <w:sz w:val="32"/>
          <w:szCs w:val="32"/>
          <w:shd w:val="clear" w:color="auto" w:fill="FFFFFF"/>
          <w:lang w:val="zh-CN"/>
        </w:rPr>
        <w:t>完成</w:t>
      </w:r>
      <w:r>
        <w:rPr>
          <w:rFonts w:hint="default" w:ascii="Times New Roman" w:hAnsi="Times New Roman" w:eastAsia="仿宋_GB2312" w:cs="Times New Roman"/>
          <w:kern w:val="0"/>
          <w:sz w:val="32"/>
          <w:szCs w:val="32"/>
          <w:shd w:val="clear" w:color="auto" w:fill="FFFFFF"/>
          <w:lang w:val="zh-CN" w:eastAsia="zh-CN"/>
        </w:rPr>
        <w:t>较好</w:t>
      </w:r>
      <w:r>
        <w:rPr>
          <w:rFonts w:hint="default" w:ascii="Times New Roman" w:hAnsi="Times New Roman" w:eastAsia="仿宋_GB2312" w:cs="Times New Roman"/>
          <w:kern w:val="0"/>
          <w:sz w:val="32"/>
          <w:szCs w:val="32"/>
          <w:shd w:val="clear" w:color="auto" w:fill="FFFFFF"/>
          <w:lang w:val="zh-CN"/>
        </w:rPr>
        <w:t>，资金</w:t>
      </w:r>
      <w:r>
        <w:rPr>
          <w:rFonts w:hint="default" w:ascii="Times New Roman" w:hAnsi="Times New Roman" w:eastAsia="仿宋_GB2312" w:cs="Times New Roman"/>
          <w:kern w:val="0"/>
          <w:sz w:val="32"/>
          <w:szCs w:val="32"/>
          <w:shd w:val="clear" w:color="auto" w:fill="FFFFFF"/>
          <w:lang w:val="zh-CN" w:eastAsia="zh-CN"/>
        </w:rPr>
        <w:t>无</w:t>
      </w:r>
      <w:r>
        <w:rPr>
          <w:rFonts w:hint="default" w:ascii="Times New Roman" w:hAnsi="Times New Roman" w:eastAsia="仿宋_GB2312" w:cs="Times New Roman"/>
          <w:kern w:val="0"/>
          <w:sz w:val="32"/>
          <w:szCs w:val="32"/>
          <w:shd w:val="clear" w:color="auto" w:fill="FFFFFF"/>
          <w:lang w:val="zh-CN"/>
        </w:rPr>
        <w:t>结余，</w:t>
      </w:r>
      <w:r>
        <w:rPr>
          <w:rFonts w:hint="default" w:ascii="Times New Roman" w:hAnsi="Times New Roman" w:eastAsia="仿宋_GB2312" w:cs="Times New Roman"/>
          <w:kern w:val="0"/>
          <w:sz w:val="32"/>
          <w:szCs w:val="32"/>
          <w:shd w:val="clear" w:color="auto" w:fill="FFFFFF"/>
          <w:lang w:val="zh-CN" w:eastAsia="zh-CN"/>
        </w:rPr>
        <w:t>无</w:t>
      </w:r>
      <w:r>
        <w:rPr>
          <w:rFonts w:hint="default" w:ascii="Times New Roman" w:hAnsi="Times New Roman" w:eastAsia="仿宋_GB2312" w:cs="Times New Roman"/>
          <w:kern w:val="0"/>
          <w:sz w:val="32"/>
          <w:szCs w:val="32"/>
          <w:shd w:val="clear" w:color="auto" w:fill="FFFFFF"/>
          <w:lang w:val="zh-CN"/>
        </w:rPr>
        <w:t>违规记录等，对照项目计划完成目标，任务量完成</w:t>
      </w:r>
      <w:r>
        <w:rPr>
          <w:rFonts w:hint="default" w:ascii="Times New Roman" w:hAnsi="Times New Roman" w:eastAsia="仿宋_GB2312" w:cs="Times New Roman"/>
          <w:kern w:val="0"/>
          <w:sz w:val="32"/>
          <w:szCs w:val="32"/>
          <w:shd w:val="clear" w:color="auto" w:fill="FFFFFF"/>
          <w:lang w:val="zh-CN" w:eastAsia="zh-CN"/>
        </w:rPr>
        <w:t>较好</w:t>
      </w:r>
      <w:r>
        <w:rPr>
          <w:rFonts w:hint="default" w:ascii="Times New Roman" w:hAnsi="Times New Roman" w:eastAsia="仿宋_GB2312" w:cs="Times New Roman"/>
          <w:kern w:val="0"/>
          <w:sz w:val="32"/>
          <w:szCs w:val="32"/>
          <w:shd w:val="clear" w:color="auto" w:fill="FFFFFF"/>
          <w:lang w:val="zh-CN"/>
        </w:rPr>
        <w:t>、质量标准、进度</w:t>
      </w:r>
      <w:r>
        <w:rPr>
          <w:rFonts w:hint="default" w:ascii="Times New Roman" w:hAnsi="Times New Roman" w:eastAsia="仿宋_GB2312" w:cs="Times New Roman"/>
          <w:kern w:val="0"/>
          <w:sz w:val="32"/>
          <w:szCs w:val="32"/>
          <w:shd w:val="clear" w:color="auto" w:fill="FFFFFF"/>
          <w:lang w:val="zh-CN" w:eastAsia="zh-CN"/>
        </w:rPr>
        <w:t>按计划有序推进</w:t>
      </w:r>
      <w:r>
        <w:rPr>
          <w:rFonts w:hint="default" w:ascii="Times New Roman" w:hAnsi="Times New Roman" w:eastAsia="仿宋_GB2312" w:cs="Times New Roman"/>
          <w:kern w:val="0"/>
          <w:sz w:val="32"/>
          <w:szCs w:val="32"/>
          <w:shd w:val="clear" w:color="auto" w:fill="FFFFFF"/>
          <w:lang w:val="zh-CN"/>
        </w:rPr>
        <w:t>。</w:t>
      </w:r>
    </w:p>
    <w:p w14:paraId="158D1648">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（二）项目效益情况。</w:t>
      </w:r>
    </w:p>
    <w:p w14:paraId="29DD1BAA">
      <w:pPr>
        <w:widowControl/>
        <w:adjustRightInd w:val="0"/>
        <w:snapToGrid w:val="0"/>
        <w:spacing w:line="578" w:lineRule="exact"/>
        <w:ind w:firstLine="643" w:firstLineChars="200"/>
        <w:contextualSpacing/>
        <w:rPr>
          <w:rFonts w:hint="default" w:ascii="Times New Roman" w:hAnsi="Times New Roman" w:eastAsia="仿宋_GB2312" w:cs="Times New Roman"/>
          <w:kern w:val="0"/>
          <w:sz w:val="32"/>
          <w:szCs w:val="32"/>
          <w:shd w:val="clear" w:color="auto" w:fill="FFFFFF"/>
          <w:lang w:val="zh-CN" w:eastAsia="zh-CN"/>
        </w:rPr>
      </w:pPr>
      <w:r>
        <w:rPr>
          <w:rFonts w:hint="default" w:ascii="Times New Roman" w:hAnsi="Times New Roman" w:eastAsia="仿宋_GB2312" w:cs="Times New Roman"/>
          <w:b/>
          <w:bCs/>
          <w:kern w:val="0"/>
          <w:sz w:val="32"/>
          <w:szCs w:val="32"/>
          <w:shd w:val="clear" w:color="auto" w:fill="FFFFFF"/>
          <w:lang w:val="zh-CN" w:eastAsia="zh-CN"/>
        </w:rPr>
        <w:t>1.经济效益。</w:t>
      </w:r>
      <w:r>
        <w:rPr>
          <w:rFonts w:hint="default" w:ascii="Times New Roman" w:hAnsi="Times New Roman" w:eastAsia="仿宋_GB2312" w:cs="Times New Roman"/>
          <w:kern w:val="0"/>
          <w:sz w:val="32"/>
          <w:szCs w:val="32"/>
          <w:shd w:val="clear" w:color="auto" w:fill="FFFFFF"/>
          <w:lang w:val="zh-CN" w:eastAsia="zh-CN"/>
        </w:rPr>
        <w:t>不合理累计结余减少程度达到90%以上。</w:t>
      </w:r>
    </w:p>
    <w:p w14:paraId="0814D1BE">
      <w:pPr>
        <w:widowControl/>
        <w:adjustRightInd w:val="0"/>
        <w:snapToGrid w:val="0"/>
        <w:spacing w:line="578" w:lineRule="exact"/>
        <w:ind w:firstLine="643"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eastAsia="zh-CN"/>
        </w:rPr>
        <w:t>2.社会效益。</w:t>
      </w:r>
      <w:r>
        <w:rPr>
          <w:rFonts w:hint="default" w:ascii="Times New Roman" w:hAnsi="Times New Roman" w:eastAsia="仿宋_GB2312" w:cs="Times New Roman"/>
          <w:kern w:val="0"/>
          <w:sz w:val="32"/>
          <w:szCs w:val="32"/>
          <w:shd w:val="clear" w:color="auto" w:fill="FFFFFF"/>
          <w:lang w:val="zh-CN" w:eastAsia="zh-CN"/>
        </w:rPr>
        <w:t>医疗救助是各级政府解决困难群众医疗负担问题的制度性安排，是社会救助体系内的基本内容之一。体现的是基本救助制度，具有稳定性、程序性、限制性的特点。通过资助参保解决了困难群众基本医疗保障问题，通过门诊、住院救助极大降低因病致贫返贫的可能。医疗救助与基本医疗保险形成了分层次医疗保障体系，显著促进了社会稳定。通过实施医疗救助“一单制”结算和“一卡通”平台发放，进一步完善了医疗救助体制机制，降低了医疗救助政策执行的运行成本，有效维护了群众利益，实现了医疗救助托底保障功能。</w:t>
      </w:r>
    </w:p>
    <w:p w14:paraId="44ED8025">
      <w:pPr>
        <w:widowControl/>
        <w:adjustRightInd w:val="0"/>
        <w:snapToGrid w:val="0"/>
        <w:spacing w:line="578" w:lineRule="exact"/>
        <w:ind w:firstLine="643"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eastAsia="zh-CN"/>
        </w:rPr>
        <w:t>3.可持续影响。</w:t>
      </w:r>
      <w:r>
        <w:rPr>
          <w:rFonts w:hint="default" w:ascii="Times New Roman" w:hAnsi="Times New Roman" w:eastAsia="仿宋_GB2312" w:cs="Times New Roman"/>
          <w:kern w:val="0"/>
          <w:sz w:val="32"/>
          <w:szCs w:val="32"/>
          <w:shd w:val="clear" w:color="auto" w:fill="FFFFFF"/>
          <w:lang w:val="zh-CN" w:eastAsia="zh-CN"/>
        </w:rPr>
        <w:t>2022年，我县医疗救助全面落实国务院《社会救助暂行办法》、四川省《社会救助实施办法》《民政事业发展第十三个五年规划》、市委、市政府《关于进一步健全城乡社会救助体系建设的意见》，医疗救助与城乡低保、城乡特困人员救助供养、乡村振兴、残疾人保障等制度有效衔接，深入融合，困难群众看病就医方便程度显著提高，进一步完善了我县社会救助体系。以“医疗救助+信息化”和健全社会保障体系，提高社会保障水平起到积极的促进作用，与养老、住房、教育、公用事业管理等保障措施共同形成了社会保障体系。</w:t>
      </w:r>
    </w:p>
    <w:p w14:paraId="10880BB6">
      <w:pPr>
        <w:widowControl/>
        <w:adjustRightInd w:val="0"/>
        <w:snapToGrid w:val="0"/>
        <w:spacing w:line="578" w:lineRule="exact"/>
        <w:ind w:firstLine="643" w:firstLineChars="200"/>
        <w:contextualSpacing/>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b/>
          <w:bCs/>
          <w:kern w:val="0"/>
          <w:sz w:val="32"/>
          <w:szCs w:val="32"/>
          <w:shd w:val="clear" w:color="auto" w:fill="FFFFFF"/>
          <w:lang w:val="zh-CN" w:eastAsia="zh-CN"/>
        </w:rPr>
        <w:t>4.服务对象满意度。</w:t>
      </w:r>
      <w:r>
        <w:rPr>
          <w:rFonts w:hint="default" w:ascii="Times New Roman" w:hAnsi="Times New Roman" w:eastAsia="仿宋_GB2312" w:cs="Times New Roman"/>
          <w:kern w:val="0"/>
          <w:sz w:val="32"/>
          <w:szCs w:val="32"/>
          <w:shd w:val="clear" w:color="auto" w:fill="FFFFFF"/>
          <w:lang w:val="zh-CN" w:eastAsia="zh-CN"/>
        </w:rPr>
        <w:t>政策知晓率达到98%，工作满意度达到97%。</w:t>
      </w:r>
    </w:p>
    <w:p w14:paraId="7D7F5357">
      <w:pPr>
        <w:adjustRightInd w:val="0"/>
        <w:snapToGrid w:val="0"/>
        <w:spacing w:line="578" w:lineRule="exact"/>
        <w:ind w:firstLine="72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14:paraId="4D1857B7">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（一）评价结论。</w:t>
      </w:r>
    </w:p>
    <w:p w14:paraId="3D885CB1">
      <w:pPr>
        <w:adjustRightInd w:val="0"/>
        <w:snapToGrid w:val="0"/>
        <w:spacing w:line="578" w:lineRule="exact"/>
        <w:ind w:firstLine="72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该项目的实施主要是资助困难群众参加居民医疗保险；强化医疗救助规范管理，有效化解不合理累计结余；减轻困难群众医疗负担。对照项目绩效指标，都较好</w:t>
      </w:r>
      <w:r>
        <w:rPr>
          <w:rFonts w:hint="eastAsia" w:eastAsia="仿宋_GB2312" w:cs="Times New Roman"/>
          <w:color w:val="auto"/>
          <w:sz w:val="32"/>
          <w:szCs w:val="32"/>
          <w:lang w:eastAsia="zh-CN"/>
        </w:rPr>
        <w:t>地</w:t>
      </w:r>
      <w:r>
        <w:rPr>
          <w:rFonts w:hint="default" w:ascii="Times New Roman" w:hAnsi="Times New Roman" w:eastAsia="仿宋_GB2312" w:cs="Times New Roman"/>
          <w:color w:val="auto"/>
          <w:sz w:val="32"/>
          <w:szCs w:val="32"/>
          <w:lang w:eastAsia="zh-CN"/>
        </w:rPr>
        <w:t>完成了各项绩效指标。</w:t>
      </w:r>
    </w:p>
    <w:p w14:paraId="4C56EF1D">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（二）存在的问题。</w:t>
      </w:r>
    </w:p>
    <w:p w14:paraId="6D420481">
      <w:pPr>
        <w:adjustRightInd w:val="0"/>
        <w:snapToGrid w:val="0"/>
        <w:spacing w:line="578" w:lineRule="exact"/>
        <w:ind w:firstLine="7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网络建设</w:t>
      </w:r>
      <w:r>
        <w:rPr>
          <w:rFonts w:hint="default" w:ascii="Times New Roman" w:hAnsi="Times New Roman" w:eastAsia="仿宋_GB2312" w:cs="Times New Roman"/>
          <w:sz w:val="32"/>
          <w:szCs w:val="32"/>
          <w:lang w:eastAsia="zh-CN"/>
        </w:rPr>
        <w:t>仍未</w:t>
      </w:r>
      <w:r>
        <w:rPr>
          <w:rFonts w:hint="default" w:ascii="Times New Roman" w:hAnsi="Times New Roman" w:eastAsia="仿宋_GB2312" w:cs="Times New Roman"/>
          <w:sz w:val="32"/>
          <w:szCs w:val="32"/>
        </w:rPr>
        <w:t>完善，门诊医疗救助目前还不能实现医院</w:t>
      </w:r>
      <w:r>
        <w:rPr>
          <w:rFonts w:hint="default" w:ascii="Times New Roman" w:hAnsi="Times New Roman" w:cs="Times New Roman"/>
          <w:sz w:val="32"/>
          <w:szCs w:val="32"/>
          <w:lang w:eastAsia="zh-CN"/>
        </w:rPr>
        <w:t>“一单制”</w:t>
      </w:r>
      <w:r>
        <w:rPr>
          <w:rFonts w:hint="default" w:ascii="Times New Roman" w:hAnsi="Times New Roman" w:eastAsia="仿宋_GB2312" w:cs="Times New Roman"/>
          <w:sz w:val="32"/>
          <w:szCs w:val="32"/>
        </w:rPr>
        <w:t>联网结算。</w:t>
      </w:r>
    </w:p>
    <w:p w14:paraId="626E9E06">
      <w:pPr>
        <w:widowControl/>
        <w:numPr>
          <w:ilvl w:val="0"/>
          <w:numId w:val="0"/>
        </w:numPr>
        <w:adjustRightInd w:val="0"/>
        <w:snapToGrid w:val="0"/>
        <w:spacing w:line="560" w:lineRule="exact"/>
        <w:ind w:firstLine="640" w:firstLineChars="200"/>
        <w:contextualSpacing/>
        <w:jc w:val="left"/>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shd w:val="clear" w:fill="FFFFFF"/>
          <w:lang w:val="zh-CN" w:eastAsia="zh-CN" w:bidi="ar-SA"/>
          <w14:textFill>
            <w14:solidFill>
              <w14:schemeClr w14:val="tx1"/>
            </w14:solidFill>
          </w14:textFill>
        </w:rPr>
        <w:t>（三）相关建议。</w:t>
      </w:r>
    </w:p>
    <w:p w14:paraId="1EC2509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建议上级部门完善医疗救助门诊“一单制”结算系统，杜绝群众“多跑路”现象，更好</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lang w:val="en-US" w:eastAsia="zh-CN"/>
        </w:rPr>
        <w:t>服务于群众，提高群众满意度。</w:t>
      </w:r>
    </w:p>
    <w:p w14:paraId="339CCD12">
      <w:pPr>
        <w:spacing w:line="580" w:lineRule="exact"/>
        <w:rPr>
          <w:rStyle w:val="28"/>
          <w:rFonts w:hint="default" w:ascii="Times New Roman" w:hAnsi="Times New Roman" w:eastAsia="黑体" w:cs="Times New Roman"/>
          <w:b w:val="0"/>
        </w:rPr>
      </w:pPr>
    </w:p>
    <w:p w14:paraId="1840F981">
      <w:pPr>
        <w:widowControl/>
        <w:jc w:val="left"/>
        <w:rPr>
          <w:rStyle w:val="28"/>
          <w:rFonts w:hint="default" w:ascii="Times New Roman" w:hAnsi="Times New Roman" w:eastAsia="黑体" w:cs="Times New Roman"/>
          <w:b w:val="0"/>
        </w:rPr>
      </w:pPr>
      <w:r>
        <w:rPr>
          <w:rStyle w:val="28"/>
          <w:rFonts w:hint="default" w:ascii="Times New Roman" w:hAnsi="Times New Roman" w:eastAsia="黑体" w:cs="Times New Roman"/>
          <w:b w:val="0"/>
        </w:rPr>
        <w:br w:type="page"/>
      </w:r>
    </w:p>
    <w:p w14:paraId="1C5D250E">
      <w:pPr>
        <w:spacing w:line="600" w:lineRule="exact"/>
        <w:jc w:val="center"/>
        <w:outlineLvl w:val="0"/>
        <w:rPr>
          <w:rFonts w:hint="default" w:ascii="Times New Roman" w:hAnsi="Times New Roman" w:eastAsia="黑体" w:cs="Times New Roman"/>
          <w:sz w:val="44"/>
          <w:szCs w:val="44"/>
        </w:rPr>
        <w:sectPr>
          <w:pgSz w:w="11906" w:h="16838"/>
          <w:pgMar w:top="1440" w:right="1800" w:bottom="1440" w:left="1800" w:header="851" w:footer="992" w:gutter="0"/>
          <w:pgNumType w:fmt="numberInDash"/>
          <w:cols w:space="425" w:num="1"/>
          <w:titlePg/>
          <w:docGrid w:type="lines" w:linePitch="312" w:charSpace="0"/>
        </w:sectPr>
      </w:pPr>
      <w:bookmarkStart w:id="53" w:name="_Toc15396618"/>
    </w:p>
    <w:p w14:paraId="63FDEE57">
      <w:pPr>
        <w:pageBreakBefore w:val="0"/>
        <w:widowControl w:val="0"/>
        <w:numPr>
          <w:ilvl w:val="0"/>
          <w:numId w:val="2"/>
        </w:numPr>
        <w:kinsoku/>
        <w:wordWrap/>
        <w:overflowPunct/>
        <w:topLinePunct w:val="0"/>
        <w:autoSpaceDE/>
        <w:autoSpaceDN/>
        <w:bidi w:val="0"/>
        <w:adjustRightInd/>
        <w:snapToGrid/>
        <w:spacing w:afterAutospacing="0" w:line="560" w:lineRule="exact"/>
        <w:ind w:left="0" w:leftChars="0" w:firstLine="660" w:firstLineChars="150"/>
        <w:jc w:val="center"/>
        <w:textAlignment w:val="auto"/>
        <w:outlineLvl w:val="0"/>
        <w:rPr>
          <w:rFonts w:hint="default" w:ascii="Times New Roman" w:hAnsi="Times New Roman" w:eastAsia="方正小标宋简体" w:cs="Times New Roman"/>
          <w:b w:val="0"/>
          <w:bCs/>
          <w:kern w:val="44"/>
          <w:sz w:val="44"/>
          <w:szCs w:val="44"/>
          <w:lang w:val="en-US" w:eastAsia="zh-CN" w:bidi="ar-SA"/>
        </w:rPr>
      </w:pPr>
      <w:r>
        <w:rPr>
          <w:rFonts w:hint="default" w:ascii="Times New Roman" w:hAnsi="Times New Roman" w:eastAsia="方正小标宋简体" w:cs="Times New Roman"/>
          <w:b w:val="0"/>
          <w:bCs/>
          <w:kern w:val="44"/>
          <w:sz w:val="44"/>
          <w:szCs w:val="44"/>
          <w:lang w:val="en-US" w:eastAsia="zh-CN" w:bidi="ar-SA"/>
        </w:rPr>
        <w:t>附表</w:t>
      </w:r>
      <w:bookmarkEnd w:id="51"/>
      <w:bookmarkEnd w:id="53"/>
      <w:bookmarkStart w:id="54" w:name="_Toc15396619"/>
    </w:p>
    <w:p w14:paraId="48B55C4A">
      <w:pPr>
        <w:pageBreakBefore w:val="0"/>
        <w:widowControl w:val="0"/>
        <w:numPr>
          <w:ilvl w:val="0"/>
          <w:numId w:val="0"/>
        </w:numPr>
        <w:kinsoku/>
        <w:wordWrap/>
        <w:overflowPunct/>
        <w:topLinePunct w:val="0"/>
        <w:autoSpaceDE/>
        <w:autoSpaceDN/>
        <w:bidi w:val="0"/>
        <w:adjustRightInd/>
        <w:snapToGrid/>
        <w:spacing w:afterAutospacing="0" w:line="560" w:lineRule="exact"/>
        <w:ind w:leftChars="150"/>
        <w:jc w:val="both"/>
        <w:textAlignment w:val="auto"/>
        <w:outlineLvl w:val="0"/>
        <w:rPr>
          <w:rFonts w:hint="default" w:ascii="Times New Roman" w:hAnsi="Times New Roman" w:eastAsia="仿宋" w:cs="Times New Roman"/>
          <w:b w:val="0"/>
        </w:rPr>
      </w:pPr>
      <w:r>
        <w:rPr>
          <w:rStyle w:val="29"/>
          <w:rFonts w:hint="default" w:ascii="Times New Roman" w:hAnsi="Times New Roman" w:eastAsia="黑体" w:cs="Times New Roman"/>
          <w:b w:val="0"/>
          <w:bCs w:val="0"/>
        </w:rPr>
        <w:t>一、收入支出决算总表</w:t>
      </w:r>
    </w:p>
    <w:p w14:paraId="4CDD84CF">
      <w:pPr>
        <w:rPr>
          <w:rFonts w:hint="default"/>
        </w:rPr>
      </w:pPr>
    </w:p>
    <w:p w14:paraId="3C0CBBD5">
      <w:pPr>
        <w:rPr>
          <w:rFonts w:hint="default"/>
        </w:rPr>
        <w:sectPr>
          <w:pgSz w:w="16838" w:h="11906" w:orient="landscape"/>
          <w:pgMar w:top="1800" w:right="1440" w:bottom="1800" w:left="1440" w:header="851" w:footer="992" w:gutter="0"/>
          <w:pgNumType w:fmt="numberInDash"/>
          <w:cols w:space="425" w:num="1"/>
          <w:titlePg/>
          <w:docGrid w:type="lines" w:linePitch="312" w:charSpace="0"/>
        </w:sectPr>
      </w:pPr>
      <w:r>
        <w:drawing>
          <wp:inline distT="0" distB="0" distL="114300" distR="114300">
            <wp:extent cx="5715000" cy="4338955"/>
            <wp:effectExtent l="0" t="0" r="0" b="4445"/>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7"/>
                    <a:stretch>
                      <a:fillRect/>
                    </a:stretch>
                  </pic:blipFill>
                  <pic:spPr>
                    <a:xfrm>
                      <a:off x="0" y="0"/>
                      <a:ext cx="5715000" cy="4338955"/>
                    </a:xfrm>
                    <a:prstGeom prst="rect">
                      <a:avLst/>
                    </a:prstGeom>
                    <a:noFill/>
                    <a:ln>
                      <a:noFill/>
                    </a:ln>
                  </pic:spPr>
                </pic:pic>
              </a:graphicData>
            </a:graphic>
          </wp:inline>
        </w:drawing>
      </w:r>
    </w:p>
    <w:bookmarkEnd w:id="54"/>
    <w:p w14:paraId="3659ECE4">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bookmarkStart w:id="55" w:name="_Toc15396620"/>
      <w:r>
        <w:rPr>
          <w:rStyle w:val="29"/>
          <w:rFonts w:hint="default" w:ascii="Times New Roman" w:hAnsi="Times New Roman" w:eastAsia="黑体" w:cs="Times New Roman"/>
          <w:b w:val="0"/>
          <w:bCs w:val="0"/>
        </w:rPr>
        <w:t>二、收入决算表</w:t>
      </w:r>
      <w:bookmarkEnd w:id="55"/>
    </w:p>
    <w:p w14:paraId="4599C4C1">
      <w:pPr>
        <w:rPr>
          <w:rFonts w:hint="default" w:ascii="Times New Roman" w:hAnsi="Times New Roman" w:cs="Times New Roman"/>
        </w:rPr>
      </w:pPr>
      <w:r>
        <w:drawing>
          <wp:inline distT="0" distB="0" distL="114300" distR="114300">
            <wp:extent cx="8646160" cy="4149090"/>
            <wp:effectExtent l="0" t="0" r="2540" b="381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28"/>
                    <a:stretch>
                      <a:fillRect/>
                    </a:stretch>
                  </pic:blipFill>
                  <pic:spPr>
                    <a:xfrm>
                      <a:off x="0" y="0"/>
                      <a:ext cx="8646160" cy="4149090"/>
                    </a:xfrm>
                    <a:prstGeom prst="rect">
                      <a:avLst/>
                    </a:prstGeom>
                    <a:noFill/>
                    <a:ln>
                      <a:noFill/>
                    </a:ln>
                  </pic:spPr>
                </pic:pic>
              </a:graphicData>
            </a:graphic>
          </wp:inline>
        </w:drawing>
      </w:r>
    </w:p>
    <w:p w14:paraId="22558C18">
      <w:pPr>
        <w:rPr>
          <w:rFonts w:hint="default" w:ascii="Times New Roman" w:hAnsi="Times New Roman" w:cs="Times New Roman"/>
        </w:rPr>
      </w:pPr>
    </w:p>
    <w:p w14:paraId="7933C7AC">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三、支出决算表</w:t>
      </w:r>
    </w:p>
    <w:p w14:paraId="524FFFE8">
      <w:pPr>
        <w:pStyle w:val="3"/>
        <w:rPr>
          <w:rStyle w:val="29"/>
          <w:rFonts w:hint="default" w:ascii="Times New Roman" w:hAnsi="Times New Roman" w:eastAsia="仿宋" w:cs="Times New Roman"/>
          <w:b w:val="0"/>
          <w:bCs w:val="0"/>
        </w:rPr>
      </w:pPr>
      <w:r>
        <w:drawing>
          <wp:inline distT="0" distB="0" distL="114300" distR="114300">
            <wp:extent cx="8604885" cy="4671060"/>
            <wp:effectExtent l="0" t="0" r="5715" b="1524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9"/>
                    <a:stretch>
                      <a:fillRect/>
                    </a:stretch>
                  </pic:blipFill>
                  <pic:spPr>
                    <a:xfrm>
                      <a:off x="0" y="0"/>
                      <a:ext cx="8604885" cy="4671060"/>
                    </a:xfrm>
                    <a:prstGeom prst="rect">
                      <a:avLst/>
                    </a:prstGeom>
                    <a:noFill/>
                    <a:ln>
                      <a:noFill/>
                    </a:ln>
                  </pic:spPr>
                </pic:pic>
              </a:graphicData>
            </a:graphic>
          </wp:inline>
        </w:drawing>
      </w:r>
    </w:p>
    <w:p w14:paraId="44D202F3">
      <w:pPr>
        <w:rPr>
          <w:rFonts w:hint="default" w:ascii="Times New Roman" w:hAnsi="Times New Roman" w:cs="Times New Roman"/>
        </w:rPr>
      </w:pPr>
    </w:p>
    <w:p w14:paraId="69A32ACE">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四、财政拨款收入支出决算总表</w:t>
      </w:r>
    </w:p>
    <w:p w14:paraId="3DF69884">
      <w:pPr>
        <w:rPr>
          <w:rFonts w:hint="default" w:ascii="Times New Roman" w:hAnsi="Times New Roman" w:cs="Times New Roman"/>
        </w:rPr>
      </w:pPr>
      <w:r>
        <w:drawing>
          <wp:inline distT="0" distB="0" distL="114300" distR="114300">
            <wp:extent cx="7776210" cy="5198110"/>
            <wp:effectExtent l="0" t="0" r="15240" b="254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30"/>
                    <a:stretch>
                      <a:fillRect/>
                    </a:stretch>
                  </pic:blipFill>
                  <pic:spPr>
                    <a:xfrm>
                      <a:off x="0" y="0"/>
                      <a:ext cx="7776210" cy="5198110"/>
                    </a:xfrm>
                    <a:prstGeom prst="rect">
                      <a:avLst/>
                    </a:prstGeom>
                    <a:noFill/>
                    <a:ln>
                      <a:noFill/>
                    </a:ln>
                  </pic:spPr>
                </pic:pic>
              </a:graphicData>
            </a:graphic>
          </wp:inline>
        </w:drawing>
      </w:r>
    </w:p>
    <w:p w14:paraId="66F02C5A">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sectPr>
          <w:pgSz w:w="16838" w:h="11906" w:orient="landscape"/>
          <w:pgMar w:top="1236" w:right="1440" w:bottom="1800" w:left="1440" w:header="851" w:footer="992" w:gutter="0"/>
          <w:pgNumType w:fmt="numberInDash"/>
          <w:cols w:space="425" w:num="1"/>
          <w:titlePg/>
          <w:docGrid w:type="lines" w:linePitch="312" w:charSpace="0"/>
        </w:sectPr>
      </w:pPr>
    </w:p>
    <w:p w14:paraId="089E106D">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五、财政拨款支出决算明细表</w:t>
      </w:r>
    </w:p>
    <w:p w14:paraId="639C9FD6">
      <w:pPr>
        <w:rPr>
          <w:rFonts w:hint="default"/>
        </w:rPr>
        <w:sectPr>
          <w:pgSz w:w="11906" w:h="16838"/>
          <w:pgMar w:top="1440" w:right="1800" w:bottom="1440" w:left="1236" w:header="851" w:footer="992" w:gutter="0"/>
          <w:pgNumType w:fmt="numberInDash"/>
          <w:cols w:space="425" w:num="1"/>
          <w:titlePg/>
          <w:docGrid w:type="lines" w:linePitch="312" w:charSpace="0"/>
        </w:sectPr>
      </w:pPr>
      <w:r>
        <w:drawing>
          <wp:inline distT="0" distB="0" distL="114300" distR="114300">
            <wp:extent cx="5093970" cy="8432800"/>
            <wp:effectExtent l="0" t="0" r="11430" b="635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31"/>
                    <a:stretch>
                      <a:fillRect/>
                    </a:stretch>
                  </pic:blipFill>
                  <pic:spPr>
                    <a:xfrm>
                      <a:off x="0" y="0"/>
                      <a:ext cx="5093970" cy="8432800"/>
                    </a:xfrm>
                    <a:prstGeom prst="rect">
                      <a:avLst/>
                    </a:prstGeom>
                    <a:noFill/>
                    <a:ln>
                      <a:noFill/>
                    </a:ln>
                  </pic:spPr>
                </pic:pic>
              </a:graphicData>
            </a:graphic>
          </wp:inline>
        </w:drawing>
      </w:r>
    </w:p>
    <w:p w14:paraId="0322CF8A">
      <w:pPr>
        <w:rPr>
          <w:rFonts w:hint="default" w:ascii="Times New Roman" w:hAnsi="Times New Roman" w:cs="Times New Roman"/>
        </w:rPr>
      </w:pPr>
    </w:p>
    <w:p w14:paraId="488F5C42">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bookmarkStart w:id="56" w:name="_Toc15396624"/>
      <w:r>
        <w:rPr>
          <w:rFonts w:hint="default" w:ascii="Times New Roman" w:hAnsi="Times New Roman" w:eastAsia="黑体" w:cs="Times New Roman"/>
          <w:b w:val="0"/>
          <w:bCs w:val="0"/>
          <w:kern w:val="2"/>
          <w:sz w:val="32"/>
          <w:szCs w:val="32"/>
          <w:lang w:val="en-US" w:eastAsia="zh-CN" w:bidi="ar-SA"/>
        </w:rPr>
        <w:t>六、</w:t>
      </w:r>
      <w:r>
        <w:rPr>
          <w:rFonts w:hint="default" w:ascii="Times New Roman" w:hAnsi="Times New Roman" w:eastAsia="黑体" w:cs="Times New Roman"/>
          <w:b w:val="0"/>
        </w:rPr>
        <w:t>一</w:t>
      </w:r>
      <w:r>
        <w:rPr>
          <w:rStyle w:val="29"/>
          <w:rFonts w:hint="default" w:ascii="Times New Roman" w:hAnsi="Times New Roman" w:eastAsia="黑体" w:cs="Times New Roman"/>
          <w:b w:val="0"/>
          <w:bCs w:val="0"/>
        </w:rPr>
        <w:t>般公共预算财政拨款支出决算表</w:t>
      </w:r>
      <w:bookmarkEnd w:id="56"/>
    </w:p>
    <w:p w14:paraId="48150CC2">
      <w:pPr>
        <w:numPr>
          <w:ilvl w:val="0"/>
          <w:numId w:val="0"/>
        </w:numPr>
        <w:rPr>
          <w:rFonts w:hint="default" w:ascii="Times New Roman" w:hAnsi="Times New Roman" w:cs="Times New Roman"/>
        </w:rPr>
      </w:pPr>
      <w:r>
        <w:drawing>
          <wp:inline distT="0" distB="0" distL="114300" distR="114300">
            <wp:extent cx="6771005" cy="4859020"/>
            <wp:effectExtent l="0" t="0" r="10795" b="17780"/>
            <wp:docPr id="1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pic:cNvPicPr>
                      <a:picLocks noChangeAspect="1"/>
                    </pic:cNvPicPr>
                  </pic:nvPicPr>
                  <pic:blipFill>
                    <a:blip r:embed="rId32"/>
                    <a:stretch>
                      <a:fillRect/>
                    </a:stretch>
                  </pic:blipFill>
                  <pic:spPr>
                    <a:xfrm>
                      <a:off x="0" y="0"/>
                      <a:ext cx="6771005" cy="4859020"/>
                    </a:xfrm>
                    <a:prstGeom prst="rect">
                      <a:avLst/>
                    </a:prstGeom>
                    <a:noFill/>
                    <a:ln>
                      <a:noFill/>
                    </a:ln>
                  </pic:spPr>
                </pic:pic>
              </a:graphicData>
            </a:graphic>
          </wp:inline>
        </w:drawing>
      </w:r>
    </w:p>
    <w:p w14:paraId="34D57AC9">
      <w:pPr>
        <w:numPr>
          <w:ilvl w:val="0"/>
          <w:numId w:val="3"/>
        </w:numPr>
        <w:ind w:firstLine="640" w:firstLineChars="200"/>
        <w:rPr>
          <w:rStyle w:val="29"/>
          <w:rFonts w:hint="default" w:ascii="Times New Roman" w:hAnsi="Times New Roman" w:eastAsia="黑体" w:cs="Times New Roman"/>
          <w:b w:val="0"/>
          <w:bCs w:val="0"/>
          <w:lang w:val="en-US" w:eastAsia="zh-CN" w:bidi="ar-SA"/>
        </w:rPr>
      </w:pPr>
      <w:r>
        <w:rPr>
          <w:rStyle w:val="29"/>
          <w:rFonts w:hint="default" w:ascii="Times New Roman" w:hAnsi="Times New Roman" w:eastAsia="黑体" w:cs="Times New Roman"/>
          <w:b w:val="0"/>
          <w:bCs w:val="0"/>
          <w:lang w:val="en-US" w:eastAsia="zh-CN" w:bidi="ar-SA"/>
        </w:rPr>
        <w:t>一般公共预算财政拨款支出决算明细表</w:t>
      </w:r>
    </w:p>
    <w:p w14:paraId="32B12F20">
      <w:pPr>
        <w:numPr>
          <w:ilvl w:val="0"/>
          <w:numId w:val="0"/>
        </w:numPr>
      </w:pPr>
      <w:r>
        <w:rPr>
          <w:rFonts w:hint="eastAsia"/>
          <w:lang w:val="en-US" w:eastAsia="zh-CN"/>
        </w:rPr>
        <w:t xml:space="preserve">   </w:t>
      </w:r>
      <w:r>
        <w:drawing>
          <wp:inline distT="0" distB="0" distL="114300" distR="114300">
            <wp:extent cx="7915910" cy="2344420"/>
            <wp:effectExtent l="0" t="0" r="8890" b="1778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33"/>
                    <a:stretch>
                      <a:fillRect/>
                    </a:stretch>
                  </pic:blipFill>
                  <pic:spPr>
                    <a:xfrm>
                      <a:off x="0" y="0"/>
                      <a:ext cx="7915910" cy="2344420"/>
                    </a:xfrm>
                    <a:prstGeom prst="rect">
                      <a:avLst/>
                    </a:prstGeom>
                    <a:noFill/>
                    <a:ln>
                      <a:noFill/>
                    </a:ln>
                  </pic:spPr>
                </pic:pic>
              </a:graphicData>
            </a:graphic>
          </wp:inline>
        </w:drawing>
      </w:r>
    </w:p>
    <w:p w14:paraId="7A2278FA">
      <w:pPr>
        <w:numPr>
          <w:ilvl w:val="0"/>
          <w:numId w:val="0"/>
        </w:numPr>
      </w:pPr>
    </w:p>
    <w:p w14:paraId="22F1D7E3">
      <w:pPr>
        <w:numPr>
          <w:ilvl w:val="0"/>
          <w:numId w:val="0"/>
        </w:numPr>
      </w:pPr>
      <w:r>
        <w:rPr>
          <w:rFonts w:hint="eastAsia"/>
          <w:lang w:val="en-US" w:eastAsia="zh-CN"/>
        </w:rPr>
        <w:t xml:space="preserve">   </w:t>
      </w:r>
      <w:r>
        <w:drawing>
          <wp:inline distT="0" distB="0" distL="114300" distR="114300">
            <wp:extent cx="7927975" cy="2364105"/>
            <wp:effectExtent l="0" t="0" r="15875" b="17145"/>
            <wp:docPr id="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pic:cNvPicPr>
                      <a:picLocks noChangeAspect="1"/>
                    </pic:cNvPicPr>
                  </pic:nvPicPr>
                  <pic:blipFill>
                    <a:blip r:embed="rId34"/>
                    <a:stretch>
                      <a:fillRect/>
                    </a:stretch>
                  </pic:blipFill>
                  <pic:spPr>
                    <a:xfrm>
                      <a:off x="0" y="0"/>
                      <a:ext cx="7927975" cy="2364105"/>
                    </a:xfrm>
                    <a:prstGeom prst="rect">
                      <a:avLst/>
                    </a:prstGeom>
                    <a:noFill/>
                    <a:ln>
                      <a:noFill/>
                    </a:ln>
                  </pic:spPr>
                </pic:pic>
              </a:graphicData>
            </a:graphic>
          </wp:inline>
        </w:drawing>
      </w:r>
    </w:p>
    <w:p w14:paraId="533F14C1">
      <w:pPr>
        <w:numPr>
          <w:ilvl w:val="0"/>
          <w:numId w:val="0"/>
        </w:numPr>
      </w:pPr>
    </w:p>
    <w:p w14:paraId="17BD2C1E">
      <w:pPr>
        <w:numPr>
          <w:ilvl w:val="0"/>
          <w:numId w:val="0"/>
        </w:numPr>
      </w:pPr>
      <w:r>
        <w:drawing>
          <wp:inline distT="0" distB="0" distL="114300" distR="114300">
            <wp:extent cx="8025765" cy="2512060"/>
            <wp:effectExtent l="0" t="0" r="13335" b="2540"/>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35"/>
                    <a:stretch>
                      <a:fillRect/>
                    </a:stretch>
                  </pic:blipFill>
                  <pic:spPr>
                    <a:xfrm>
                      <a:off x="0" y="0"/>
                      <a:ext cx="8025765" cy="2512060"/>
                    </a:xfrm>
                    <a:prstGeom prst="rect">
                      <a:avLst/>
                    </a:prstGeom>
                    <a:noFill/>
                    <a:ln>
                      <a:noFill/>
                    </a:ln>
                  </pic:spPr>
                </pic:pic>
              </a:graphicData>
            </a:graphic>
          </wp:inline>
        </w:drawing>
      </w:r>
    </w:p>
    <w:p w14:paraId="7B9FF374">
      <w:pPr>
        <w:numPr>
          <w:ilvl w:val="0"/>
          <w:numId w:val="0"/>
        </w:numPr>
      </w:pPr>
    </w:p>
    <w:p w14:paraId="6F3AE088">
      <w:pPr>
        <w:numPr>
          <w:ilvl w:val="0"/>
          <w:numId w:val="0"/>
        </w:numPr>
        <w:rPr>
          <w:rFonts w:hint="default"/>
          <w:lang w:val="en-US" w:eastAsia="zh-CN"/>
        </w:rPr>
      </w:pPr>
      <w:r>
        <w:drawing>
          <wp:inline distT="0" distB="0" distL="114300" distR="114300">
            <wp:extent cx="8037195" cy="2510790"/>
            <wp:effectExtent l="0" t="0" r="1905" b="3810"/>
            <wp:docPr id="3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pic:cNvPicPr>
                      <a:picLocks noChangeAspect="1"/>
                    </pic:cNvPicPr>
                  </pic:nvPicPr>
                  <pic:blipFill>
                    <a:blip r:embed="rId36"/>
                    <a:stretch>
                      <a:fillRect/>
                    </a:stretch>
                  </pic:blipFill>
                  <pic:spPr>
                    <a:xfrm>
                      <a:off x="0" y="0"/>
                      <a:ext cx="8037195" cy="2510790"/>
                    </a:xfrm>
                    <a:prstGeom prst="rect">
                      <a:avLst/>
                    </a:prstGeom>
                    <a:noFill/>
                    <a:ln>
                      <a:noFill/>
                    </a:ln>
                  </pic:spPr>
                </pic:pic>
              </a:graphicData>
            </a:graphic>
          </wp:inline>
        </w:drawing>
      </w:r>
    </w:p>
    <w:p w14:paraId="01EF0BBA">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lang w:val="en-US" w:eastAsia="zh-CN"/>
        </w:rPr>
        <w:t>八、</w:t>
      </w:r>
      <w:r>
        <w:rPr>
          <w:rStyle w:val="29"/>
          <w:rFonts w:hint="default" w:ascii="Times New Roman" w:hAnsi="Times New Roman" w:eastAsia="黑体" w:cs="Times New Roman"/>
          <w:b w:val="0"/>
          <w:bCs w:val="0"/>
        </w:rPr>
        <w:t>一般公共预算财政拨款基本支出决算表</w:t>
      </w:r>
    </w:p>
    <w:p w14:paraId="0F2DBC78">
      <w:pPr>
        <w:numPr>
          <w:ilvl w:val="0"/>
          <w:numId w:val="0"/>
        </w:numPr>
        <w:ind w:leftChars="0"/>
        <w:rPr>
          <w:rFonts w:hint="default" w:ascii="Times New Roman" w:hAnsi="Times New Roman" w:cs="Times New Roman"/>
        </w:rPr>
      </w:pPr>
      <w:r>
        <w:rPr>
          <w:rFonts w:hint="eastAsia"/>
          <w:lang w:val="en-US" w:eastAsia="zh-CN"/>
        </w:rPr>
        <w:t xml:space="preserve">      </w:t>
      </w:r>
      <w:r>
        <w:drawing>
          <wp:inline distT="0" distB="0" distL="114300" distR="114300">
            <wp:extent cx="7197090" cy="5193665"/>
            <wp:effectExtent l="0" t="0" r="3810" b="698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37"/>
                    <a:stretch>
                      <a:fillRect/>
                    </a:stretch>
                  </pic:blipFill>
                  <pic:spPr>
                    <a:xfrm>
                      <a:off x="0" y="0"/>
                      <a:ext cx="7197090" cy="5193665"/>
                    </a:xfrm>
                    <a:prstGeom prst="rect">
                      <a:avLst/>
                    </a:prstGeom>
                    <a:noFill/>
                    <a:ln>
                      <a:noFill/>
                    </a:ln>
                  </pic:spPr>
                </pic:pic>
              </a:graphicData>
            </a:graphic>
          </wp:inline>
        </w:drawing>
      </w:r>
    </w:p>
    <w:p w14:paraId="16805204">
      <w:pPr>
        <w:rPr>
          <w:rFonts w:hint="default" w:ascii="Times New Roman" w:hAnsi="Times New Roman" w:cs="Times New Roman"/>
        </w:rPr>
      </w:pPr>
    </w:p>
    <w:p w14:paraId="2638EB49">
      <w:pPr>
        <w:rPr>
          <w:rFonts w:hint="default" w:ascii="Times New Roman" w:hAnsi="Times New Roman" w:cs="Times New Roman"/>
        </w:rPr>
      </w:pPr>
    </w:p>
    <w:p w14:paraId="2B618C35">
      <w:pPr>
        <w:rPr>
          <w:rFonts w:hint="default" w:ascii="Times New Roman" w:hAnsi="Times New Roman" w:cs="Times New Roman"/>
        </w:rPr>
      </w:pPr>
    </w:p>
    <w:p w14:paraId="1B7CA327">
      <w:pPr>
        <w:pStyle w:val="3"/>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firstLine="640" w:firstLineChars="200"/>
        <w:textAlignment w:val="auto"/>
        <w:rPr>
          <w:rStyle w:val="29"/>
          <w:rFonts w:hint="default" w:ascii="Times New Roman" w:hAnsi="Times New Roman" w:eastAsia="黑体" w:cs="Times New Roman"/>
          <w:b w:val="0"/>
          <w:bCs w:val="0"/>
        </w:rPr>
      </w:pPr>
      <w:bookmarkStart w:id="57" w:name="_Toc15396627"/>
      <w:r>
        <w:rPr>
          <w:rStyle w:val="29"/>
          <w:rFonts w:hint="default" w:ascii="Times New Roman" w:hAnsi="Times New Roman" w:eastAsia="黑体" w:cs="Times New Roman"/>
          <w:b w:val="0"/>
          <w:bCs w:val="0"/>
        </w:rPr>
        <w:t>一般公共预算财政拨款项目支出决算表</w:t>
      </w:r>
      <w:bookmarkEnd w:id="57"/>
    </w:p>
    <w:p w14:paraId="15DCEDBC">
      <w:pPr>
        <w:widowControl w:val="0"/>
        <w:numPr>
          <w:ilvl w:val="0"/>
          <w:numId w:val="0"/>
        </w:numPr>
        <w:jc w:val="both"/>
        <w:rPr>
          <w:rFonts w:hint="default"/>
        </w:rPr>
      </w:pPr>
    </w:p>
    <w:p w14:paraId="1FB8EAD0">
      <w:pPr>
        <w:widowControl w:val="0"/>
        <w:numPr>
          <w:ilvl w:val="0"/>
          <w:numId w:val="0"/>
        </w:numPr>
        <w:jc w:val="both"/>
        <w:rPr>
          <w:rFonts w:hint="default"/>
        </w:rPr>
      </w:pPr>
      <w:r>
        <w:rPr>
          <w:rFonts w:hint="eastAsia"/>
          <w:lang w:val="en-US" w:eastAsia="zh-CN"/>
        </w:rPr>
        <w:t xml:space="preserve">      </w:t>
      </w:r>
      <w:r>
        <w:drawing>
          <wp:inline distT="0" distB="0" distL="114300" distR="114300">
            <wp:extent cx="7177405" cy="3868420"/>
            <wp:effectExtent l="0" t="0" r="4445" b="1778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38"/>
                    <a:stretch>
                      <a:fillRect/>
                    </a:stretch>
                  </pic:blipFill>
                  <pic:spPr>
                    <a:xfrm>
                      <a:off x="0" y="0"/>
                      <a:ext cx="7177405" cy="3868420"/>
                    </a:xfrm>
                    <a:prstGeom prst="rect">
                      <a:avLst/>
                    </a:prstGeom>
                    <a:noFill/>
                    <a:ln>
                      <a:noFill/>
                    </a:ln>
                  </pic:spPr>
                </pic:pic>
              </a:graphicData>
            </a:graphic>
          </wp:inline>
        </w:drawing>
      </w:r>
    </w:p>
    <w:p w14:paraId="5DDCD3C4">
      <w:pPr>
        <w:widowControl w:val="0"/>
        <w:numPr>
          <w:ilvl w:val="0"/>
          <w:numId w:val="0"/>
        </w:numPr>
        <w:jc w:val="both"/>
        <w:rPr>
          <w:rFonts w:hint="default"/>
        </w:rPr>
      </w:pPr>
    </w:p>
    <w:p w14:paraId="17B413B6">
      <w:pPr>
        <w:rPr>
          <w:rFonts w:hint="default"/>
          <w:lang w:eastAsia="zh-CN"/>
        </w:rPr>
      </w:pPr>
    </w:p>
    <w:p w14:paraId="4C73F53C">
      <w:pPr>
        <w:pStyle w:val="3"/>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政府性基金预算财政拨款收入支出决算表</w:t>
      </w:r>
    </w:p>
    <w:p w14:paraId="3DB0D423">
      <w:pPr>
        <w:numPr>
          <w:ilvl w:val="0"/>
          <w:numId w:val="0"/>
        </w:numPr>
        <w:ind w:leftChars="200"/>
        <w:rPr>
          <w:rFonts w:hint="default"/>
        </w:rPr>
      </w:pPr>
    </w:p>
    <w:p w14:paraId="29E94D76">
      <w:pPr>
        <w:numPr>
          <w:ilvl w:val="0"/>
          <w:numId w:val="0"/>
        </w:numPr>
        <w:ind w:leftChars="0"/>
      </w:pPr>
      <w:r>
        <w:drawing>
          <wp:inline distT="0" distB="0" distL="114300" distR="114300">
            <wp:extent cx="8860155" cy="2932430"/>
            <wp:effectExtent l="0" t="0" r="17145" b="1270"/>
            <wp:docPr id="86"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69"/>
                    <pic:cNvPicPr>
                      <a:picLocks noChangeAspect="1"/>
                    </pic:cNvPicPr>
                  </pic:nvPicPr>
                  <pic:blipFill>
                    <a:blip r:embed="rId39"/>
                    <a:stretch>
                      <a:fillRect/>
                    </a:stretch>
                  </pic:blipFill>
                  <pic:spPr>
                    <a:xfrm>
                      <a:off x="0" y="0"/>
                      <a:ext cx="8860155" cy="2932430"/>
                    </a:xfrm>
                    <a:prstGeom prst="rect">
                      <a:avLst/>
                    </a:prstGeom>
                    <a:noFill/>
                    <a:ln>
                      <a:noFill/>
                    </a:ln>
                  </pic:spPr>
                </pic:pic>
              </a:graphicData>
            </a:graphic>
          </wp:inline>
        </w:drawing>
      </w:r>
    </w:p>
    <w:p w14:paraId="19B1092C">
      <w:pPr>
        <w:numPr>
          <w:ilvl w:val="0"/>
          <w:numId w:val="0"/>
        </w:numPr>
        <w:ind w:leftChars="0"/>
      </w:pPr>
    </w:p>
    <w:p w14:paraId="52EA4491">
      <w:pPr>
        <w:numPr>
          <w:ilvl w:val="0"/>
          <w:numId w:val="0"/>
        </w:numPr>
        <w:ind w:leftChars="0"/>
      </w:pPr>
    </w:p>
    <w:p w14:paraId="7B3E7708">
      <w:pPr>
        <w:numPr>
          <w:ilvl w:val="0"/>
          <w:numId w:val="0"/>
        </w:numPr>
        <w:ind w:leftChars="0"/>
      </w:pPr>
    </w:p>
    <w:p w14:paraId="2D31BB64">
      <w:pPr>
        <w:numPr>
          <w:ilvl w:val="0"/>
          <w:numId w:val="0"/>
        </w:numPr>
        <w:ind w:leftChars="0"/>
      </w:pPr>
    </w:p>
    <w:p w14:paraId="73911480">
      <w:pPr>
        <w:numPr>
          <w:ilvl w:val="0"/>
          <w:numId w:val="0"/>
        </w:numPr>
        <w:ind w:leftChars="0"/>
      </w:pPr>
    </w:p>
    <w:p w14:paraId="515AB933">
      <w:pPr>
        <w:numPr>
          <w:ilvl w:val="0"/>
          <w:numId w:val="0"/>
        </w:numPr>
        <w:ind w:leftChars="0"/>
      </w:pPr>
    </w:p>
    <w:p w14:paraId="39238020">
      <w:pPr>
        <w:numPr>
          <w:ilvl w:val="0"/>
          <w:numId w:val="0"/>
        </w:numPr>
        <w:ind w:leftChars="0"/>
      </w:pPr>
    </w:p>
    <w:p w14:paraId="79FF9942">
      <w:pPr>
        <w:numPr>
          <w:ilvl w:val="0"/>
          <w:numId w:val="0"/>
        </w:numPr>
        <w:ind w:leftChars="0"/>
        <w:rPr>
          <w:rFonts w:hint="default"/>
          <w:lang w:eastAsia="zh-CN"/>
        </w:rPr>
      </w:pPr>
    </w:p>
    <w:p w14:paraId="456B9967">
      <w:pPr>
        <w:pStyle w:val="3"/>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国有资本经营预算财政拨款收入支出决算表</w:t>
      </w:r>
    </w:p>
    <w:p w14:paraId="048639C4">
      <w:pPr>
        <w:numPr>
          <w:ilvl w:val="0"/>
          <w:numId w:val="0"/>
        </w:numPr>
        <w:ind w:leftChars="200"/>
        <w:rPr>
          <w:rFonts w:hint="default"/>
        </w:rPr>
      </w:pPr>
    </w:p>
    <w:p w14:paraId="761E5DE8">
      <w:pPr>
        <w:numPr>
          <w:ilvl w:val="0"/>
          <w:numId w:val="0"/>
        </w:numPr>
        <w:ind w:leftChars="0"/>
        <w:rPr>
          <w:rFonts w:hint="default" w:ascii="Times New Roman" w:hAnsi="Times New Roman" w:cs="Times New Roman"/>
        </w:rPr>
      </w:pPr>
      <w:r>
        <w:rPr>
          <w:rFonts w:hint="eastAsia"/>
          <w:lang w:val="en-US" w:eastAsia="zh-CN"/>
        </w:rPr>
        <w:t xml:space="preserve">      </w:t>
      </w:r>
      <w:r>
        <w:drawing>
          <wp:inline distT="0" distB="0" distL="114300" distR="114300">
            <wp:extent cx="8160385" cy="3732530"/>
            <wp:effectExtent l="0" t="0" r="12065" b="1270"/>
            <wp:docPr id="87"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0"/>
                    <pic:cNvPicPr>
                      <a:picLocks noChangeAspect="1"/>
                    </pic:cNvPicPr>
                  </pic:nvPicPr>
                  <pic:blipFill>
                    <a:blip r:embed="rId40"/>
                    <a:stretch>
                      <a:fillRect/>
                    </a:stretch>
                  </pic:blipFill>
                  <pic:spPr>
                    <a:xfrm>
                      <a:off x="0" y="0"/>
                      <a:ext cx="8160385" cy="3732530"/>
                    </a:xfrm>
                    <a:prstGeom prst="rect">
                      <a:avLst/>
                    </a:prstGeom>
                    <a:noFill/>
                    <a:ln>
                      <a:noFill/>
                    </a:ln>
                  </pic:spPr>
                </pic:pic>
              </a:graphicData>
            </a:graphic>
          </wp:inline>
        </w:drawing>
      </w:r>
    </w:p>
    <w:p w14:paraId="608EC6D4">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Style w:val="29"/>
          <w:rFonts w:hint="default" w:ascii="Times New Roman" w:hAnsi="Times New Roman" w:eastAsia="黑体" w:cs="Times New Roman"/>
          <w:b w:val="0"/>
          <w:bCs w:val="0"/>
          <w:lang w:eastAsia="zh-CN"/>
        </w:rPr>
      </w:pPr>
    </w:p>
    <w:p w14:paraId="22640896">
      <w:pPr>
        <w:rPr>
          <w:rStyle w:val="29"/>
          <w:rFonts w:hint="default" w:ascii="Times New Roman" w:hAnsi="Times New Roman" w:eastAsia="黑体" w:cs="Times New Roman"/>
          <w:b w:val="0"/>
          <w:bCs w:val="0"/>
          <w:lang w:eastAsia="zh-CN"/>
        </w:rPr>
      </w:pPr>
    </w:p>
    <w:p w14:paraId="10B590C2">
      <w:pPr>
        <w:rPr>
          <w:rStyle w:val="29"/>
          <w:rFonts w:hint="default" w:ascii="Times New Roman" w:hAnsi="Times New Roman" w:eastAsia="黑体" w:cs="Times New Roman"/>
          <w:b w:val="0"/>
          <w:bCs w:val="0"/>
          <w:lang w:eastAsia="zh-CN"/>
        </w:rPr>
      </w:pPr>
    </w:p>
    <w:p w14:paraId="4EA3DED3">
      <w:pPr>
        <w:pStyle w:val="3"/>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国有资本经营预算财政拨款支出决算表</w:t>
      </w:r>
    </w:p>
    <w:p w14:paraId="773C247B">
      <w:pPr>
        <w:numPr>
          <w:ilvl w:val="0"/>
          <w:numId w:val="0"/>
        </w:numPr>
        <w:ind w:leftChars="200"/>
        <w:rPr>
          <w:rFonts w:hint="default"/>
        </w:rPr>
      </w:pPr>
    </w:p>
    <w:p w14:paraId="06883DC0">
      <w:pPr>
        <w:numPr>
          <w:ilvl w:val="0"/>
          <w:numId w:val="0"/>
        </w:numPr>
        <w:ind w:leftChars="0"/>
        <w:rPr>
          <w:rStyle w:val="29"/>
          <w:rFonts w:hint="default" w:ascii="Times New Roman" w:hAnsi="Times New Roman" w:eastAsia="黑体" w:cs="Times New Roman"/>
          <w:b w:val="0"/>
          <w:bCs w:val="0"/>
          <w:lang w:eastAsia="zh-CN"/>
        </w:rPr>
      </w:pPr>
      <w:r>
        <w:rPr>
          <w:rFonts w:hint="eastAsia"/>
          <w:lang w:val="en-US" w:eastAsia="zh-CN"/>
        </w:rPr>
        <w:t xml:space="preserve">       </w:t>
      </w:r>
      <w:r>
        <w:drawing>
          <wp:inline distT="0" distB="0" distL="114300" distR="114300">
            <wp:extent cx="7552055" cy="3644900"/>
            <wp:effectExtent l="0" t="0" r="10795" b="12700"/>
            <wp:docPr id="88"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1"/>
                    <pic:cNvPicPr>
                      <a:picLocks noChangeAspect="1"/>
                    </pic:cNvPicPr>
                  </pic:nvPicPr>
                  <pic:blipFill>
                    <a:blip r:embed="rId41"/>
                    <a:stretch>
                      <a:fillRect/>
                    </a:stretch>
                  </pic:blipFill>
                  <pic:spPr>
                    <a:xfrm>
                      <a:off x="0" y="0"/>
                      <a:ext cx="7552055" cy="3644900"/>
                    </a:xfrm>
                    <a:prstGeom prst="rect">
                      <a:avLst/>
                    </a:prstGeom>
                    <a:noFill/>
                    <a:ln>
                      <a:noFill/>
                    </a:ln>
                  </pic:spPr>
                </pic:pic>
              </a:graphicData>
            </a:graphic>
          </wp:inline>
        </w:drawing>
      </w:r>
    </w:p>
    <w:p w14:paraId="2526C98A">
      <w:pPr>
        <w:pStyle w:val="3"/>
        <w:keepNext/>
        <w:keepLines/>
        <w:pageBreakBefore w:val="0"/>
        <w:widowControl w:val="0"/>
        <w:numPr>
          <w:ilvl w:val="0"/>
          <w:numId w:val="0"/>
        </w:numPr>
        <w:kinsoku/>
        <w:wordWrap/>
        <w:overflowPunct/>
        <w:topLinePunct w:val="0"/>
        <w:autoSpaceDE/>
        <w:autoSpaceDN/>
        <w:bidi w:val="0"/>
        <w:adjustRightInd/>
        <w:snapToGrid/>
        <w:spacing w:before="0" w:after="0" w:line="560" w:lineRule="exact"/>
        <w:textAlignment w:val="auto"/>
        <w:rPr>
          <w:rStyle w:val="29"/>
          <w:rFonts w:hint="eastAsia" w:ascii="Times New Roman" w:hAnsi="Times New Roman" w:eastAsia="黑体" w:cs="Times New Roman"/>
          <w:b w:val="0"/>
          <w:bCs w:val="0"/>
          <w:lang w:val="en-US" w:eastAsia="zh-CN"/>
        </w:rPr>
      </w:pPr>
      <w:r>
        <w:rPr>
          <w:rStyle w:val="29"/>
          <w:rFonts w:hint="eastAsia" w:ascii="Times New Roman" w:hAnsi="Times New Roman" w:eastAsia="黑体" w:cs="Times New Roman"/>
          <w:b w:val="0"/>
          <w:bCs w:val="0"/>
          <w:lang w:val="en-US" w:eastAsia="zh-CN"/>
        </w:rPr>
        <w:t xml:space="preserve">  </w:t>
      </w:r>
    </w:p>
    <w:p w14:paraId="5648F018">
      <w:pPr>
        <w:rPr>
          <w:rStyle w:val="29"/>
          <w:rFonts w:hint="eastAsia" w:ascii="Times New Roman" w:hAnsi="Times New Roman" w:eastAsia="黑体" w:cs="Times New Roman"/>
          <w:b w:val="0"/>
          <w:bCs w:val="0"/>
          <w:lang w:val="en-US" w:eastAsia="zh-CN"/>
        </w:rPr>
      </w:pPr>
    </w:p>
    <w:p w14:paraId="7EE99689">
      <w:pPr>
        <w:rPr>
          <w:rStyle w:val="29"/>
          <w:rFonts w:hint="eastAsia" w:ascii="Times New Roman" w:hAnsi="Times New Roman" w:eastAsia="黑体" w:cs="Times New Roman"/>
          <w:b w:val="0"/>
          <w:bCs w:val="0"/>
          <w:lang w:val="en-US" w:eastAsia="zh-CN"/>
        </w:rPr>
      </w:pPr>
    </w:p>
    <w:p w14:paraId="7B66FE05">
      <w:pPr>
        <w:rPr>
          <w:rFonts w:hint="default"/>
          <w:lang w:val="en-US" w:eastAsia="zh-CN"/>
        </w:rPr>
      </w:pPr>
    </w:p>
    <w:p w14:paraId="365A9213">
      <w:pPr>
        <w:pStyle w:val="3"/>
        <w:keepNext/>
        <w:keepLines/>
        <w:pageBreakBefore w:val="0"/>
        <w:widowControl w:val="0"/>
        <w:numPr>
          <w:ilvl w:val="0"/>
          <w:numId w:val="4"/>
        </w:numPr>
        <w:kinsoku/>
        <w:wordWrap/>
        <w:overflowPunct/>
        <w:topLinePunct w:val="0"/>
        <w:autoSpaceDE/>
        <w:autoSpaceDN/>
        <w:bidi w:val="0"/>
        <w:adjustRightInd/>
        <w:snapToGrid/>
        <w:spacing w:before="0" w:after="0" w:line="560" w:lineRule="exact"/>
        <w:ind w:left="0" w:leftChars="0" w:firstLine="640" w:firstLineChars="200"/>
        <w:textAlignment w:val="auto"/>
        <w:rPr>
          <w:rStyle w:val="29"/>
          <w:rFonts w:hint="default" w:ascii="Times New Roman" w:hAnsi="Times New Roman" w:eastAsia="黑体" w:cs="Times New Roman"/>
          <w:b w:val="0"/>
          <w:bCs w:val="0"/>
        </w:rPr>
      </w:pPr>
      <w:r>
        <w:rPr>
          <w:rStyle w:val="29"/>
          <w:rFonts w:hint="default" w:ascii="Times New Roman" w:hAnsi="Times New Roman" w:eastAsia="黑体" w:cs="Times New Roman"/>
          <w:b w:val="0"/>
          <w:bCs w:val="0"/>
        </w:rPr>
        <w:t>财政拨款“三公”经费支出决算表</w:t>
      </w:r>
    </w:p>
    <w:p w14:paraId="16CE8723">
      <w:pPr>
        <w:numPr>
          <w:ilvl w:val="0"/>
          <w:numId w:val="0"/>
        </w:numPr>
        <w:ind w:leftChars="200"/>
        <w:rPr>
          <w:rFonts w:hint="default"/>
        </w:rPr>
      </w:pPr>
    </w:p>
    <w:p w14:paraId="36142284">
      <w:pPr>
        <w:numPr>
          <w:ilvl w:val="0"/>
          <w:numId w:val="0"/>
        </w:numPr>
        <w:ind w:leftChars="0"/>
        <w:rPr>
          <w:rFonts w:hint="default" w:ascii="Times New Roman" w:hAnsi="Times New Roman" w:cs="Times New Roman"/>
        </w:rPr>
      </w:pPr>
      <w:r>
        <w:drawing>
          <wp:inline distT="0" distB="0" distL="114300" distR="114300">
            <wp:extent cx="8860155" cy="2497455"/>
            <wp:effectExtent l="0" t="0" r="17145" b="17145"/>
            <wp:docPr id="89"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2"/>
                    <pic:cNvPicPr>
                      <a:picLocks noChangeAspect="1"/>
                    </pic:cNvPicPr>
                  </pic:nvPicPr>
                  <pic:blipFill>
                    <a:blip r:embed="rId42"/>
                    <a:stretch>
                      <a:fillRect/>
                    </a:stretch>
                  </pic:blipFill>
                  <pic:spPr>
                    <a:xfrm>
                      <a:off x="0" y="0"/>
                      <a:ext cx="8860155" cy="2497455"/>
                    </a:xfrm>
                    <a:prstGeom prst="rect">
                      <a:avLst/>
                    </a:prstGeom>
                    <a:noFill/>
                    <a:ln>
                      <a:noFill/>
                    </a:ln>
                  </pic:spPr>
                </pic:pic>
              </a:graphicData>
            </a:graphic>
          </wp:inline>
        </w:drawing>
      </w:r>
    </w:p>
    <w:sectPr>
      <w:pgSz w:w="16838" w:h="11906" w:orient="landscape"/>
      <w:pgMar w:top="1236" w:right="1440" w:bottom="1800" w:left="144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B8B91">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-95250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14:paraId="0264C839">
                              <w:pPr>
                                <w:pStyle w:val="10"/>
                                <w:jc w:val="center"/>
                              </w:pPr>
                              <w:r>
                                <w:fldChar w:fldCharType="begin"/>
                              </w:r>
                              <w:r>
                                <w:instrText xml:space="preserve">PAGE   \* MERGEFORMAT</w:instrText>
                              </w:r>
                              <w:r>
                                <w:fldChar w:fldCharType="separate"/>
                              </w:r>
                              <w:r>
                                <w:rPr>
                                  <w:lang w:val="zh-CN"/>
                                </w:rPr>
                                <w:t>17</w:t>
                              </w:r>
                              <w:r>
                                <w:fldChar w:fldCharType="end"/>
                              </w:r>
                            </w:p>
                          </w:sdtContent>
                        </w:sdt>
                        <w:p w14:paraId="4ABCF95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center;mso-position-horizontal-relative:margin;mso-wrap-style:none;z-index:251661312;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BWPKdUAAAAIAQAADwAAAAAAAAABACAAAAAiAAAAZHJzL2Rvd25yZXYueG1sUEsB&#10;AhQAFAAAAAgAh07iQOsAOHoxAgAAYwQAAA4AAAAAAAAAAQAgAAAAJAEAAGRycy9lMm9Eb2MueG1s&#10;UEsFBgAAAAAGAAYAWQEAAMcFAAAAAA==&#10;">
              <v:fill on="f" focussize="0,0"/>
              <v:stroke on="f" weight="0.5pt"/>
              <v:imagedata o:title=""/>
              <o:lock v:ext="edit" aspectratio="f"/>
              <v:textbox inset="0mm,0mm,0mm,0mm" style="mso-fit-shape-to-text:t;">
                <w:txbxContent>
                  <w:sdt>
                    <w:sdtPr>
                      <w:id w:val="-1994781956"/>
                    </w:sdtPr>
                    <w:sdtContent>
                      <w:p w14:paraId="0264C839">
                        <w:pPr>
                          <w:pStyle w:val="10"/>
                          <w:jc w:val="center"/>
                        </w:pPr>
                        <w:r>
                          <w:fldChar w:fldCharType="begin"/>
                        </w:r>
                        <w:r>
                          <w:instrText xml:space="preserve">PAGE   \* MERGEFORMAT</w:instrText>
                        </w:r>
                        <w:r>
                          <w:fldChar w:fldCharType="separate"/>
                        </w:r>
                        <w:r>
                          <w:rPr>
                            <w:lang w:val="zh-CN"/>
                          </w:rPr>
                          <w:t>17</w:t>
                        </w:r>
                        <w:r>
                          <w:fldChar w:fldCharType="end"/>
                        </w:r>
                      </w:p>
                    </w:sdtContent>
                  </w:sdt>
                  <w:p w14:paraId="4ABCF954"/>
                </w:txbxContent>
              </v:textbox>
            </v:shape>
          </w:pict>
        </mc:Fallback>
      </mc:AlternateContent>
    </w:r>
  </w:p>
  <w:p w14:paraId="4C3C408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327C4">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ECBBE">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83356">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1C0E6">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56EB">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-95250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5690"/>
                          </w:sdtPr>
                          <w:sdtContent>
                            <w:p w14:paraId="2F9EF78F">
                              <w:pPr>
                                <w:pStyle w:val="1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17</w:t>
                              </w:r>
                              <w:r>
                                <w:rPr>
                                  <w:rFonts w:hint="eastAsia" w:ascii="仿宋" w:hAnsi="仿宋" w:eastAsia="仿宋" w:cs="仿宋"/>
                                  <w:sz w:val="24"/>
                                  <w:szCs w:val="24"/>
                                </w:rPr>
                                <w:fldChar w:fldCharType="end"/>
                              </w:r>
                            </w:p>
                          </w:sdtContent>
                        </w:sdt>
                        <w:p w14:paraId="24ED3C25"/>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5pt;height:144pt;width:144pt;mso-position-horizontal:center;mso-position-horizontal-relative:margin;mso-wrap-style:none;z-index:251659264;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gVjynVAAAACAEAAA8AAAAAAAAAAQAgAAAAIgAAAGRycy9kb3ducmV2LnhtbFBL&#10;AQIUABQAAAAIAIdO4kAClSD0MgIAAGEEAAAOAAAAAAAAAAEAIAAAACQBAABkcnMvZTJvRG9jLnht&#10;bFBLBQYAAAAABgAGAFkBAADIBQAAAAA=&#10;">
              <v:fill on="f" focussize="0,0"/>
              <v:stroke on="f" weight="0.5pt"/>
              <v:imagedata o:title=""/>
              <o:lock v:ext="edit" aspectratio="f"/>
              <v:textbox inset="0mm,0mm,0mm,0mm" style="mso-fit-shape-to-text:t;">
                <w:txbxContent>
                  <w:sdt>
                    <w:sdtPr>
                      <w:id w:val="147465690"/>
                    </w:sdtPr>
                    <w:sdtContent>
                      <w:p w14:paraId="2F9EF78F">
                        <w:pPr>
                          <w:pStyle w:val="10"/>
                          <w:jc w:val="cente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PAGE   \* MERGEFORMAT</w:instrText>
                        </w:r>
                        <w:r>
                          <w:rPr>
                            <w:rFonts w:hint="eastAsia" w:ascii="仿宋" w:hAnsi="仿宋" w:eastAsia="仿宋" w:cs="仿宋"/>
                            <w:sz w:val="24"/>
                            <w:szCs w:val="24"/>
                          </w:rPr>
                          <w:fldChar w:fldCharType="separate"/>
                        </w:r>
                        <w:r>
                          <w:rPr>
                            <w:rFonts w:hint="eastAsia" w:ascii="仿宋" w:hAnsi="仿宋" w:eastAsia="仿宋" w:cs="仿宋"/>
                            <w:sz w:val="24"/>
                            <w:szCs w:val="24"/>
                            <w:lang w:val="zh-CN"/>
                          </w:rPr>
                          <w:t>17</w:t>
                        </w:r>
                        <w:r>
                          <w:rPr>
                            <w:rFonts w:hint="eastAsia" w:ascii="仿宋" w:hAnsi="仿宋" w:eastAsia="仿宋" w:cs="仿宋"/>
                            <w:sz w:val="24"/>
                            <w:szCs w:val="24"/>
                          </w:rPr>
                          <w:fldChar w:fldCharType="end"/>
                        </w:r>
                      </w:p>
                    </w:sdtContent>
                  </w:sdt>
                  <w:p w14:paraId="24ED3C25"/>
                </w:txbxContent>
              </v:textbox>
            </v:shape>
          </w:pict>
        </mc:Fallback>
      </mc:AlternateContent>
    </w:r>
  </w:p>
  <w:p w14:paraId="338FF7E2">
    <w:pPr>
      <w:pStyle w:val="10"/>
      <w:tabs>
        <w:tab w:val="clear" w:pos="4153"/>
      </w:tabs>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D6980">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-95250</wp:posOffset>
              </wp:positionV>
              <wp:extent cx="567690" cy="25209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67690" cy="2520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E6CECD">
                          <w:pPr>
                            <w:pStyle w:val="10"/>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5pt;height:19.85pt;width:44.7pt;mso-position-horizontal:center;mso-position-horizontal-relative:margin;z-index:251660288;mso-width-relative:page;mso-height-relative:page;" filled="f" stroked="f" coordsize="21600,21600" o:gfxdata="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26kDDWAAAABgEAAA8AAAAAAAAAAQAgAAAAIgAAAGRycy9kb3ducmV2&#10;LnhtbFBLAQIUABQAAAAIAIdO4kB1k+f8NwIAAGMEAAAOAAAAAAAAAAEAIAAAACUBAABkcnMvZTJv&#10;RG9jLnhtbFBLBQYAAAAABgAGAFkBAADOBQAAAAA=&#10;">
              <v:fill on="f" focussize="0,0"/>
              <v:stroke on="f" weight="0.5pt"/>
              <v:imagedata o:title=""/>
              <o:lock v:ext="edit" aspectratio="f"/>
              <v:textbox inset="0mm,0mm,0mm,0mm">
                <w:txbxContent>
                  <w:p w14:paraId="62E6CECD">
                    <w:pPr>
                      <w:pStyle w:val="10"/>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0B44B">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3BE776"/>
    <w:multiLevelType w:val="singleLevel"/>
    <w:tmpl w:val="C33BE776"/>
    <w:lvl w:ilvl="0" w:tentative="0">
      <w:start w:val="7"/>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62448398"/>
    <w:multiLevelType w:val="singleLevel"/>
    <w:tmpl w:val="62448398"/>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wMWVkZTk3YzVlZDg0OTA2ODQ2NWZkODg1YjhmYjYifQ=="/>
  </w:docVars>
  <w:rsids>
    <w:rsidRoot w:val="00F1361C"/>
    <w:rsid w:val="000142FB"/>
    <w:rsid w:val="000222C6"/>
    <w:rsid w:val="0002549F"/>
    <w:rsid w:val="000468DB"/>
    <w:rsid w:val="0006487A"/>
    <w:rsid w:val="00065F8F"/>
    <w:rsid w:val="00070A43"/>
    <w:rsid w:val="000768F2"/>
    <w:rsid w:val="0009184B"/>
    <w:rsid w:val="00094236"/>
    <w:rsid w:val="0009593C"/>
    <w:rsid w:val="00097322"/>
    <w:rsid w:val="000A6A92"/>
    <w:rsid w:val="000B047F"/>
    <w:rsid w:val="000B1D1B"/>
    <w:rsid w:val="000B5923"/>
    <w:rsid w:val="000B5A48"/>
    <w:rsid w:val="000B6FF3"/>
    <w:rsid w:val="000B7774"/>
    <w:rsid w:val="000C3467"/>
    <w:rsid w:val="000C3CA6"/>
    <w:rsid w:val="000D1267"/>
    <w:rsid w:val="000D1D50"/>
    <w:rsid w:val="000D5782"/>
    <w:rsid w:val="000E6613"/>
    <w:rsid w:val="000E7119"/>
    <w:rsid w:val="00114E9B"/>
    <w:rsid w:val="00115EF5"/>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527F"/>
    <w:rsid w:val="00235629"/>
    <w:rsid w:val="00260C38"/>
    <w:rsid w:val="002616C0"/>
    <w:rsid w:val="00265372"/>
    <w:rsid w:val="002662AA"/>
    <w:rsid w:val="00280496"/>
    <w:rsid w:val="00294DC9"/>
    <w:rsid w:val="00295495"/>
    <w:rsid w:val="002A31DE"/>
    <w:rsid w:val="002A66F7"/>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4B0A"/>
    <w:rsid w:val="003C6115"/>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2FBC"/>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40C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7771"/>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38FA"/>
    <w:rsid w:val="00A56DF2"/>
    <w:rsid w:val="00A56E6E"/>
    <w:rsid w:val="00A67AB5"/>
    <w:rsid w:val="00A733B2"/>
    <w:rsid w:val="00A741C2"/>
    <w:rsid w:val="00A9134F"/>
    <w:rsid w:val="00A91760"/>
    <w:rsid w:val="00A93B00"/>
    <w:rsid w:val="00A93C21"/>
    <w:rsid w:val="00AB64C9"/>
    <w:rsid w:val="00AC3C6A"/>
    <w:rsid w:val="00AD5620"/>
    <w:rsid w:val="00AD656B"/>
    <w:rsid w:val="00AD6763"/>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127B"/>
    <w:rsid w:val="00B77EA6"/>
    <w:rsid w:val="00B81598"/>
    <w:rsid w:val="00B841F1"/>
    <w:rsid w:val="00B90A81"/>
    <w:rsid w:val="00B944D6"/>
    <w:rsid w:val="00BB4DF0"/>
    <w:rsid w:val="00BC289F"/>
    <w:rsid w:val="00BC2D50"/>
    <w:rsid w:val="00BC5361"/>
    <w:rsid w:val="00BC5460"/>
    <w:rsid w:val="00BC6B50"/>
    <w:rsid w:val="00BD0E25"/>
    <w:rsid w:val="00BE083A"/>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CF2FD5"/>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DF49F1"/>
    <w:rsid w:val="00E01053"/>
    <w:rsid w:val="00E07ACF"/>
    <w:rsid w:val="00E12236"/>
    <w:rsid w:val="00E331A1"/>
    <w:rsid w:val="00E33202"/>
    <w:rsid w:val="00E336A9"/>
    <w:rsid w:val="00E472B1"/>
    <w:rsid w:val="00E50624"/>
    <w:rsid w:val="00E5174E"/>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05D1B"/>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EC2486"/>
    <w:rsid w:val="02143E91"/>
    <w:rsid w:val="066E0107"/>
    <w:rsid w:val="07996F6E"/>
    <w:rsid w:val="0A2032A3"/>
    <w:rsid w:val="0F98263C"/>
    <w:rsid w:val="0FE61E46"/>
    <w:rsid w:val="101860EC"/>
    <w:rsid w:val="10C055FF"/>
    <w:rsid w:val="118107EC"/>
    <w:rsid w:val="13D50BC4"/>
    <w:rsid w:val="16BB723D"/>
    <w:rsid w:val="17E56909"/>
    <w:rsid w:val="1A5B5013"/>
    <w:rsid w:val="1BE8440E"/>
    <w:rsid w:val="1CCB1E4B"/>
    <w:rsid w:val="1D155CEE"/>
    <w:rsid w:val="1EE5127D"/>
    <w:rsid w:val="1FF35744"/>
    <w:rsid w:val="23860B96"/>
    <w:rsid w:val="2403640B"/>
    <w:rsid w:val="240371BF"/>
    <w:rsid w:val="25624B1E"/>
    <w:rsid w:val="299B137B"/>
    <w:rsid w:val="29FD04D3"/>
    <w:rsid w:val="2C270268"/>
    <w:rsid w:val="2C8A61B5"/>
    <w:rsid w:val="2DF04E50"/>
    <w:rsid w:val="2DFF591F"/>
    <w:rsid w:val="2E672351"/>
    <w:rsid w:val="2F040D46"/>
    <w:rsid w:val="319F7F4E"/>
    <w:rsid w:val="3304709D"/>
    <w:rsid w:val="339E5895"/>
    <w:rsid w:val="34B85AD1"/>
    <w:rsid w:val="36AA5135"/>
    <w:rsid w:val="372C3219"/>
    <w:rsid w:val="376D39B2"/>
    <w:rsid w:val="37E16F03"/>
    <w:rsid w:val="38D469F0"/>
    <w:rsid w:val="3D98207C"/>
    <w:rsid w:val="3E78745D"/>
    <w:rsid w:val="44E268DA"/>
    <w:rsid w:val="487B7DFA"/>
    <w:rsid w:val="4A627F82"/>
    <w:rsid w:val="4B0E749A"/>
    <w:rsid w:val="4B4F25DA"/>
    <w:rsid w:val="4BE068DB"/>
    <w:rsid w:val="4D577224"/>
    <w:rsid w:val="4EAB630A"/>
    <w:rsid w:val="4ECE2238"/>
    <w:rsid w:val="50C3144F"/>
    <w:rsid w:val="53637BCF"/>
    <w:rsid w:val="537E6D0A"/>
    <w:rsid w:val="55E808A8"/>
    <w:rsid w:val="584E5DA6"/>
    <w:rsid w:val="5AF92295"/>
    <w:rsid w:val="5B086207"/>
    <w:rsid w:val="5CD71FC4"/>
    <w:rsid w:val="608F5287"/>
    <w:rsid w:val="625C7E30"/>
    <w:rsid w:val="65BC5E1C"/>
    <w:rsid w:val="685349A5"/>
    <w:rsid w:val="6C4A05C8"/>
    <w:rsid w:val="6D3E15C9"/>
    <w:rsid w:val="6E7E3605"/>
    <w:rsid w:val="6FDE6007"/>
    <w:rsid w:val="6FF5CC65"/>
    <w:rsid w:val="715C0E4B"/>
    <w:rsid w:val="72734D90"/>
    <w:rsid w:val="73AD73D5"/>
    <w:rsid w:val="73B6EB34"/>
    <w:rsid w:val="744731E5"/>
    <w:rsid w:val="75E26493"/>
    <w:rsid w:val="760E5364"/>
    <w:rsid w:val="765B5D65"/>
    <w:rsid w:val="76E3355F"/>
    <w:rsid w:val="778769C8"/>
    <w:rsid w:val="77963EA7"/>
    <w:rsid w:val="77FA4ACC"/>
    <w:rsid w:val="788103D3"/>
    <w:rsid w:val="79EE5BA4"/>
    <w:rsid w:val="7A23054D"/>
    <w:rsid w:val="7A894339"/>
    <w:rsid w:val="7DF05160"/>
    <w:rsid w:val="7EEF11D3"/>
    <w:rsid w:val="7FA30C79"/>
    <w:rsid w:val="7FB7269E"/>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5"/>
    <w:qFormat/>
    <w:uiPriority w:val="99"/>
    <w:pPr>
      <w:spacing w:beforeLines="30"/>
    </w:pPr>
    <w:rPr>
      <w:rFonts w:ascii="仿宋_GB2312" w:eastAsia="仿宋_GB2312"/>
      <w:kern w:val="0"/>
      <w:sz w:val="30"/>
    </w:r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6"/>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9"/>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footer" Target="footer1.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png"/><Relationship Id="rId30" Type="http://schemas.openxmlformats.org/officeDocument/2006/relationships/image" Target="media/image12.png"/><Relationship Id="rId3" Type="http://schemas.openxmlformats.org/officeDocument/2006/relationships/header" Target="header1.xml"/><Relationship Id="rId29" Type="http://schemas.openxmlformats.org/officeDocument/2006/relationships/image" Target="media/image11.png"/><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oleObject" Target="embeddings/oleObject1.bin"/><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sz="1200" b="0"/>
              <a:t>单位：万元</a:t>
            </a:r>
            <a:endParaRPr sz="1200" b="0"/>
          </a:p>
        </c:rich>
      </c:tx>
      <c:layout>
        <c:manualLayout>
          <c:xMode val="edge"/>
          <c:yMode val="edge"/>
          <c:x val="0.787197975024326"/>
          <c:y val="0.0244813212889899"/>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收、支总计</c:v>
                </c:pt>
              </c:strCache>
            </c:strRef>
          </c:cat>
          <c:val>
            <c:numRef>
              <c:f>Sheet1!$B$2</c:f>
              <c:numCache>
                <c:formatCode>General</c:formatCode>
                <c:ptCount val="1"/>
                <c:pt idx="0">
                  <c:v>2156.02</c:v>
                </c:pt>
              </c:numCache>
            </c:numRef>
          </c:val>
        </c:ser>
        <c:ser>
          <c:idx val="2"/>
          <c:order val="1"/>
          <c:tx>
            <c:strRef>
              <c:f>Sheet1!$C$1</c:f>
              <c:strCache>
                <c:ptCount val="1"/>
                <c:pt idx="0">
                  <c:v>2022年</c:v>
                </c:pt>
              </c:strCache>
            </c:strRef>
          </c:tx>
          <c:spPr>
            <a:solidFill>
              <a:schemeClr val="accent6">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收、支总计</c:v>
                </c:pt>
              </c:strCache>
            </c:strRef>
          </c:cat>
          <c:val>
            <c:numRef>
              <c:f>Sheet1!$C$2</c:f>
              <c:numCache>
                <c:formatCode>General</c:formatCode>
                <c:ptCount val="1"/>
                <c:pt idx="0">
                  <c:v>959.14</c:v>
                </c:pt>
              </c:numCache>
            </c:numRef>
          </c:val>
        </c:ser>
        <c:dLbls>
          <c:showLegendKey val="0"/>
          <c:showVal val="0"/>
          <c:showCatName val="0"/>
          <c:showSerName val="0"/>
          <c:showPercent val="0"/>
          <c:showBubbleSize val="0"/>
        </c:dLbls>
        <c:gapWidth val="246"/>
        <c:overlap val="-28"/>
        <c:axId val="849693835"/>
        <c:axId val="277500677"/>
      </c:barChart>
      <c:catAx>
        <c:axId val="849693835"/>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7500677"/>
        <c:crosses val="autoZero"/>
        <c:auto val="1"/>
        <c:lblAlgn val="ctr"/>
        <c:lblOffset val="100"/>
        <c:noMultiLvlLbl val="0"/>
      </c:catAx>
      <c:valAx>
        <c:axId val="277500677"/>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969383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8df35da-bfe1-4328-ae0b-0bb32a17a03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spPr>
            <a:solidFill>
              <a:schemeClr val="accent6">
                <a:lumMod val="75000"/>
              </a:schemeClr>
            </a:solidFill>
          </c:spPr>
          <c:explosion val="0"/>
          <c:dPt>
            <c:idx val="0"/>
            <c:bubble3D val="0"/>
            <c:spPr>
              <a:solidFill>
                <a:schemeClr val="accent6">
                  <a:lumMod val="75000"/>
                </a:schemeClr>
              </a:solidFill>
              <a:ln w="19050">
                <a:solidFill>
                  <a:schemeClr val="lt1"/>
                </a:solidFill>
              </a:ln>
              <a:effectLst/>
            </c:spPr>
          </c:dPt>
          <c:dLbls>
            <c:dLbl>
              <c:idx val="0"/>
              <c:layout>
                <c:manualLayout>
                  <c:x val="0.0131289839084728"/>
                  <c:y val="-0.23435217618334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89220183486239"/>
                      <c:h val="0.14311079545454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一般性公共预算财政拨款收入</c:v>
                </c:pt>
              </c:strCache>
            </c:strRef>
          </c:cat>
          <c:val>
            <c:numRef>
              <c:f>Sheet1!$B$2</c:f>
              <c:numCache>
                <c:formatCode>General</c:formatCode>
                <c:ptCount val="1"/>
                <c:pt idx="0">
                  <c:v>959.14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f7a78dc-c1bb-48c1-8635-91c2a6246c0a}"/>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6">
                  <a:lumMod val="75000"/>
                </a:schemeClr>
              </a:solidFill>
              <a:ln>
                <a:solidFill>
                  <a:schemeClr val="bg1"/>
                </a:solidFill>
              </a:ln>
              <a:effectLst/>
            </c:spPr>
          </c:dPt>
          <c:dLbls>
            <c:dLbl>
              <c:idx val="0"/>
              <c:layout>
                <c:manualLayout>
                  <c:x val="0.022238694567441"/>
                  <c:y val="0.060136017593635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34.52%</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71514882118398"/>
                  <c:y val="-0.076717064287700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65.48%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34908430029358"/>
                      <c:h val="0.061121230520137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331.08</c:v>
                </c:pt>
                <c:pt idx="1">
                  <c:v>628.07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d1cf965-77b8-48a0-98cf-f1fa1c5f991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182026185331"/>
          <c:y val="0.0446891191709845"/>
          <c:w val="0.892004576077285"/>
          <c:h val="0.750302245250432"/>
        </c:manualLayout>
      </c:layout>
      <c:barChart>
        <c:barDir val="col"/>
        <c:grouping val="clustered"/>
        <c:varyColors val="0"/>
        <c:ser>
          <c:idx val="0"/>
          <c:order val="0"/>
          <c:tx>
            <c:strRef>
              <c:f>Sheet1!$B$1</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2149.02</c:v>
                </c:pt>
                <c:pt idx="1">
                  <c:v>959.14</c:v>
                </c:pt>
              </c:numCache>
            </c:numRef>
          </c:val>
        </c:ser>
        <c:dLbls>
          <c:showLegendKey val="0"/>
          <c:showVal val="0"/>
          <c:showCatName val="0"/>
          <c:showSerName val="0"/>
          <c:showPercent val="0"/>
          <c:showBubbleSize val="0"/>
        </c:dLbls>
        <c:gapWidth val="246"/>
        <c:overlap val="-28"/>
        <c:axId val="104590190"/>
        <c:axId val="68585262"/>
      </c:barChart>
      <c:catAx>
        <c:axId val="10459019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585262"/>
        <c:crosses val="autoZero"/>
        <c:auto val="1"/>
        <c:lblAlgn val="ctr"/>
        <c:lblOffset val="100"/>
        <c:noMultiLvlLbl val="0"/>
      </c:catAx>
      <c:valAx>
        <c:axId val="6858526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590190"/>
        <c:crosses val="autoZero"/>
        <c:crossBetween val="between"/>
      </c:valAx>
      <c:spPr>
        <a:noFill/>
        <a:ln>
          <a:noFill/>
        </a:ln>
        <a:effectLst/>
      </c:spPr>
    </c:plotArea>
    <c:plotVisOnly val="1"/>
    <c:dispBlanksAs val="gap"/>
    <c:showDLblsOverMax val="0"/>
    <c:extLst>
      <c:ext uri="{0b15fc19-7d7d-44ad-8c2d-2c3a37ce22c3}">
        <chartProps xmlns="https://web.wps.cn/et/2018/main" chartId="{f9f9d891-6f9e-4e3d-ad16-6fcffbabdda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一般公共预算财政拨款支出决算数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2113.62</c:v>
                </c:pt>
                <c:pt idx="1">
                  <c:v>959.14</c:v>
                </c:pt>
              </c:numCache>
            </c:numRef>
          </c:val>
        </c:ser>
        <c:dLbls>
          <c:showLegendKey val="0"/>
          <c:showVal val="1"/>
          <c:showCatName val="0"/>
          <c:showSerName val="0"/>
          <c:showPercent val="0"/>
          <c:showBubbleSize val="0"/>
        </c:dLbls>
        <c:gapWidth val="246"/>
        <c:overlap val="-28"/>
        <c:axId val="675886408"/>
        <c:axId val="901210989"/>
      </c:barChart>
      <c:catAx>
        <c:axId val="6758864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1210989"/>
        <c:crosses val="autoZero"/>
        <c:auto val="1"/>
        <c:lblAlgn val="ctr"/>
        <c:lblOffset val="100"/>
        <c:noMultiLvlLbl val="0"/>
      </c:catAx>
      <c:valAx>
        <c:axId val="901210989"/>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5886408"/>
        <c:crosses val="autoZero"/>
        <c:crossBetween val="between"/>
      </c:valAx>
      <c:spPr>
        <a:noFill/>
        <a:ln>
          <a:noFill/>
        </a:ln>
        <a:effectLst/>
      </c:spPr>
    </c:plotArea>
    <c:plotVisOnly val="1"/>
    <c:dispBlanksAs val="gap"/>
    <c:showDLblsOverMax val="0"/>
    <c:extLst>
      <c:ext uri="{0b15fc19-7d7d-44ad-8c2d-2c3a37ce22c3}">
        <chartProps xmlns="https://web.wps.cn/et/2018/main" chartId="{ea524ded-91f7-4705-9489-c29ca78bbb5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888690415786827"/>
                  <c:y val="0.04664099513953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3404128882509"/>
                  <c:y val="-0.031613929181750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2200513256576"/>
                  <c:y val="0.024424725918756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社会保障和就业支出</c:v>
                </c:pt>
                <c:pt idx="1">
                  <c:v>卫生健康支出</c:v>
                </c:pt>
                <c:pt idx="2">
                  <c:v>住房保障支出</c:v>
                </c:pt>
              </c:strCache>
            </c:strRef>
          </c:cat>
          <c:val>
            <c:numRef>
              <c:f>Sheet1!$B$2:$B$4</c:f>
              <c:numCache>
                <c:formatCode>0.00%</c:formatCode>
                <c:ptCount val="3"/>
                <c:pt idx="0">
                  <c:v>0.0283</c:v>
                </c:pt>
                <c:pt idx="1">
                  <c:v>0.9467</c:v>
                </c:pt>
                <c:pt idx="2">
                  <c:v>0.025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53b7585-3155-4262-9ec4-437b9ba8944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59</Pages>
  <Words>490</Words>
  <Characters>520</Characters>
  <Lines>57</Lines>
  <Paragraphs>16</Paragraphs>
  <TotalTime>3</TotalTime>
  <ScaleCrop>false</ScaleCrop>
  <LinksUpToDate>false</LinksUpToDate>
  <CharactersWithSpaces>565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2023-10-11T02:25:00Z</dcterms:created>
  <dc:creator>曹颖</dc:creator>
  <cp:lastModifiedBy>张泽莉</cp:lastModifiedBy>
  <cp:lastPrinted>2023-10-26T06:13:00Z</cp:lastPrinted>
  <dcterms:modified xsi:type="dcterms:W3CDTF">2024-12-19T08:05:20Z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FED02EE98AA641558DF1DC6176D3A3A8_13</vt:lpwstr>
  </property>
</Properties>
</file>