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B369E">
      <w:pPr>
        <w:spacing w:line="360" w:lineRule="auto"/>
        <w:jc w:val="center"/>
        <w:outlineLvl w:val="0"/>
        <w:rPr>
          <w:rFonts w:ascii="方正小标宋简体" w:hAnsi="宋体" w:eastAsia="方正小标宋简体"/>
          <w:color w:val="auto"/>
          <w:sz w:val="72"/>
          <w:szCs w:val="72"/>
        </w:rPr>
      </w:pPr>
      <w:bookmarkStart w:id="0" w:name="_Toc15377193"/>
      <w:bookmarkStart w:id="1" w:name="_Toc15377425"/>
      <w:bookmarkStart w:id="2" w:name="_Toc15396597"/>
      <w:bookmarkStart w:id="3" w:name="_Toc15396475"/>
      <w:bookmarkStart w:id="4" w:name="_Toc15378441"/>
      <w:bookmarkStart w:id="5" w:name="_Toc15306267"/>
    </w:p>
    <w:p w14:paraId="674F1D9D">
      <w:pPr>
        <w:spacing w:line="360" w:lineRule="auto"/>
        <w:jc w:val="center"/>
        <w:outlineLvl w:val="0"/>
        <w:rPr>
          <w:rFonts w:ascii="方正小标宋简体" w:hAnsi="宋体" w:eastAsia="方正小标宋简体"/>
          <w:color w:val="auto"/>
          <w:sz w:val="72"/>
          <w:szCs w:val="72"/>
        </w:rPr>
      </w:pPr>
    </w:p>
    <w:p w14:paraId="3CC2A64E">
      <w:pPr>
        <w:spacing w:line="360" w:lineRule="auto"/>
        <w:jc w:val="center"/>
        <w:outlineLvl w:val="0"/>
        <w:rPr>
          <w:rFonts w:ascii="方正小标宋简体" w:hAnsi="宋体" w:eastAsia="方正小标宋简体"/>
          <w:color w:val="auto"/>
          <w:sz w:val="72"/>
          <w:szCs w:val="72"/>
        </w:rPr>
      </w:pPr>
    </w:p>
    <w:p w14:paraId="4926197F">
      <w:pPr>
        <w:spacing w:line="360" w:lineRule="auto"/>
        <w:jc w:val="center"/>
        <w:outlineLvl w:val="0"/>
        <w:rPr>
          <w:rFonts w:ascii="方正小标宋简体" w:hAnsi="宋体" w:eastAsia="方正小标宋简体"/>
          <w:color w:val="auto"/>
          <w:sz w:val="72"/>
          <w:szCs w:val="72"/>
        </w:rPr>
      </w:pPr>
    </w:p>
    <w:p w14:paraId="38591A06">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r>
        <w:rPr>
          <w:rFonts w:hint="eastAsia" w:ascii="方正小标宋简体" w:hAnsi="方正小标宋简体" w:eastAsia="方正小标宋简体" w:cs="方正小标宋简体"/>
          <w:color w:val="auto"/>
          <w:sz w:val="72"/>
          <w:szCs w:val="72"/>
        </w:rPr>
        <w:t>2021年度</w:t>
      </w:r>
      <w:bookmarkEnd w:id="0"/>
      <w:bookmarkEnd w:id="1"/>
      <w:bookmarkEnd w:id="2"/>
      <w:bookmarkEnd w:id="3"/>
      <w:bookmarkEnd w:id="4"/>
    </w:p>
    <w:p w14:paraId="2C7A1AFA">
      <w:pPr>
        <w:adjustRightInd w:val="0"/>
        <w:snapToGrid w:val="0"/>
        <w:spacing w:line="360" w:lineRule="auto"/>
        <w:jc w:val="center"/>
        <w:outlineLvl w:val="0"/>
        <w:rPr>
          <w:rFonts w:ascii="方正小标宋简体" w:hAnsi="方正小标宋简体" w:eastAsia="方正小标宋简体" w:cs="方正小标宋简体"/>
          <w:color w:val="auto"/>
          <w:sz w:val="72"/>
          <w:szCs w:val="72"/>
        </w:rPr>
      </w:pPr>
      <w:bookmarkStart w:id="6" w:name="_Toc15377194"/>
      <w:bookmarkStart w:id="7" w:name="_Toc15377426"/>
      <w:bookmarkStart w:id="8" w:name="_Toc15378442"/>
      <w:bookmarkStart w:id="9" w:name="_Toc15396598"/>
      <w:bookmarkStart w:id="10" w:name="_Toc15396476"/>
      <w:r>
        <w:rPr>
          <w:rFonts w:hint="eastAsia" w:ascii="方正小标宋简体" w:hAnsi="方正小标宋简体" w:eastAsia="方正小标宋简体" w:cs="方正小标宋简体"/>
          <w:color w:val="auto"/>
          <w:sz w:val="72"/>
          <w:szCs w:val="72"/>
        </w:rPr>
        <w:t>盐边县</w:t>
      </w:r>
      <w:bookmarkEnd w:id="5"/>
      <w:bookmarkStart w:id="11" w:name="_Toc15306268"/>
      <w:r>
        <w:rPr>
          <w:rFonts w:hint="eastAsia" w:ascii="方正小标宋简体" w:hAnsi="方正小标宋简体" w:eastAsia="方正小标宋简体" w:cs="方正小标宋简体"/>
          <w:color w:val="auto"/>
          <w:sz w:val="72"/>
          <w:szCs w:val="72"/>
        </w:rPr>
        <w:t>医疗保障局      部门决算</w:t>
      </w:r>
      <w:bookmarkEnd w:id="6"/>
      <w:bookmarkEnd w:id="7"/>
      <w:bookmarkEnd w:id="8"/>
      <w:bookmarkEnd w:id="9"/>
      <w:bookmarkEnd w:id="10"/>
      <w:bookmarkEnd w:id="11"/>
    </w:p>
    <w:p w14:paraId="72D6653D">
      <w:pPr>
        <w:widowControl/>
        <w:spacing w:line="360" w:lineRule="auto"/>
        <w:jc w:val="center"/>
        <w:rPr>
          <w:rFonts w:ascii="黑体" w:hAnsi="黑体" w:eastAsia="黑体"/>
          <w:color w:val="auto"/>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386F47D5">
      <w:pPr>
        <w:widowControl/>
        <w:spacing w:line="360" w:lineRule="auto"/>
        <w:jc w:val="center"/>
        <w:rPr>
          <w:rFonts w:ascii="黑体" w:hAnsi="黑体" w:eastAsia="黑体"/>
          <w:color w:val="auto"/>
          <w:sz w:val="48"/>
          <w:szCs w:val="48"/>
        </w:rPr>
      </w:pPr>
      <w:r>
        <w:rPr>
          <w:rFonts w:hint="eastAsia" w:ascii="黑体" w:hAnsi="黑体" w:eastAsia="黑体"/>
          <w:color w:val="auto"/>
          <w:sz w:val="48"/>
          <w:szCs w:val="48"/>
        </w:rPr>
        <w:t>目录</w:t>
      </w:r>
    </w:p>
    <w:p w14:paraId="3E83636A">
      <w:pPr>
        <w:widowControl/>
        <w:spacing w:line="360" w:lineRule="auto"/>
        <w:jc w:val="center"/>
        <w:rPr>
          <w:rFonts w:ascii="黑体" w:hAnsi="黑体" w:eastAsia="黑体" w:cstheme="minorBidi"/>
          <w:color w:val="auto"/>
          <w:sz w:val="28"/>
          <w:szCs w:val="28"/>
        </w:rPr>
      </w:pPr>
    </w:p>
    <w:p w14:paraId="61A0ED85">
      <w:pPr>
        <w:pStyle w:val="11"/>
        <w:spacing w:line="360" w:lineRule="auto"/>
        <w:rPr>
          <w:color w:val="auto"/>
        </w:rPr>
      </w:pPr>
      <w:r>
        <w:rPr>
          <w:rFonts w:hint="eastAsia"/>
          <w:color w:val="auto"/>
        </w:rPr>
        <w:t>公开时间：2022年10月2</w:t>
      </w:r>
      <w:r>
        <w:rPr>
          <w:rFonts w:hint="eastAsia"/>
          <w:color w:val="auto"/>
          <w:lang w:val="en-US" w:eastAsia="zh-CN"/>
        </w:rPr>
        <w:t>1</w:t>
      </w:r>
      <w:r>
        <w:rPr>
          <w:rFonts w:hint="eastAsia"/>
          <w:color w:val="auto"/>
        </w:rPr>
        <w:t>日</w:t>
      </w:r>
    </w:p>
    <w:p w14:paraId="26EACB66">
      <w:pPr>
        <w:spacing w:line="360" w:lineRule="auto"/>
        <w:rPr>
          <w:color w:val="auto"/>
        </w:rPr>
      </w:pPr>
    </w:p>
    <w:p w14:paraId="5CD39D10">
      <w:pPr>
        <w:pStyle w:val="11"/>
        <w:adjustRightInd w:val="0"/>
        <w:snapToGrid w:val="0"/>
        <w:spacing w:before="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部门概况</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p>
    <w:p w14:paraId="4F3F5F84">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一、基本职能及主要工作</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p>
    <w:p w14:paraId="24E53FFB">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9</w:t>
      </w:r>
    </w:p>
    <w:p w14:paraId="5C698253">
      <w:pPr>
        <w:pStyle w:val="11"/>
        <w:adjustRightInd w:val="0"/>
        <w:snapToGrid w:val="0"/>
        <w:spacing w:before="0"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2021年度部门决算情况说明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10</w:t>
      </w:r>
    </w:p>
    <w:p w14:paraId="46538765">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一、收入支出决算总体情况说明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10</w:t>
      </w:r>
    </w:p>
    <w:p w14:paraId="34D489E8">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10</w:t>
      </w:r>
    </w:p>
    <w:p w14:paraId="34B701E3">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11</w:t>
      </w:r>
    </w:p>
    <w:p w14:paraId="13B49E58">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四、财政拨款收入支出决算总体情况说明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12</w:t>
      </w:r>
    </w:p>
    <w:p w14:paraId="1AABB72A">
      <w:pPr>
        <w:pStyle w:val="12"/>
        <w:adjustRightInd w:val="0"/>
        <w:snapToGrid w:val="0"/>
        <w:spacing w:line="360" w:lineRule="auto"/>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13</w:t>
      </w:r>
    </w:p>
    <w:p w14:paraId="2509A168">
      <w:pPr>
        <w:pStyle w:val="12"/>
        <w:adjustRightInd w:val="0"/>
        <w:snapToGrid w:val="0"/>
        <w:spacing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六、一般公共预算财政拨款基本支出决算情况说明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p>
    <w:p w14:paraId="304F7F45">
      <w:pPr>
        <w:pStyle w:val="12"/>
        <w:adjustRightInd w:val="0"/>
        <w:snapToGrid w:val="0"/>
        <w:spacing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七、“三公”经费财政拨款支出决算情况说明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6</w:t>
      </w:r>
    </w:p>
    <w:p w14:paraId="6C9DD871">
      <w:pPr>
        <w:pStyle w:val="12"/>
        <w:adjustRightInd w:val="0"/>
        <w:snapToGrid w:val="0"/>
        <w:spacing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八、政府性基金预算支出决算情况说明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w:t>
      </w:r>
    </w:p>
    <w:p w14:paraId="2A8CD4DA">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九、国有资本经营预算支出决算情况说明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w:t>
      </w:r>
    </w:p>
    <w:p w14:paraId="74B77CF3">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Style w:val="16"/>
          <w:rFonts w:hint="eastAsia" w:ascii="仿宋_GB2312" w:hAnsi="仿宋_GB2312" w:eastAsia="仿宋_GB2312" w:cs="仿宋_GB2312"/>
          <w:color w:val="auto"/>
          <w:sz w:val="28"/>
          <w:szCs w:val="28"/>
          <w:u w:val="none"/>
        </w:rPr>
        <w:t>十、</w:t>
      </w:r>
      <w:r>
        <w:rPr>
          <w:rFonts w:hint="eastAsia" w:ascii="仿宋_GB2312" w:hAnsi="仿宋_GB2312" w:eastAsia="仿宋_GB2312" w:cs="仿宋_GB2312"/>
          <w:color w:val="auto"/>
          <w:sz w:val="28"/>
          <w:szCs w:val="28"/>
        </w:rPr>
        <w:t>其他重要事项的情况说明</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8</w:t>
      </w:r>
    </w:p>
    <w:p w14:paraId="5F4818AF">
      <w:pPr>
        <w:pStyle w:val="11"/>
        <w:adjustRightInd w:val="0"/>
        <w:snapToGrid w:val="0"/>
        <w:spacing w:before="0"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第三部分名词解释</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1</w:t>
      </w:r>
    </w:p>
    <w:p w14:paraId="45508A16">
      <w:pPr>
        <w:pStyle w:val="11"/>
        <w:adjustRightInd w:val="0"/>
        <w:snapToGrid w:val="0"/>
        <w:spacing w:before="0"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第四部分附件</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val="en-US" w:eastAsia="zh-CN"/>
        </w:rPr>
        <w:t>5</w:t>
      </w:r>
    </w:p>
    <w:p w14:paraId="636A3FD4">
      <w:pPr>
        <w:pStyle w:val="11"/>
        <w:adjustRightInd w:val="0"/>
        <w:snapToGrid w:val="0"/>
        <w:spacing w:before="0" w:line="360" w:lineRule="auto"/>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第五部分附表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25032048">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一、收入支出决算总表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16664273">
      <w:pPr>
        <w:pStyle w:val="12"/>
        <w:adjustRightInd w:val="0"/>
        <w:snapToGrid w:val="0"/>
        <w:spacing w:line="360" w:lineRule="auto"/>
        <w:ind w:leftChars="0"/>
        <w:jc w:val="left"/>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sz w:val="28"/>
          <w:szCs w:val="28"/>
        </w:rPr>
        <w:t>二、收入决算表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5C5EDB5C">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四、财政拨款收入支出决算总表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7429EA3E">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五、财政拨款支出决算明细表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696B027B">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六、一般公共预算财政拨款支出决算表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64CE42FB">
      <w:pPr>
        <w:pStyle w:val="12"/>
        <w:adjustRightInd w:val="0"/>
        <w:snapToGrid w:val="0"/>
        <w:spacing w:line="360" w:lineRule="auto"/>
        <w:ind w:leftChars="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七、一般公共预算财政拨款支出决算明细表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5E378B41">
      <w:pPr>
        <w:pStyle w:val="12"/>
        <w:adjustRightInd w:val="0"/>
        <w:snapToGrid w:val="0"/>
        <w:spacing w:line="360" w:lineRule="auto"/>
        <w:ind w:left="0" w:leftChars="0"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八、一般公共预算财政拨款基本支出决算表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3E566566">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九、一般公共预算财政拨款项目支出决算表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64EE73CA">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十、一般公共预算财政拨款“三公”经费支出决算表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4A182EDD">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十一、政府性基金预算财政拨款收入支出决算表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5FC6D648">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十二、政府性基金预算财政拨款“三公”经费支出决算表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46EB0D7E">
      <w:pPr>
        <w:pStyle w:val="12"/>
        <w:adjustRightInd w:val="0"/>
        <w:snapToGrid w:val="0"/>
        <w:spacing w:line="360" w:lineRule="auto"/>
        <w:ind w:left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十三、国有资本经营预算财政拨款收入支出决算表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lang w:val="en-US" w:eastAsia="zh-CN"/>
        </w:rPr>
        <w:t>1</w:t>
      </w:r>
    </w:p>
    <w:p w14:paraId="65BC2BFE">
      <w:pPr>
        <w:pStyle w:val="12"/>
        <w:adjustRightInd w:val="0"/>
        <w:snapToGrid w:val="0"/>
        <w:spacing w:line="360" w:lineRule="auto"/>
        <w:ind w:left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十四、国有资本经营预算财政拨款支出决算表</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51</w:t>
      </w:r>
    </w:p>
    <w:p w14:paraId="7CB8C18C">
      <w:pPr>
        <w:pStyle w:val="3"/>
        <w:spacing w:line="360" w:lineRule="auto"/>
        <w:jc w:val="both"/>
        <w:rPr>
          <w:rFonts w:hint="eastAsia" w:ascii="仿宋_GB2312" w:hAnsi="仿宋_GB2312" w:eastAsia="仿宋_GB2312" w:cs="仿宋_GB2312"/>
          <w:b w:val="0"/>
          <w:color w:val="auto"/>
          <w:sz w:val="28"/>
          <w:szCs w:val="28"/>
        </w:rPr>
        <w:sectPr>
          <w:footerReference r:id="rId5" w:type="default"/>
          <w:pgSz w:w="11906" w:h="16838"/>
          <w:pgMar w:top="1440" w:right="1800" w:bottom="1440" w:left="1800" w:header="851" w:footer="992" w:gutter="0"/>
          <w:pgNumType w:start="1"/>
          <w:cols w:space="425" w:num="1"/>
          <w:docGrid w:type="lines" w:linePitch="312" w:charSpace="0"/>
        </w:sectPr>
      </w:pPr>
      <w:bookmarkStart w:id="12" w:name="_Toc15377196"/>
      <w:bookmarkStart w:id="13" w:name="_Toc15396599"/>
    </w:p>
    <w:p w14:paraId="27B693FB">
      <w:pPr>
        <w:pStyle w:val="3"/>
        <w:spacing w:line="360" w:lineRule="auto"/>
        <w:jc w:val="center"/>
        <w:rPr>
          <w:rFonts w:ascii="黑体" w:eastAsia="黑体"/>
          <w:color w:val="auto"/>
          <w:sz w:val="32"/>
          <w:szCs w:val="32"/>
        </w:rPr>
      </w:pPr>
      <w:r>
        <w:rPr>
          <w:rFonts w:hint="eastAsia" w:ascii="黑体" w:hAnsi="黑体" w:eastAsia="黑体"/>
          <w:b w:val="0"/>
          <w:color w:val="auto"/>
        </w:rPr>
        <w:t xml:space="preserve">第一部分 </w:t>
      </w:r>
      <w:r>
        <w:rPr>
          <w:rStyle w:val="25"/>
          <w:rFonts w:hint="eastAsia" w:ascii="黑体" w:hAnsi="黑体" w:eastAsia="黑体"/>
          <w:b w:val="0"/>
          <w:bCs w:val="0"/>
          <w:color w:val="auto"/>
        </w:rPr>
        <w:t>部门概况</w:t>
      </w:r>
      <w:bookmarkEnd w:id="12"/>
      <w:bookmarkEnd w:id="13"/>
    </w:p>
    <w:p w14:paraId="6DABF543">
      <w:pPr>
        <w:pStyle w:val="4"/>
        <w:spacing w:line="360" w:lineRule="auto"/>
        <w:rPr>
          <w:rStyle w:val="26"/>
          <w:rFonts w:ascii="仿宋" w:hAnsi="仿宋" w:eastAsia="仿宋"/>
          <w:b w:val="0"/>
          <w:bCs w:val="0"/>
          <w:color w:val="auto"/>
        </w:rPr>
      </w:pPr>
      <w:bookmarkStart w:id="14" w:name="_Toc15377197"/>
      <w:bookmarkStart w:id="15" w:name="_Toc15396600"/>
      <w:r>
        <w:rPr>
          <w:rFonts w:hint="eastAsia" w:ascii="黑体" w:hAnsi="黑体" w:eastAsia="黑体"/>
          <w:b w:val="0"/>
          <w:color w:val="auto"/>
        </w:rPr>
        <w:t>一、基</w:t>
      </w:r>
      <w:r>
        <w:rPr>
          <w:rStyle w:val="26"/>
          <w:rFonts w:hint="eastAsia" w:ascii="黑体" w:hAnsi="黑体" w:eastAsia="黑体"/>
          <w:b w:val="0"/>
          <w:bCs w:val="0"/>
          <w:color w:val="auto"/>
        </w:rPr>
        <w:t>本职能及主要工作</w:t>
      </w:r>
      <w:bookmarkEnd w:id="14"/>
      <w:bookmarkEnd w:id="15"/>
    </w:p>
    <w:p w14:paraId="6DE71D8A">
      <w:pPr>
        <w:pStyle w:val="2"/>
        <w:adjustRightInd w:val="0"/>
        <w:snapToGrid w:val="0"/>
        <w:spacing w:before="93" w:line="360" w:lineRule="auto"/>
        <w:ind w:firstLine="672" w:firstLineChars="210"/>
        <w:outlineLvl w:val="2"/>
        <w:rPr>
          <w:rFonts w:ascii="仿宋" w:hAnsi="仿宋" w:eastAsia="仿宋"/>
          <w:bCs/>
          <w:color w:val="auto"/>
          <w:sz w:val="32"/>
          <w:szCs w:val="32"/>
        </w:rPr>
      </w:pPr>
      <w:bookmarkStart w:id="16" w:name="_Toc15378445"/>
      <w:bookmarkStart w:id="17" w:name="_Toc15377198"/>
      <w:r>
        <w:rPr>
          <w:rFonts w:hint="eastAsia" w:ascii="仿宋" w:hAnsi="仿宋" w:eastAsia="仿宋"/>
          <w:bCs/>
          <w:color w:val="auto"/>
          <w:sz w:val="32"/>
          <w:szCs w:val="32"/>
        </w:rPr>
        <w:t>（一）主要职能。</w:t>
      </w:r>
      <w:bookmarkEnd w:id="16"/>
      <w:bookmarkEnd w:id="17"/>
    </w:p>
    <w:p w14:paraId="559163BB">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w:t>
      </w:r>
      <w:r>
        <w:rPr>
          <w:rFonts w:hint="eastAsia" w:ascii="Times New Roman"/>
          <w:color w:val="auto"/>
          <w:sz w:val="32"/>
          <w:szCs w:val="32"/>
          <w:lang w:val="en-US" w:eastAsia="zh-CN"/>
        </w:rPr>
        <w:t>.</w:t>
      </w:r>
      <w:r>
        <w:rPr>
          <w:rFonts w:ascii="Times New Roman"/>
          <w:color w:val="auto"/>
          <w:sz w:val="32"/>
          <w:szCs w:val="32"/>
        </w:rPr>
        <w:t>贯彻执行医疗保险、生育保险、医疗救助等医疗保障的法律、法规、规章。拟订全县医疗保障事业发展规划，并组织实施和监督检查。</w:t>
      </w:r>
    </w:p>
    <w:p w14:paraId="258A0208">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2</w:t>
      </w:r>
      <w:r>
        <w:rPr>
          <w:rFonts w:hint="eastAsia" w:ascii="Times New Roman"/>
          <w:color w:val="auto"/>
          <w:sz w:val="32"/>
          <w:szCs w:val="32"/>
          <w:lang w:val="en-US" w:eastAsia="zh-CN"/>
        </w:rPr>
        <w:t>.</w:t>
      </w:r>
      <w:r>
        <w:rPr>
          <w:rFonts w:ascii="Times New Roman"/>
          <w:color w:val="auto"/>
          <w:sz w:val="32"/>
          <w:szCs w:val="32"/>
        </w:rPr>
        <w:t>组织拟订并实施医疗保障基金监督管理制度，建立健全医疗保障基金安全防控机制，监督强化全县医疗保障基金运行管理。</w:t>
      </w:r>
    </w:p>
    <w:p w14:paraId="048D8E90">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3</w:t>
      </w:r>
      <w:r>
        <w:rPr>
          <w:rFonts w:hint="eastAsia" w:ascii="Times New Roman"/>
          <w:color w:val="auto"/>
          <w:sz w:val="32"/>
          <w:szCs w:val="32"/>
          <w:lang w:val="en-US" w:eastAsia="zh-CN"/>
        </w:rPr>
        <w:t>.</w:t>
      </w:r>
      <w:r>
        <w:rPr>
          <w:rFonts w:ascii="Times New Roman"/>
          <w:color w:val="auto"/>
          <w:sz w:val="32"/>
          <w:szCs w:val="32"/>
        </w:rPr>
        <w:t>实施医疗保障筹资和待遇政策，完善全县医疗保障筹资标准动态调整机制，统筹城乡医疗保障待遇标准，建立健全与筹资水平相适应的待遇调整机制。贯彻执行长期护理保险制度改革政策。</w:t>
      </w:r>
    </w:p>
    <w:p w14:paraId="6AB0F1B9">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4</w:t>
      </w:r>
      <w:r>
        <w:rPr>
          <w:rFonts w:hint="eastAsia" w:ascii="Times New Roman"/>
          <w:color w:val="auto"/>
          <w:sz w:val="32"/>
          <w:szCs w:val="32"/>
          <w:lang w:val="en-US" w:eastAsia="zh-CN"/>
        </w:rPr>
        <w:t>.</w:t>
      </w:r>
      <w:r>
        <w:rPr>
          <w:rFonts w:ascii="Times New Roman"/>
          <w:color w:val="auto"/>
          <w:sz w:val="32"/>
          <w:szCs w:val="32"/>
        </w:rPr>
        <w:t>组织实施全省城乡统一的药品、医用耗材、医疗服务项目、医疗服务设施等医疗保障目录和支付标准，根据授权在医疗保障目录准入谈判规则下进行目录增补和支付标准的调整。</w:t>
      </w:r>
    </w:p>
    <w:p w14:paraId="278321CC">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5</w:t>
      </w:r>
      <w:r>
        <w:rPr>
          <w:rFonts w:hint="eastAsia" w:ascii="Times New Roman"/>
          <w:color w:val="auto"/>
          <w:sz w:val="32"/>
          <w:szCs w:val="32"/>
          <w:lang w:val="en-US" w:eastAsia="zh-CN"/>
        </w:rPr>
        <w:t>.</w:t>
      </w:r>
      <w:r>
        <w:rPr>
          <w:rFonts w:ascii="Times New Roman"/>
          <w:color w:val="auto"/>
          <w:sz w:val="32"/>
          <w:szCs w:val="32"/>
        </w:rPr>
        <w:t>参与拟订并组织实施全县统一的药品、医用耗材价格和医疗服务项目、医疗服务设施收费等政策，建立医保支付医药服务价格合理确定和动态调整机制，推动建立市场主导的社会医药服务价格形成机制，建立价格信息监测和信息发布制度。</w:t>
      </w:r>
    </w:p>
    <w:p w14:paraId="32336673">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6</w:t>
      </w:r>
      <w:r>
        <w:rPr>
          <w:rFonts w:hint="eastAsia" w:ascii="Times New Roman"/>
          <w:color w:val="auto"/>
          <w:sz w:val="32"/>
          <w:szCs w:val="32"/>
          <w:lang w:val="en-US" w:eastAsia="zh-CN"/>
        </w:rPr>
        <w:t>.</w:t>
      </w:r>
      <w:r>
        <w:rPr>
          <w:rFonts w:ascii="Times New Roman"/>
          <w:color w:val="auto"/>
          <w:sz w:val="32"/>
          <w:szCs w:val="32"/>
        </w:rPr>
        <w:t>贯彻执行全省药品、医用耗材的招标采购政策并监督实施，根据省、市安排部署，参与全省药品、医用耗材招标采购平台建设，承担并完成相关工作任务。</w:t>
      </w:r>
    </w:p>
    <w:p w14:paraId="2833775C">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7</w:t>
      </w:r>
      <w:r>
        <w:rPr>
          <w:rFonts w:hint="eastAsia" w:ascii="Times New Roman"/>
          <w:color w:val="auto"/>
          <w:sz w:val="32"/>
          <w:szCs w:val="32"/>
          <w:lang w:val="en-US" w:eastAsia="zh-CN"/>
        </w:rPr>
        <w:t>.</w:t>
      </w:r>
      <w:r>
        <w:rPr>
          <w:rFonts w:ascii="Times New Roman"/>
          <w:color w:val="auto"/>
          <w:sz w:val="32"/>
          <w:szCs w:val="32"/>
        </w:rPr>
        <w:t>推进医疗保障基金支付方式改革，参与市级制定基金支付管理办法并组织实施。执行医疗保障信用评价体系和信息披露制度，监督管理纳入医疗保障范围内的医疗服务行为和医疗费用，依法查处医疗保障领域违法违规行为。</w:t>
      </w:r>
    </w:p>
    <w:p w14:paraId="0A6B7162">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8</w:t>
      </w:r>
      <w:r>
        <w:rPr>
          <w:rFonts w:hint="eastAsia" w:ascii="Times New Roman"/>
          <w:color w:val="auto"/>
          <w:sz w:val="32"/>
          <w:szCs w:val="32"/>
          <w:lang w:val="en-US" w:eastAsia="zh-CN"/>
        </w:rPr>
        <w:t>.</w:t>
      </w:r>
      <w:r>
        <w:rPr>
          <w:rFonts w:ascii="Times New Roman"/>
          <w:color w:val="auto"/>
          <w:sz w:val="32"/>
          <w:szCs w:val="32"/>
        </w:rPr>
        <w:t>负责全县医疗保障业务经办管理和公共服务体系建设。组织实施异地就医管理和费用结算政策。贯彻执行医疗保障关系转移接续政策。指导和监督管理全县医保经办服务工作。开展医疗保障领域对外合作交流。</w:t>
      </w:r>
    </w:p>
    <w:p w14:paraId="4C1C04DF">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9</w:t>
      </w:r>
      <w:r>
        <w:rPr>
          <w:rFonts w:hint="eastAsia" w:ascii="Times New Roman"/>
          <w:color w:val="auto"/>
          <w:sz w:val="32"/>
          <w:szCs w:val="32"/>
          <w:lang w:val="en-US" w:eastAsia="zh-CN"/>
        </w:rPr>
        <w:t>.</w:t>
      </w:r>
      <w:r>
        <w:rPr>
          <w:rFonts w:ascii="Times New Roman"/>
          <w:color w:val="auto"/>
          <w:sz w:val="32"/>
          <w:szCs w:val="32"/>
        </w:rPr>
        <w:t>参与拟订市级医疗保障信息化建设规划和信息化建设。组织开展医疗保障大数据管理和应用。</w:t>
      </w:r>
    </w:p>
    <w:p w14:paraId="574C4C4C">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10</w:t>
      </w:r>
      <w:r>
        <w:rPr>
          <w:rFonts w:hint="eastAsia" w:ascii="Times New Roman"/>
          <w:color w:val="auto"/>
          <w:sz w:val="32"/>
          <w:szCs w:val="32"/>
          <w:lang w:val="en-US" w:eastAsia="zh-CN"/>
        </w:rPr>
        <w:t>.</w:t>
      </w:r>
      <w:r>
        <w:rPr>
          <w:rFonts w:ascii="Times New Roman"/>
          <w:color w:val="auto"/>
          <w:sz w:val="32"/>
          <w:szCs w:val="32"/>
        </w:rPr>
        <w:t>组织拟订县本级离休干部、六级以上革命伤残军人的医疗保障政策和副厅级以上干部、县级干部、高级知识分子的医疗照顾政策。</w:t>
      </w:r>
    </w:p>
    <w:p w14:paraId="7760A7BB">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11</w:t>
      </w:r>
      <w:r>
        <w:rPr>
          <w:rFonts w:hint="eastAsia" w:ascii="Times New Roman"/>
          <w:color w:val="auto"/>
          <w:sz w:val="32"/>
          <w:szCs w:val="32"/>
          <w:lang w:val="en-US" w:eastAsia="zh-CN"/>
        </w:rPr>
        <w:t>.</w:t>
      </w:r>
      <w:r>
        <w:rPr>
          <w:rFonts w:ascii="Times New Roman"/>
          <w:color w:val="auto"/>
          <w:sz w:val="32"/>
          <w:szCs w:val="32"/>
        </w:rPr>
        <w:t>负责职责范围内的安全生产和职业健康、生态环境保护、审批服务便民化等工作。</w:t>
      </w:r>
    </w:p>
    <w:p w14:paraId="08091430">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12</w:t>
      </w:r>
      <w:r>
        <w:rPr>
          <w:rFonts w:hint="eastAsia" w:ascii="Times New Roman"/>
          <w:color w:val="auto"/>
          <w:sz w:val="32"/>
          <w:szCs w:val="32"/>
          <w:lang w:val="en-US" w:eastAsia="zh-CN"/>
        </w:rPr>
        <w:t>.</w:t>
      </w:r>
      <w:r>
        <w:rPr>
          <w:rFonts w:ascii="Times New Roman"/>
          <w:color w:val="auto"/>
          <w:sz w:val="32"/>
          <w:szCs w:val="32"/>
        </w:rPr>
        <w:t>完成县委、县政府交办的其他任务。</w:t>
      </w:r>
    </w:p>
    <w:p w14:paraId="02D1AA75">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13</w:t>
      </w:r>
      <w:r>
        <w:rPr>
          <w:rFonts w:hint="eastAsia" w:ascii="Times New Roman"/>
          <w:color w:val="auto"/>
          <w:sz w:val="32"/>
          <w:szCs w:val="32"/>
          <w:lang w:val="en-US" w:eastAsia="zh-CN"/>
        </w:rPr>
        <w:t>.</w:t>
      </w:r>
      <w:r>
        <w:rPr>
          <w:rFonts w:ascii="Times New Roman"/>
          <w:color w:val="auto"/>
          <w:sz w:val="32"/>
          <w:szCs w:val="32"/>
        </w:rPr>
        <w:t>职能转变。完善统一的城乡居民基本医疗保险和大病保险制度，不断提高医疗保障水平，建立健全覆盖全民、城乡统筹的多层次医疗保障体系，确保医疗保障资金合理使用、安全可控，推进医疗、医保、医药“三医联动”改革，更好地保障人民群众就医需求、减轻医药费用负担。</w:t>
      </w:r>
    </w:p>
    <w:p w14:paraId="33286783">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14</w:t>
      </w:r>
      <w:r>
        <w:rPr>
          <w:rFonts w:hint="eastAsia" w:ascii="Times New Roman"/>
          <w:color w:val="auto"/>
          <w:sz w:val="32"/>
          <w:szCs w:val="32"/>
          <w:lang w:val="en-US" w:eastAsia="zh-CN"/>
        </w:rPr>
        <w:t>.</w:t>
      </w:r>
      <w:r>
        <w:rPr>
          <w:rFonts w:hint="eastAsia" w:ascii="Times New Roman"/>
          <w:color w:val="auto"/>
          <w:sz w:val="32"/>
          <w:szCs w:val="32"/>
        </w:rPr>
        <w:t>有关职责分工。</w:t>
      </w:r>
    </w:p>
    <w:p w14:paraId="0353C824">
      <w:pPr>
        <w:pStyle w:val="2"/>
        <w:spacing w:before="93" w:line="360" w:lineRule="auto"/>
        <w:ind w:firstLine="640" w:firstLineChars="200"/>
        <w:rPr>
          <w:rFonts w:ascii="Times New Roman"/>
          <w:color w:val="auto"/>
          <w:sz w:val="32"/>
          <w:szCs w:val="32"/>
        </w:rPr>
      </w:pPr>
      <w:r>
        <w:rPr>
          <w:rFonts w:hint="eastAsia" w:ascii="Times New Roman"/>
          <w:color w:val="auto"/>
          <w:sz w:val="32"/>
          <w:szCs w:val="32"/>
        </w:rPr>
        <w:t>（1）</w:t>
      </w:r>
      <w:r>
        <w:rPr>
          <w:rFonts w:ascii="Times New Roman"/>
          <w:color w:val="auto"/>
          <w:sz w:val="32"/>
          <w:szCs w:val="32"/>
        </w:rPr>
        <w:t>与县卫生健康局的有关职责分工。两部门在医疗、医保、医药等方面加强制度、政策衔接，建立沟通协商机制，协同推进改革，提高医疗资源使用效率和医疗保障水平。</w:t>
      </w:r>
    </w:p>
    <w:p w14:paraId="3DD50CA3">
      <w:pPr>
        <w:pStyle w:val="2"/>
        <w:spacing w:before="93" w:line="360" w:lineRule="auto"/>
        <w:ind w:firstLine="640" w:firstLineChars="200"/>
        <w:rPr>
          <w:rFonts w:ascii="仿宋" w:hAnsi="仿宋" w:eastAsia="仿宋"/>
          <w:bCs/>
          <w:color w:val="auto"/>
          <w:sz w:val="32"/>
          <w:szCs w:val="32"/>
        </w:rPr>
      </w:pPr>
      <w:r>
        <w:rPr>
          <w:rFonts w:hint="eastAsia" w:ascii="Times New Roman"/>
          <w:color w:val="auto"/>
          <w:sz w:val="32"/>
          <w:szCs w:val="32"/>
        </w:rPr>
        <w:t>（2）</w:t>
      </w:r>
      <w:r>
        <w:rPr>
          <w:rFonts w:ascii="Times New Roman"/>
          <w:color w:val="auto"/>
          <w:sz w:val="32"/>
          <w:szCs w:val="32"/>
        </w:rPr>
        <w:t>与国家税务总局盐边县税务局的有关职责分工。两部门在医疗、生育、长期护理保险基金征缴工作等方面加强协调，建立沟通机制，共同做好社会保险费税务征缴的</w:t>
      </w:r>
      <w:r>
        <w:rPr>
          <w:rFonts w:hint="eastAsia" w:ascii="Times New Roman"/>
          <w:color w:val="auto"/>
          <w:sz w:val="32"/>
          <w:szCs w:val="32"/>
        </w:rPr>
        <w:t>相关工作。</w:t>
      </w:r>
    </w:p>
    <w:p w14:paraId="2E46DB43">
      <w:pPr>
        <w:pStyle w:val="2"/>
        <w:adjustRightInd w:val="0"/>
        <w:snapToGrid w:val="0"/>
        <w:spacing w:before="93" w:line="360" w:lineRule="auto"/>
        <w:ind w:firstLine="672" w:firstLineChars="210"/>
        <w:outlineLvl w:val="2"/>
        <w:rPr>
          <w:rFonts w:ascii="仿宋" w:hAnsi="仿宋" w:eastAsia="仿宋"/>
          <w:bCs/>
          <w:color w:val="auto"/>
          <w:sz w:val="32"/>
          <w:szCs w:val="32"/>
        </w:rPr>
      </w:pPr>
      <w:bookmarkStart w:id="18" w:name="_Toc15378446"/>
      <w:bookmarkStart w:id="19" w:name="_Toc15377199"/>
      <w:r>
        <w:rPr>
          <w:rFonts w:hint="eastAsia" w:ascii="仿宋" w:hAnsi="仿宋" w:eastAsia="仿宋"/>
          <w:bCs/>
          <w:color w:val="auto"/>
          <w:sz w:val="32"/>
          <w:szCs w:val="32"/>
        </w:rPr>
        <w:t>（二）</w:t>
      </w:r>
      <w:r>
        <w:rPr>
          <w:rFonts w:ascii="仿宋" w:hAnsi="仿宋" w:eastAsia="仿宋"/>
          <w:bCs/>
          <w:color w:val="auto"/>
          <w:sz w:val="32"/>
          <w:szCs w:val="32"/>
        </w:rPr>
        <w:t>20</w:t>
      </w:r>
      <w:r>
        <w:rPr>
          <w:rFonts w:hint="eastAsia" w:ascii="仿宋" w:hAnsi="仿宋" w:eastAsia="仿宋"/>
          <w:bCs/>
          <w:color w:val="auto"/>
          <w:sz w:val="32"/>
          <w:szCs w:val="32"/>
        </w:rPr>
        <w:t>21年重点工作完成情况。</w:t>
      </w:r>
      <w:bookmarkEnd w:id="18"/>
      <w:bookmarkEnd w:id="19"/>
    </w:p>
    <w:p w14:paraId="71A36FD9">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1</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党建和党风廉政建设深入开展。认真履行局党组党建和党风廉政建设“主体责任”，严格落实党组成员“一岗双责”，着力提升党的政治功能和组织功能。一是深入开展党史学习教育。先后召开8次理论学习中心组会</w:t>
      </w:r>
      <w:r>
        <w:rPr>
          <w:rFonts w:hint="eastAsia" w:ascii="仿宋" w:hAnsi="仿宋" w:eastAsia="仿宋"/>
          <w:bCs/>
          <w:color w:val="auto"/>
          <w:kern w:val="0"/>
          <w:sz w:val="32"/>
          <w:szCs w:val="32"/>
          <w:lang w:val="en-US" w:eastAsia="zh-CN"/>
        </w:rPr>
        <w:t>议</w:t>
      </w:r>
      <w:r>
        <w:rPr>
          <w:rFonts w:hint="eastAsia" w:ascii="仿宋" w:hAnsi="仿宋" w:eastAsia="仿宋"/>
          <w:bCs/>
          <w:color w:val="auto"/>
          <w:kern w:val="0"/>
          <w:sz w:val="32"/>
          <w:szCs w:val="32"/>
        </w:rPr>
        <w:t>和4次党员大会，同时组织开展“清明祭英烈”、参观三线博物馆、瞻仰南湖红船等活动，组织全体党员干部集中学习党史。梳理汇总医疗救助、异地就医、基金监管等10余项医保民生实事，制定工作方案，细化责任分工，明确时间节点，大力开展“我为群众办实事”实践活动。二是抓实县委巡察整改及“回头看”工作。制定整改措施23条，整改落实巡察组反馈问题16项。根据省版系统功能特点，慎重分配工作权限，修订完善《盐边县医保局内控管理制度》等各项工作制度30个，全面防控“三公”经费支出、医保基金管理使用等廉政风险点，进一步规范财务管理、民主生活会、党组议事规则和选人用人程序。三是加强党风廉政警示教育。班子成员带头讲廉政党课、作廉政报告6次，开展干部职工谈心谈话21人次，做到谈话提醒常态化。组织观看警示教育片《围猎陷阱》《迷途知返》以及安徽太和医疗机构骗取医保基金典型案例并进行专题研讨，教育引导医保系统干部职工树牢底线思维，增强法纪意识。</w:t>
      </w:r>
    </w:p>
    <w:p w14:paraId="08C60CB6">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2</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圆满完成2021年医疗保障领域民生实事。</w:t>
      </w:r>
    </w:p>
    <w:p w14:paraId="3F98FD9B">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一是提高16.5万城乡居民基本医疗保障水平。实行基本医疗保险、大病医疗保险、补充医疗保险、医疗救助 “一单制”结算，2021年，全县城乡居民普通门诊统筹257157人次，基本医疗统筹基金支出579.59万元；门诊慢特病（包括门诊视同住院）就诊29966人次，基金共支出1133.31万元，其中基本医疗支付761.33万元，大病支出198.13万元，补充医疗支出129.94万元，医疗救助支出43.91万元；住院就诊30781人次，基金共支出11707.99万元，其中基本医疗支出10231.4万元，大病支出710.65万元，补充医疗支出264.15万元，医疗救助支出501.79万元。</w:t>
      </w:r>
    </w:p>
    <w:p w14:paraId="4FD067C9">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二是代缴贫困人口城乡居民基本医疗保险个人缴费部分。按照特殊人群“应参尽参”的原则，采取定额资助与全额资助相结合的方式，资助2.9万余名城乡困难群众参加2021年度基本医疗保险，其中全额资助脱贫户17570人、残疾人5756人、民政救助对象4921人，定额资助脱贫不稳定户、防返贫、突发严重困难户人数为849人，困难群众参保实现全覆盖。</w:t>
      </w:r>
    </w:p>
    <w:p w14:paraId="34E1C0E9">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三是对特殊困难群众实施医疗救助。截至</w:t>
      </w:r>
      <w:r>
        <w:rPr>
          <w:rFonts w:hint="eastAsia" w:ascii="仿宋" w:hAnsi="仿宋" w:eastAsia="仿宋"/>
          <w:bCs/>
          <w:color w:val="auto"/>
          <w:kern w:val="0"/>
          <w:sz w:val="32"/>
          <w:szCs w:val="32"/>
          <w:lang w:val="en-US" w:eastAsia="zh-CN"/>
        </w:rPr>
        <w:t>12月底</w:t>
      </w:r>
      <w:r>
        <w:rPr>
          <w:rFonts w:hint="eastAsia" w:ascii="仿宋" w:hAnsi="仿宋" w:eastAsia="仿宋"/>
          <w:bCs/>
          <w:color w:val="auto"/>
          <w:kern w:val="0"/>
          <w:sz w:val="32"/>
          <w:szCs w:val="32"/>
        </w:rPr>
        <w:t>，已实施医疗救助7431人次，支出医疗救助资金763万元，全面实现困难群众医疗兜底保障。</w:t>
      </w:r>
    </w:p>
    <w:p w14:paraId="0CC64227">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3</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持续扩大异地就医联网结算范围。积极推进定点医药机构异地联网结算，大幅提升异地就医直接结算效率。截至</w:t>
      </w:r>
      <w:r>
        <w:rPr>
          <w:rFonts w:hint="eastAsia" w:ascii="仿宋" w:hAnsi="仿宋" w:eastAsia="仿宋"/>
          <w:bCs/>
          <w:color w:val="auto"/>
          <w:kern w:val="0"/>
          <w:sz w:val="32"/>
          <w:szCs w:val="32"/>
          <w:lang w:val="en-US" w:eastAsia="zh-CN"/>
        </w:rPr>
        <w:t>12月底</w:t>
      </w:r>
      <w:r>
        <w:rPr>
          <w:rFonts w:hint="eastAsia" w:ascii="仿宋" w:hAnsi="仿宋" w:eastAsia="仿宋"/>
          <w:bCs/>
          <w:color w:val="auto"/>
          <w:kern w:val="0"/>
          <w:sz w:val="32"/>
          <w:szCs w:val="32"/>
        </w:rPr>
        <w:t>，我县开通跨省个账联网刷卡定点零售药店25家、跨省普通门诊联网医疗机构3家、跨省普通住院联网医疗机构8家、跨省（西南片区）门特医疗机构1家，开通省内个账联网刷卡定点零售药店42家、省内门特联网医疗机构 5家、省内普通住院联网医疗机构19家、省内普通门诊联网医疗机构21家，推进了等级医疗机构、基层医疗机构、公立医疗机构、民营医疗机构“全覆盖”。</w:t>
      </w:r>
    </w:p>
    <w:p w14:paraId="4CFA85D4">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4</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进一步加大医保基金监管力度。截至</w:t>
      </w:r>
      <w:r>
        <w:rPr>
          <w:rFonts w:hint="eastAsia" w:ascii="仿宋" w:hAnsi="仿宋" w:eastAsia="仿宋"/>
          <w:bCs/>
          <w:color w:val="auto"/>
          <w:kern w:val="0"/>
          <w:sz w:val="32"/>
          <w:szCs w:val="32"/>
          <w:lang w:val="en-US" w:eastAsia="zh-CN"/>
        </w:rPr>
        <w:t>12月底</w:t>
      </w:r>
      <w:r>
        <w:rPr>
          <w:rFonts w:hint="eastAsia" w:ascii="仿宋" w:hAnsi="仿宋" w:eastAsia="仿宋"/>
          <w:bCs/>
          <w:color w:val="auto"/>
          <w:kern w:val="0"/>
          <w:sz w:val="32"/>
          <w:szCs w:val="32"/>
        </w:rPr>
        <w:t>，与县内23家定点医院、44家定点药店签订医保定点服务协议，明确违反服务协议的行为及其责任。采取日常检查与专项检查相结合的方式，加强对定点医药机构基金使用结算、服务协议执行、药品和医用耗材进销存等情况的监督检查，及时发现问题线索，严格责任追究。1-12月，共限期整改25家、通报批评6家、暂停医保2家，收回违规金80.03万元，处理违约金73.7万元。</w:t>
      </w:r>
    </w:p>
    <w:p w14:paraId="0D1F9E7C">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5</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深入实施巩固脱贫攻坚成果与乡村振兴的衔接政策。继续执行医疗保障扶贫基本医保、大病保险、医疗救助“三重保障”待遇标准，在普惠性政策的基础上，继续实施资助参保政策和城乡困难群众医疗保障倾斜支付待遇政策，通过降低起付线、提高报销比例等倾斜性政策，增强困难群众医疗保障能力，将家庭经济低收入者县域内住院个人自付比例控制在了7.25%，有效防止城乡群众因病致贫和因病返贫。</w:t>
      </w:r>
    </w:p>
    <w:p w14:paraId="40415C9F">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6</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持续强化新冠疫情防控保障。加强与省市医保部门和市县财政部门的沟通协调，提前留足预备金，实行疫苗接种资金预付费机制，以疫苗接种专项资金向省、市提前预付疫苗采购和接种费用。截至</w:t>
      </w:r>
      <w:r>
        <w:rPr>
          <w:rFonts w:hint="eastAsia" w:ascii="仿宋" w:hAnsi="仿宋" w:eastAsia="仿宋"/>
          <w:bCs/>
          <w:color w:val="auto"/>
          <w:kern w:val="0"/>
          <w:sz w:val="32"/>
          <w:szCs w:val="32"/>
          <w:lang w:val="en-US" w:eastAsia="zh-CN"/>
        </w:rPr>
        <w:t>12月底</w:t>
      </w:r>
      <w:r>
        <w:rPr>
          <w:rFonts w:hint="eastAsia" w:ascii="仿宋" w:hAnsi="仿宋" w:eastAsia="仿宋"/>
          <w:bCs/>
          <w:color w:val="auto"/>
          <w:kern w:val="0"/>
          <w:sz w:val="32"/>
          <w:szCs w:val="32"/>
        </w:rPr>
        <w:t>，已向我县4家疫苗接种机构拨付新冠疫苗接种费102.4万元，保障疫苗接种有序推进。在医保报销中，打破日常管理中关于医保支付目录的限制性规定，及时更新医保药品支付目录，将卫健部门新冠肺炎诊疗方案中的药品和医疗服务项目临时性纳入医保支付范围。强化疫情防控物资和医疗服务价格监测，严禁趁机哄抬医药价格，有效杜绝了借机涨价和囤积急需医用物资等违规现象。</w:t>
      </w:r>
    </w:p>
    <w:p w14:paraId="5D574701">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7</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深入实施药品集中采购制度。结合盐边南北片区工作实际，不断改革创新采购方式，协调县卫健部门，开展医共体集中采购改革试点，将全县21家公立定点医疗机构的药械集中采购任务统筹分配给盐边县人民医院和盐边县中医院两家医共体医疗机构组织实施，简化工作流程，缩短预付款及回款周期，提升了药械集采效率。今年以来，按要求及时完成6个批次集中采购任务，带量采购药品品种达200个以上，涉及慢性病、抗感染、心血管、肿瘤等多种疾病用药，已在全县3家二级医疗机构17家乡镇医疗机构全面执行中选药品，群众受益243.45万元，药价平均降幅62%，最高降幅98%，惠及群众5万余人。</w:t>
      </w:r>
    </w:p>
    <w:p w14:paraId="0389D7D9">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8</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加快推进医保支付方式改革。将县内有住院条件的22家医院（其中2家于今年解约，截至</w:t>
      </w:r>
      <w:r>
        <w:rPr>
          <w:rFonts w:hint="eastAsia" w:ascii="仿宋" w:hAnsi="仿宋" w:eastAsia="仿宋"/>
          <w:bCs/>
          <w:color w:val="auto"/>
          <w:kern w:val="0"/>
          <w:sz w:val="32"/>
          <w:szCs w:val="32"/>
          <w:lang w:val="en-US" w:eastAsia="zh-CN"/>
        </w:rPr>
        <w:t>12月底</w:t>
      </w:r>
      <w:r>
        <w:rPr>
          <w:rFonts w:hint="eastAsia" w:ascii="仿宋" w:hAnsi="仿宋" w:eastAsia="仿宋"/>
          <w:bCs/>
          <w:color w:val="auto"/>
          <w:kern w:val="0"/>
          <w:sz w:val="32"/>
          <w:szCs w:val="32"/>
        </w:rPr>
        <w:t>共20家纳入“疾病诊断相关分组点数付费法”付费（DRG付费），由传统的按疾病项目付费过渡到实行总额控制下的按疾病病种付费，在大幅度减轻群众医疗负担和医保基金支出压力的同时，实现医疗机构效益的最大化。在2020年DRG付费改革结算中，全县22家医疗机构实现城镇职工医保盈利8家、盈利金额39.07万元，城乡居民医保盈利11家、盈利金额540.99万元，共盈利580.06万元。</w:t>
      </w:r>
    </w:p>
    <w:p w14:paraId="1D6DEFF0">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9</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积极推进新版医保系统上线工作。按照市医保局的统一安排，积极开展贯标工作，做好数据清理、问题核验、人员培训等前期准备，紧密配合省、市医疗保障系统开发团队，在规定时间内清理相关问题数据1770个，完成新老系统数据导入。目前，新系统已在县医保事务中心和各定点医药机构平稳有序运行。</w:t>
      </w:r>
    </w:p>
    <w:p w14:paraId="5FD6701B">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10</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全力推进2022年城乡居民医保征收。按照依法参保、应保尽保的要求，加强与税务、财政、统计等部门的数据共享与比对，及时掌握医保增减人员信息，精准做好城镇职工和城乡居民医保的征缴工作，推动各类人群应参尽参。2021年完成16.5万人的参保任务。</w:t>
      </w:r>
    </w:p>
    <w:p w14:paraId="1214FB90">
      <w:pPr>
        <w:widowControl/>
        <w:shd w:val="clear" w:color="auto" w:fill="FFFFFF"/>
        <w:spacing w:line="360" w:lineRule="auto"/>
        <w:ind w:firstLine="640" w:firstLineChars="200"/>
        <w:outlineLvl w:val="1"/>
        <w:rPr>
          <w:rFonts w:ascii="仿宋" w:hAnsi="仿宋" w:eastAsia="仿宋"/>
          <w:bCs/>
          <w:color w:val="auto"/>
          <w:kern w:val="0"/>
          <w:sz w:val="32"/>
          <w:szCs w:val="32"/>
        </w:rPr>
      </w:pPr>
      <w:r>
        <w:rPr>
          <w:rFonts w:hint="eastAsia" w:ascii="仿宋" w:hAnsi="仿宋" w:eastAsia="仿宋"/>
          <w:bCs/>
          <w:color w:val="auto"/>
          <w:kern w:val="0"/>
          <w:sz w:val="32"/>
          <w:szCs w:val="32"/>
        </w:rPr>
        <w:t>11</w:t>
      </w:r>
      <w:r>
        <w:rPr>
          <w:rFonts w:hint="eastAsia" w:ascii="仿宋" w:hAnsi="仿宋" w:eastAsia="仿宋"/>
          <w:bCs/>
          <w:color w:val="auto"/>
          <w:kern w:val="0"/>
          <w:sz w:val="32"/>
          <w:szCs w:val="32"/>
          <w:lang w:val="en-US" w:eastAsia="zh-CN"/>
        </w:rPr>
        <w:t>.</w:t>
      </w:r>
      <w:r>
        <w:rPr>
          <w:rFonts w:hint="eastAsia" w:ascii="仿宋" w:hAnsi="仿宋" w:eastAsia="仿宋"/>
          <w:bCs/>
          <w:color w:val="auto"/>
          <w:kern w:val="0"/>
          <w:sz w:val="32"/>
          <w:szCs w:val="32"/>
        </w:rPr>
        <w:t>全力推进县委县政府安排的各项工作任务。紧紧围绕县委县政府中心工作，结合医保职能职责，强化相关部门的沟通协作，加强工作力量的统筹协调，全面完成疫情防控、森林草原防灭火、巩固</w:t>
      </w:r>
      <w:r>
        <w:rPr>
          <w:rFonts w:hint="eastAsia" w:ascii="仿宋" w:hAnsi="仿宋" w:eastAsia="仿宋"/>
          <w:bCs/>
          <w:color w:val="auto"/>
          <w:kern w:val="0"/>
          <w:sz w:val="32"/>
          <w:szCs w:val="32"/>
          <w:lang w:val="en-US" w:eastAsia="zh-CN"/>
        </w:rPr>
        <w:t>拓展</w:t>
      </w:r>
      <w:r>
        <w:rPr>
          <w:rFonts w:hint="eastAsia" w:ascii="仿宋" w:hAnsi="仿宋" w:eastAsia="仿宋"/>
          <w:bCs/>
          <w:color w:val="auto"/>
          <w:kern w:val="0"/>
          <w:sz w:val="32"/>
          <w:szCs w:val="32"/>
        </w:rPr>
        <w:t>脱贫</w:t>
      </w:r>
      <w:r>
        <w:rPr>
          <w:rFonts w:hint="eastAsia" w:ascii="仿宋" w:hAnsi="仿宋" w:eastAsia="仿宋"/>
          <w:bCs/>
          <w:color w:val="auto"/>
          <w:kern w:val="0"/>
          <w:sz w:val="32"/>
          <w:szCs w:val="32"/>
          <w:lang w:val="en-US" w:eastAsia="zh-CN"/>
        </w:rPr>
        <w:t>攻坚</w:t>
      </w:r>
      <w:r>
        <w:rPr>
          <w:rFonts w:hint="eastAsia" w:ascii="仿宋" w:hAnsi="仿宋" w:eastAsia="仿宋"/>
          <w:bCs/>
          <w:color w:val="auto"/>
          <w:kern w:val="0"/>
          <w:sz w:val="32"/>
          <w:szCs w:val="32"/>
        </w:rPr>
        <w:t>成果</w:t>
      </w:r>
      <w:r>
        <w:rPr>
          <w:rFonts w:hint="eastAsia" w:ascii="仿宋" w:hAnsi="仿宋" w:eastAsia="仿宋"/>
          <w:bCs/>
          <w:color w:val="auto"/>
          <w:kern w:val="0"/>
          <w:sz w:val="32"/>
          <w:szCs w:val="32"/>
          <w:lang w:val="en-US" w:eastAsia="zh-CN"/>
        </w:rPr>
        <w:t>同</w:t>
      </w:r>
      <w:r>
        <w:rPr>
          <w:rFonts w:hint="eastAsia" w:ascii="仿宋" w:hAnsi="仿宋" w:eastAsia="仿宋"/>
          <w:bCs/>
          <w:color w:val="auto"/>
          <w:kern w:val="0"/>
          <w:sz w:val="32"/>
          <w:szCs w:val="32"/>
        </w:rPr>
        <w:t>乡村振兴</w:t>
      </w:r>
      <w:r>
        <w:rPr>
          <w:rFonts w:hint="eastAsia" w:ascii="仿宋" w:hAnsi="仿宋" w:eastAsia="仿宋"/>
          <w:bCs/>
          <w:color w:val="auto"/>
          <w:kern w:val="0"/>
          <w:sz w:val="32"/>
          <w:szCs w:val="32"/>
          <w:lang w:val="en-US" w:eastAsia="zh-CN"/>
        </w:rPr>
        <w:t>有效</w:t>
      </w:r>
      <w:r>
        <w:rPr>
          <w:rFonts w:hint="eastAsia" w:ascii="仿宋" w:hAnsi="仿宋" w:eastAsia="仿宋"/>
          <w:bCs/>
          <w:color w:val="auto"/>
          <w:kern w:val="0"/>
          <w:sz w:val="32"/>
          <w:szCs w:val="32"/>
        </w:rPr>
        <w:t>衔接、深化改革、法治政府建设、信访维稳等工作任务，充分发挥医疗保障围绕</w:t>
      </w:r>
      <w:bookmarkStart w:id="78" w:name="_GoBack"/>
      <w:bookmarkEnd w:id="78"/>
      <w:r>
        <w:rPr>
          <w:rFonts w:hint="eastAsia" w:ascii="仿宋" w:hAnsi="仿宋" w:eastAsia="仿宋"/>
          <w:bCs/>
          <w:color w:val="auto"/>
          <w:kern w:val="0"/>
          <w:sz w:val="32"/>
          <w:szCs w:val="32"/>
        </w:rPr>
        <w:t>中心、服务大局的重要作用。</w:t>
      </w:r>
    </w:p>
    <w:p w14:paraId="66DF0010">
      <w:pPr>
        <w:pStyle w:val="4"/>
        <w:spacing w:line="360" w:lineRule="auto"/>
        <w:ind w:firstLine="320" w:firstLineChars="100"/>
        <w:rPr>
          <w:rStyle w:val="26"/>
          <w:b w:val="0"/>
          <w:bCs w:val="0"/>
          <w:color w:val="auto"/>
        </w:rPr>
      </w:pPr>
      <w:bookmarkStart w:id="20" w:name="_Toc15377200"/>
      <w:bookmarkStart w:id="21" w:name="_Toc15396601"/>
      <w:r>
        <w:rPr>
          <w:rFonts w:hint="eastAsia" w:ascii="黑体" w:eastAsia="黑体"/>
          <w:b w:val="0"/>
          <w:color w:val="auto"/>
        </w:rPr>
        <w:t>二、</w:t>
      </w:r>
      <w:r>
        <w:rPr>
          <w:rFonts w:hint="eastAsia" w:ascii="黑体" w:hAnsi="黑体" w:eastAsia="黑体"/>
          <w:b w:val="0"/>
          <w:color w:val="auto"/>
        </w:rPr>
        <w:t>机</w:t>
      </w:r>
      <w:r>
        <w:rPr>
          <w:rStyle w:val="26"/>
          <w:rFonts w:hint="eastAsia" w:ascii="黑体" w:hAnsi="黑体" w:eastAsia="黑体"/>
          <w:b w:val="0"/>
          <w:bCs w:val="0"/>
          <w:color w:val="auto"/>
        </w:rPr>
        <w:t>构设置</w:t>
      </w:r>
      <w:bookmarkEnd w:id="20"/>
      <w:bookmarkEnd w:id="21"/>
    </w:p>
    <w:p w14:paraId="76DCD155">
      <w:pPr>
        <w:widowControl/>
        <w:spacing w:line="360" w:lineRule="auto"/>
        <w:ind w:firstLine="640" w:firstLineChars="200"/>
        <w:jc w:val="left"/>
        <w:rPr>
          <w:rFonts w:ascii="仿宋" w:hAnsi="仿宋" w:eastAsia="仿宋"/>
          <w:color w:val="auto"/>
          <w:sz w:val="32"/>
          <w:szCs w:val="32"/>
        </w:rPr>
      </w:pPr>
      <w:r>
        <w:rPr>
          <w:rFonts w:hint="eastAsia" w:ascii="仿宋" w:hAnsi="仿宋" w:eastAsia="仿宋"/>
          <w:color w:val="auto"/>
          <w:sz w:val="32"/>
          <w:szCs w:val="32"/>
        </w:rPr>
        <w:t>盐边县医疗保障局下属二级参照公务员法管理的事业单位1个</w:t>
      </w:r>
      <w:r>
        <w:rPr>
          <w:rFonts w:hint="eastAsia" w:ascii="仿宋" w:hAnsi="仿宋" w:eastAsia="仿宋"/>
          <w:color w:val="auto"/>
          <w:sz w:val="32"/>
          <w:szCs w:val="32"/>
          <w:lang w:eastAsia="zh-CN"/>
        </w:rPr>
        <w:t>：盐边县医疗保障事务中心</w:t>
      </w:r>
      <w:r>
        <w:rPr>
          <w:rFonts w:hint="eastAsia" w:ascii="仿宋" w:hAnsi="仿宋" w:eastAsia="仿宋"/>
          <w:color w:val="auto"/>
          <w:sz w:val="32"/>
          <w:szCs w:val="32"/>
        </w:rPr>
        <w:t>。</w:t>
      </w:r>
      <w:r>
        <w:rPr>
          <w:rFonts w:hint="eastAsia" w:ascii="仿宋" w:hAnsi="仿宋" w:eastAsia="仿宋"/>
          <w:color w:val="auto"/>
          <w:sz w:val="32"/>
          <w:szCs w:val="32"/>
          <w:lang w:val="zh-CN"/>
        </w:rPr>
        <w:t>局内设办公室和业务与政策法规股</w:t>
      </w:r>
      <w:r>
        <w:rPr>
          <w:rFonts w:hint="eastAsia" w:ascii="仿宋" w:hAnsi="仿宋" w:eastAsia="仿宋"/>
          <w:color w:val="auto"/>
          <w:sz w:val="32"/>
          <w:szCs w:val="32"/>
        </w:rPr>
        <w:t>2个机构。</w:t>
      </w:r>
    </w:p>
    <w:p w14:paraId="06CC0B18">
      <w:pPr>
        <w:widowControl/>
        <w:spacing w:line="360" w:lineRule="auto"/>
        <w:ind w:firstLine="640" w:firstLineChars="200"/>
        <w:jc w:val="left"/>
        <w:rPr>
          <w:rFonts w:ascii="仿宋" w:hAnsi="仿宋" w:eastAsia="仿宋"/>
          <w:color w:val="auto"/>
          <w:sz w:val="32"/>
          <w:szCs w:val="32"/>
        </w:rPr>
      </w:pPr>
      <w:bookmarkStart w:id="22" w:name="_Toc15377201"/>
      <w:bookmarkStart w:id="23" w:name="_Toc15306275"/>
      <w:bookmarkStart w:id="24" w:name="_Toc15378448"/>
      <w:bookmarkStart w:id="25" w:name="_Toc15377432"/>
      <w:r>
        <w:rPr>
          <w:rFonts w:hint="eastAsia" w:ascii="仿宋" w:hAnsi="仿宋" w:eastAsia="仿宋"/>
          <w:color w:val="auto"/>
          <w:sz w:val="32"/>
          <w:szCs w:val="32"/>
        </w:rPr>
        <w:t>纳入盐边县医疗保障局2021年度部门决算编制范围的</w:t>
      </w:r>
    </w:p>
    <w:p w14:paraId="48132272">
      <w:pPr>
        <w:widowControl/>
        <w:spacing w:line="360" w:lineRule="auto"/>
        <w:jc w:val="left"/>
        <w:rPr>
          <w:rFonts w:ascii="仿宋" w:hAnsi="仿宋" w:eastAsia="仿宋"/>
          <w:color w:val="auto"/>
          <w:kern w:val="0"/>
          <w:sz w:val="32"/>
          <w:szCs w:val="32"/>
        </w:rPr>
      </w:pPr>
      <w:r>
        <w:rPr>
          <w:rFonts w:hint="eastAsia" w:ascii="仿宋" w:hAnsi="仿宋" w:eastAsia="仿宋"/>
          <w:color w:val="auto"/>
          <w:sz w:val="32"/>
          <w:szCs w:val="32"/>
        </w:rPr>
        <w:t>包括</w:t>
      </w:r>
      <w:bookmarkStart w:id="26" w:name="_Toc52180071"/>
      <w:r>
        <w:rPr>
          <w:rFonts w:hint="eastAsia" w:ascii="仿宋" w:hAnsi="仿宋" w:eastAsia="仿宋"/>
          <w:color w:val="auto"/>
          <w:sz w:val="32"/>
          <w:szCs w:val="32"/>
          <w:lang w:eastAsia="zh-CN"/>
        </w:rPr>
        <w:t>二级单位</w:t>
      </w:r>
      <w:r>
        <w:rPr>
          <w:rFonts w:hint="eastAsia" w:ascii="仿宋" w:hAnsi="仿宋" w:eastAsia="仿宋"/>
          <w:color w:val="auto"/>
          <w:sz w:val="32"/>
          <w:szCs w:val="32"/>
        </w:rPr>
        <w:t>盐边县医疗保障事务中心</w:t>
      </w:r>
      <w:bookmarkEnd w:id="26"/>
      <w:r>
        <w:rPr>
          <w:rFonts w:hint="eastAsia" w:ascii="仿宋" w:hAnsi="仿宋" w:eastAsia="仿宋"/>
          <w:color w:val="auto"/>
          <w:sz w:val="32"/>
          <w:szCs w:val="32"/>
        </w:rPr>
        <w:t>。</w:t>
      </w:r>
      <w:bookmarkEnd w:id="22"/>
      <w:bookmarkEnd w:id="23"/>
      <w:bookmarkEnd w:id="24"/>
      <w:bookmarkEnd w:id="25"/>
      <w:r>
        <w:rPr>
          <w:rFonts w:ascii="仿宋" w:hAnsi="仿宋" w:eastAsia="仿宋"/>
          <w:color w:val="auto"/>
          <w:sz w:val="32"/>
          <w:szCs w:val="32"/>
        </w:rPr>
        <w:br w:type="page"/>
      </w:r>
    </w:p>
    <w:p w14:paraId="0AE83B45">
      <w:pPr>
        <w:pStyle w:val="3"/>
        <w:spacing w:line="360" w:lineRule="auto"/>
        <w:ind w:right="440"/>
        <w:jc w:val="center"/>
        <w:rPr>
          <w:rStyle w:val="25"/>
          <w:rFonts w:ascii="黑体" w:hAnsi="黑体" w:eastAsia="黑体"/>
          <w:b w:val="0"/>
          <w:bCs/>
          <w:color w:val="auto"/>
        </w:rPr>
      </w:pPr>
      <w:bookmarkStart w:id="27" w:name="_Toc15396602"/>
      <w:bookmarkStart w:id="28" w:name="_Toc15377204"/>
      <w:r>
        <w:rPr>
          <w:rFonts w:hint="eastAsia" w:ascii="黑体" w:hAnsi="黑体" w:eastAsia="黑体"/>
          <w:b w:val="0"/>
          <w:color w:val="auto"/>
        </w:rPr>
        <w:t>第二部分 2021年度</w:t>
      </w:r>
      <w:r>
        <w:rPr>
          <w:rStyle w:val="25"/>
          <w:rFonts w:hint="eastAsia" w:ascii="黑体" w:hAnsi="黑体" w:eastAsia="黑体"/>
          <w:b w:val="0"/>
          <w:bCs/>
          <w:color w:val="auto"/>
        </w:rPr>
        <w:t>部门决算情况说明</w:t>
      </w:r>
      <w:bookmarkEnd w:id="27"/>
      <w:bookmarkEnd w:id="28"/>
    </w:p>
    <w:p w14:paraId="24501709">
      <w:pPr>
        <w:spacing w:line="360" w:lineRule="auto"/>
        <w:rPr>
          <w:color w:val="auto"/>
        </w:rPr>
      </w:pPr>
    </w:p>
    <w:p w14:paraId="580116D2">
      <w:pPr>
        <w:pStyle w:val="24"/>
        <w:numPr>
          <w:ilvl w:val="0"/>
          <w:numId w:val="1"/>
        </w:numPr>
        <w:spacing w:line="360" w:lineRule="auto"/>
        <w:ind w:firstLineChars="0"/>
        <w:outlineLvl w:val="1"/>
        <w:rPr>
          <w:rStyle w:val="26"/>
          <w:rFonts w:ascii="黑体" w:hAnsi="黑体" w:eastAsia="黑体"/>
          <w:b w:val="0"/>
          <w:color w:val="auto"/>
        </w:rPr>
      </w:pPr>
      <w:bookmarkStart w:id="29" w:name="_Toc15396603"/>
      <w:bookmarkStart w:id="30" w:name="_Toc15377205"/>
      <w:r>
        <w:rPr>
          <w:rFonts w:hint="eastAsia" w:ascii="黑体" w:hAnsi="黑体" w:eastAsia="黑体"/>
          <w:color w:val="auto"/>
          <w:sz w:val="32"/>
          <w:szCs w:val="32"/>
        </w:rPr>
        <w:t>收</w:t>
      </w:r>
      <w:r>
        <w:rPr>
          <w:rStyle w:val="26"/>
          <w:rFonts w:hint="eastAsia" w:ascii="黑体" w:hAnsi="黑体" w:eastAsia="黑体"/>
          <w:b w:val="0"/>
          <w:color w:val="auto"/>
        </w:rPr>
        <w:t>入支出决算总体情况说明</w:t>
      </w:r>
      <w:bookmarkEnd w:id="29"/>
      <w:bookmarkEnd w:id="30"/>
    </w:p>
    <w:p w14:paraId="4ADE58AE">
      <w:pPr>
        <w:spacing w:line="360" w:lineRule="auto"/>
        <w:ind w:firstLine="640" w:firstLineChars="200"/>
        <w:rPr>
          <w:rFonts w:hint="default" w:eastAsia="仿宋_GB2312"/>
          <w:sz w:val="24"/>
          <w:szCs w:val="24"/>
          <w:lang w:val="en-US" w:eastAsia="zh-CN"/>
        </w:rPr>
      </w:pPr>
      <w:r>
        <w:rPr>
          <w:rFonts w:hint="eastAsia" w:ascii="仿宋" w:hAnsi="仿宋" w:eastAsia="仿宋"/>
          <w:color w:val="auto"/>
          <w:sz w:val="32"/>
          <w:szCs w:val="32"/>
        </w:rPr>
        <w:t>2021年度收</w:t>
      </w:r>
      <w:r>
        <w:rPr>
          <w:rFonts w:hint="eastAsia" w:ascii="仿宋" w:hAnsi="仿宋" w:eastAsia="仿宋"/>
          <w:color w:val="auto"/>
          <w:sz w:val="32"/>
          <w:szCs w:val="32"/>
          <w:lang w:eastAsia="zh-CN"/>
        </w:rPr>
        <w:t>、</w:t>
      </w:r>
      <w:r>
        <w:rPr>
          <w:rFonts w:hint="eastAsia" w:ascii="仿宋" w:hAnsi="仿宋" w:eastAsia="仿宋"/>
          <w:color w:val="auto"/>
          <w:sz w:val="32"/>
          <w:szCs w:val="32"/>
        </w:rPr>
        <w:t>支</w:t>
      </w:r>
      <w:r>
        <w:rPr>
          <w:rFonts w:hint="eastAsia" w:ascii="仿宋" w:hAnsi="仿宋" w:eastAsia="仿宋"/>
          <w:color w:val="auto"/>
          <w:sz w:val="32"/>
          <w:szCs w:val="32"/>
          <w:lang w:eastAsia="zh-CN"/>
        </w:rPr>
        <w:t>总计</w:t>
      </w:r>
      <w:r>
        <w:rPr>
          <w:rFonts w:hint="eastAsia" w:ascii="仿宋" w:hAnsi="仿宋" w:eastAsia="仿宋"/>
          <w:color w:val="auto"/>
          <w:sz w:val="32"/>
          <w:szCs w:val="32"/>
        </w:rPr>
        <w:t>2156.02万元。与2020年相比，收</w:t>
      </w:r>
      <w:r>
        <w:rPr>
          <w:rFonts w:hint="eastAsia" w:ascii="仿宋" w:hAnsi="仿宋" w:eastAsia="仿宋"/>
          <w:color w:val="auto"/>
          <w:sz w:val="32"/>
          <w:szCs w:val="32"/>
          <w:lang w:eastAsia="zh-CN"/>
        </w:rPr>
        <w:t>、</w:t>
      </w:r>
      <w:r>
        <w:rPr>
          <w:rFonts w:hint="eastAsia" w:ascii="仿宋" w:hAnsi="仿宋" w:eastAsia="仿宋"/>
          <w:color w:val="auto"/>
          <w:sz w:val="32"/>
          <w:szCs w:val="32"/>
        </w:rPr>
        <w:t>支</w:t>
      </w:r>
      <w:r>
        <w:rPr>
          <w:rFonts w:hint="eastAsia" w:ascii="仿宋" w:hAnsi="仿宋" w:eastAsia="仿宋"/>
          <w:color w:val="auto"/>
          <w:sz w:val="32"/>
          <w:szCs w:val="32"/>
          <w:lang w:eastAsia="zh-CN"/>
        </w:rPr>
        <w:t>总计</w:t>
      </w:r>
      <w:r>
        <w:rPr>
          <w:rFonts w:hint="eastAsia" w:ascii="仿宋" w:hAnsi="仿宋" w:eastAsia="仿宋"/>
          <w:color w:val="auto"/>
          <w:sz w:val="32"/>
          <w:szCs w:val="32"/>
        </w:rPr>
        <w:t>增加</w:t>
      </w:r>
      <w:r>
        <w:rPr>
          <w:rFonts w:hint="eastAsia" w:ascii="仿宋" w:hAnsi="仿宋" w:eastAsia="仿宋"/>
          <w:color w:val="auto"/>
          <w:sz w:val="32"/>
          <w:szCs w:val="32"/>
          <w:lang w:val="en-US" w:eastAsia="zh-CN"/>
        </w:rPr>
        <w:t>160.7</w:t>
      </w:r>
      <w:r>
        <w:rPr>
          <w:rFonts w:hint="eastAsia" w:ascii="仿宋" w:hAnsi="仿宋" w:eastAsia="仿宋"/>
          <w:color w:val="auto"/>
          <w:sz w:val="32"/>
          <w:szCs w:val="32"/>
        </w:rPr>
        <w:t>万元，增长8.05</w:t>
      </w:r>
      <w:r>
        <w:rPr>
          <w:rFonts w:ascii="仿宋" w:hAnsi="仿宋" w:eastAsia="仿宋"/>
          <w:color w:val="auto"/>
          <w:sz w:val="32"/>
          <w:szCs w:val="32"/>
        </w:rPr>
        <w:t>%</w:t>
      </w:r>
      <w:r>
        <w:rPr>
          <w:rFonts w:hint="eastAsia" w:ascii="仿宋" w:hAnsi="仿宋" w:eastAsia="仿宋"/>
          <w:color w:val="auto"/>
          <w:sz w:val="32"/>
          <w:szCs w:val="32"/>
        </w:rPr>
        <w:t>。主要变动原因是人员增加，基本支出增加，部分项目资金增加。</w:t>
      </w:r>
    </w:p>
    <w:p w14:paraId="49FA1C86">
      <w:pPr>
        <w:pStyle w:val="2"/>
        <w:spacing w:before="93" w:line="360" w:lineRule="auto"/>
        <w:rPr>
          <w:rFonts w:hint="eastAsia" w:eastAsia="仿宋_GB2312"/>
          <w:color w:val="auto"/>
          <w:lang w:eastAsia="zh-CN"/>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4429760</wp:posOffset>
                </wp:positionH>
                <wp:positionV relativeFrom="paragraph">
                  <wp:posOffset>27940</wp:posOffset>
                </wp:positionV>
                <wp:extent cx="914400" cy="334010"/>
                <wp:effectExtent l="4445" t="4445" r="14605" b="23495"/>
                <wp:wrapNone/>
                <wp:docPr id="16" name="自选图形 2"/>
                <wp:cNvGraphicFramePr/>
                <a:graphic xmlns:a="http://schemas.openxmlformats.org/drawingml/2006/main">
                  <a:graphicData uri="http://schemas.microsoft.com/office/word/2010/wordprocessingShape">
                    <wps:wsp>
                      <wps:cNvSpPr/>
                      <wps:spPr>
                        <a:xfrm>
                          <a:off x="0" y="0"/>
                          <a:ext cx="914400" cy="334010"/>
                        </a:xfrm>
                        <a:prstGeom prst="roundRect">
                          <a:avLst>
                            <a:gd name="adj" fmla="val 16667"/>
                          </a:avLst>
                        </a:prstGeom>
                        <a:solidFill>
                          <a:srgbClr val="FFFFFF"/>
                        </a:solidFill>
                        <a:ln w="9525" cap="flat" cmpd="sng">
                          <a:solidFill>
                            <a:srgbClr val="FFFFFF"/>
                          </a:solidFill>
                          <a:prstDash val="solid"/>
                          <a:headEnd type="none" w="med" len="med"/>
                          <a:tailEnd type="none" w="med" len="med"/>
                        </a:ln>
                      </wps:spPr>
                      <wps:txbx>
                        <w:txbxContent>
                          <w:p w14:paraId="039F69D4">
                            <w:r>
                              <w:rPr>
                                <w:rFonts w:hint="eastAsia"/>
                              </w:rPr>
                              <w:t>单位：万元</w:t>
                            </w:r>
                          </w:p>
                        </w:txbxContent>
                      </wps:txbx>
                      <wps:bodyPr upright="1"/>
                    </wps:wsp>
                  </a:graphicData>
                </a:graphic>
              </wp:anchor>
            </w:drawing>
          </mc:Choice>
          <mc:Fallback>
            <w:pict>
              <v:roundrect id="自选图形 2" o:spid="_x0000_s1026" o:spt="2" style="position:absolute;left:0pt;margin-left:348.8pt;margin-top:2.2pt;height:26.3pt;width:72pt;z-index:251662336;mso-width-relative:page;mso-height-relative:page;" fillcolor="#FFFFFF" filled="t" stroked="t" coordsize="21600,21600" arcsize="0.166666666666667" o:gfxdata="UEsDBAoAAAAAAIdO4kAAAAAAAAAAAAAAAAAEAAAAZHJzL1BLAwQUAAAACACHTuJAhZ077tgAAAAI&#10;AQAADwAAAGRycy9kb3ducmV2LnhtbE2PzU7DMBCE70i8g7VI3KgdFNI2jdNDKhAHLrRIXJ14m6SN&#10;11Hs/sDTs5zgOJrRzDfF+uoGccYp9J40JDMFAqnxtqdWw8fu+WEBIkRD1gyeUMMXBliXtzeFya2/&#10;0Duet7EVXEIhNxq6GMdcytB06EyY+RGJvb2fnIksp1bayVy43A3yUalMOtMTL3RmxKrD5rg9OQ32&#10;bbl5qZrqWL+qz/2Bkt23rDda398lagUi4jX+heEXn9GhZKban8gGMWjIlvOMoxrSFAT7izRhXWt4&#10;miuQZSH/Hyh/AFBLAwQUAAAACACHTuJAPNq9JhwCAABWBAAADgAAAGRycy9lMm9Eb2MueG1srVTN&#10;ctMwEL4zwztodCdO0jSAJ04PhHBhoEPhARRJtsXob7RK7Ny4MTwDN459B3ibzrRvwUoxKS2XHMjB&#10;WVm7n779vpUXF73RZCcDKGcrOhmNKZGWO6FsU9FPH9fPXlACkVnBtLOyonsJ9GL59Mmi86WcutZp&#10;IQNBEAtl5yvaxujLogDeSsNg5Ly0uFm7YFjEZWgKEViH6EYX0/F4XnQuCB8clwD4dnXYpANiOAXQ&#10;1bXicuX41kgbD6hBahaxJWiVB7rMbOta8vi+rkFGoiuKncb8xEMw3qRnsVywsgnMt4oPFNgpFB71&#10;ZJiyeOgRasUiI9ug/oEyigcHro4j7kxxaCQrgl1Mxo+0uWqZl7kXlBr8UXT4f7D83e4yECVwEuaU&#10;WGbQ8duv13dfvt18/3Xz8weZJok6DyVmXvnLMKwAw9RvXweT/rET0mdZ90dZZR8Jx5cvJ7PZGAXn&#10;uHV2NsM+E2ZxX+wDxDfSGZKCiga3teIDWpcVZbu3ELO0YuDHxGdKaqPRqB3TZDKfz58PiEMyYv/B&#10;TJXgtBJrpXVehGbzSgeCpRVd599Q/CBNW9Ih9fPpORJnOOc1zheGxqNWYJvM7UEFnAaciK0YtAcC&#10;GSGdz8pWMvHaChL3Hk2wePloomCkoERLvKspypmRKX1KJsqgLSqd7DsYlqLYb/rBxY0Te7R/64Nq&#10;WlR+kpVISThu2aLhaqR5/nudQe8/B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Z077tgAAAAI&#10;AQAADwAAAAAAAAABACAAAAAiAAAAZHJzL2Rvd25yZXYueG1sUEsBAhQAFAAAAAgAh07iQDzavSYc&#10;AgAAVgQAAA4AAAAAAAAAAQAgAAAAJwEAAGRycy9lMm9Eb2MueG1sUEsFBgAAAAAGAAYAWQEAALUF&#10;AAAAAA==&#10;">
                <v:fill on="t" focussize="0,0"/>
                <v:stroke color="#FFFFFF" joinstyle="round"/>
                <v:imagedata o:title=""/>
                <o:lock v:ext="edit" aspectratio="f"/>
                <v:textbox>
                  <w:txbxContent>
                    <w:p w14:paraId="039F69D4">
                      <w:r>
                        <w:rPr>
                          <w:rFonts w:hint="eastAsia"/>
                        </w:rPr>
                        <w:t>单位：万元</w:t>
                      </w:r>
                    </w:p>
                  </w:txbxContent>
                </v:textbox>
              </v:roundrect>
            </w:pict>
          </mc:Fallback>
        </mc:AlternateContent>
      </w:r>
      <w:r>
        <w:rPr>
          <w:rFonts w:hint="eastAsia"/>
          <w:color w:val="auto"/>
          <w:lang w:val="en-US" w:eastAsia="zh-CN"/>
        </w:rPr>
        <w:t xml:space="preserve">    </w:t>
      </w:r>
      <w:r>
        <w:rPr>
          <w:rFonts w:hint="eastAsia" w:eastAsia="仿宋_GB2312"/>
          <w:color w:val="auto"/>
          <w:lang w:eastAsia="zh-CN"/>
        </w:rPr>
        <w:drawing>
          <wp:inline distT="0" distB="0" distL="114300" distR="114300">
            <wp:extent cx="4551045" cy="2798445"/>
            <wp:effectExtent l="4445" t="4445" r="16510" b="1651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90F653">
      <w:pPr>
        <w:spacing w:line="360" w:lineRule="auto"/>
        <w:ind w:firstLine="1920" w:firstLineChars="600"/>
        <w:rPr>
          <w:rFonts w:hint="eastAsia" w:ascii="仿宋" w:hAnsi="仿宋" w:eastAsia="仿宋"/>
          <w:color w:val="auto"/>
          <w:sz w:val="32"/>
          <w:szCs w:val="32"/>
          <w:lang w:val="en-US" w:eastAsia="zh-CN"/>
        </w:rPr>
      </w:pPr>
      <w:r>
        <w:rPr>
          <w:rFonts w:hint="eastAsia" w:ascii="仿宋" w:hAnsi="仿宋" w:eastAsia="仿宋"/>
          <w:color w:val="auto"/>
          <w:sz w:val="32"/>
          <w:szCs w:val="32"/>
        </w:rPr>
        <w:t>图</w:t>
      </w:r>
      <w:r>
        <w:rPr>
          <w:rFonts w:ascii="仿宋" w:hAnsi="仿宋" w:eastAsia="仿宋"/>
          <w:color w:val="auto"/>
          <w:sz w:val="32"/>
          <w:szCs w:val="32"/>
        </w:rPr>
        <w:t>1</w:t>
      </w:r>
      <w:r>
        <w:rPr>
          <w:rFonts w:hint="eastAsia" w:ascii="仿宋" w:hAnsi="仿宋" w:eastAsia="仿宋"/>
          <w:color w:val="auto"/>
          <w:sz w:val="32"/>
          <w:szCs w:val="32"/>
        </w:rPr>
        <w:t>：收、支决算总计变动情况图</w:t>
      </w:r>
      <w:r>
        <w:rPr>
          <w:rFonts w:hint="eastAsia" w:ascii="仿宋" w:hAnsi="仿宋" w:eastAsia="仿宋"/>
          <w:color w:val="auto"/>
          <w:sz w:val="32"/>
          <w:szCs w:val="32"/>
          <w:lang w:val="en-US" w:eastAsia="zh-CN"/>
        </w:rPr>
        <w:t xml:space="preserve"> </w:t>
      </w:r>
    </w:p>
    <w:p w14:paraId="0CB64897">
      <w:pPr>
        <w:spacing w:line="360" w:lineRule="auto"/>
        <w:ind w:firstLine="640" w:firstLineChars="200"/>
        <w:jc w:val="left"/>
        <w:rPr>
          <w:rFonts w:ascii="仿宋_GB2312" w:eastAsia="仿宋_GB2312"/>
          <w:color w:val="auto"/>
          <w:sz w:val="32"/>
          <w:szCs w:val="32"/>
        </w:rPr>
      </w:pPr>
    </w:p>
    <w:p w14:paraId="2D21B819">
      <w:pPr>
        <w:pStyle w:val="24"/>
        <w:numPr>
          <w:ilvl w:val="0"/>
          <w:numId w:val="1"/>
        </w:numPr>
        <w:spacing w:line="360" w:lineRule="auto"/>
        <w:ind w:firstLineChars="0"/>
        <w:outlineLvl w:val="1"/>
        <w:rPr>
          <w:rStyle w:val="26"/>
          <w:rFonts w:ascii="黑体" w:hAnsi="黑体" w:eastAsia="黑体"/>
          <w:b w:val="0"/>
          <w:color w:val="auto"/>
        </w:rPr>
      </w:pPr>
      <w:bookmarkStart w:id="31" w:name="_Toc15377206"/>
      <w:bookmarkStart w:id="32" w:name="_Toc15396604"/>
      <w:r>
        <w:rPr>
          <w:rFonts w:hint="eastAsia" w:ascii="黑体" w:hAnsi="黑体" w:eastAsia="黑体"/>
          <w:color w:val="auto"/>
          <w:sz w:val="32"/>
          <w:szCs w:val="32"/>
        </w:rPr>
        <w:t>收</w:t>
      </w:r>
      <w:r>
        <w:rPr>
          <w:rStyle w:val="26"/>
          <w:rFonts w:hint="eastAsia" w:ascii="黑体" w:hAnsi="黑体" w:eastAsia="黑体"/>
          <w:b w:val="0"/>
          <w:color w:val="auto"/>
        </w:rPr>
        <w:t>入决算情况说明</w:t>
      </w:r>
      <w:bookmarkEnd w:id="31"/>
      <w:bookmarkEnd w:id="32"/>
    </w:p>
    <w:p w14:paraId="06E5A3BE">
      <w:pPr>
        <w:spacing w:line="360" w:lineRule="auto"/>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21年本年收入合计2136.91万元，其中：一般公共预算财政拨款收入2094.51万元，占98.01</w:t>
      </w:r>
      <w:r>
        <w:rPr>
          <w:rFonts w:ascii="仿宋" w:hAnsi="仿宋" w:eastAsia="仿宋"/>
          <w:color w:val="auto"/>
          <w:sz w:val="32"/>
          <w:szCs w:val="32"/>
        </w:rPr>
        <w:t>%</w:t>
      </w:r>
      <w:r>
        <w:rPr>
          <w:rFonts w:hint="eastAsia" w:ascii="仿宋" w:hAnsi="仿宋" w:eastAsia="仿宋"/>
          <w:color w:val="auto"/>
          <w:sz w:val="32"/>
          <w:szCs w:val="32"/>
        </w:rPr>
        <w:t>；政府性基金预算财政拨款收入35.4万元，占1.66</w:t>
      </w:r>
      <w:r>
        <w:rPr>
          <w:rFonts w:ascii="仿宋" w:hAnsi="仿宋" w:eastAsia="仿宋"/>
          <w:color w:val="auto"/>
          <w:sz w:val="32"/>
          <w:szCs w:val="32"/>
        </w:rPr>
        <w:t>%</w:t>
      </w:r>
      <w:r>
        <w:rPr>
          <w:rFonts w:hint="eastAsia" w:ascii="仿宋" w:hAnsi="仿宋" w:eastAsia="仿宋"/>
          <w:color w:val="auto"/>
          <w:sz w:val="32"/>
          <w:szCs w:val="32"/>
        </w:rPr>
        <w:t>；其他收入7万元，占0.33%。</w:t>
      </w:r>
    </w:p>
    <w:p w14:paraId="7490CC53">
      <w:pPr>
        <w:spacing w:line="360" w:lineRule="auto"/>
        <w:outlineLvl w:val="1"/>
        <w:rPr>
          <w:rFonts w:ascii="仿宋" w:hAnsi="仿宋" w:eastAsia="仿宋"/>
          <w:color w:val="auto"/>
          <w:sz w:val="32"/>
          <w:szCs w:val="32"/>
        </w:rPr>
      </w:pPr>
      <w:r>
        <w:rPr>
          <w:rFonts w:hint="eastAsia" w:ascii="仿宋" w:hAnsi="仿宋" w:eastAsia="仿宋"/>
          <w:color w:val="auto"/>
          <w:sz w:val="32"/>
          <w:szCs w:val="32"/>
        </w:rPr>
        <w:drawing>
          <wp:inline distT="0" distB="0" distL="114300" distR="114300">
            <wp:extent cx="5327015" cy="378206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F3C401">
      <w:pPr>
        <w:spacing w:line="360" w:lineRule="auto"/>
        <w:ind w:firstLine="2880" w:firstLineChars="900"/>
        <w:rPr>
          <w:rFonts w:ascii="仿宋" w:hAnsi="仿宋" w:eastAsia="仿宋"/>
          <w:color w:val="auto"/>
          <w:sz w:val="32"/>
          <w:szCs w:val="32"/>
        </w:rPr>
      </w:pPr>
      <w:r>
        <w:rPr>
          <w:rFonts w:hint="eastAsia" w:ascii="仿宋" w:hAnsi="仿宋" w:eastAsia="仿宋"/>
          <w:color w:val="auto"/>
          <w:sz w:val="32"/>
          <w:szCs w:val="32"/>
        </w:rPr>
        <w:t>图2：收入决算结构图</w:t>
      </w:r>
    </w:p>
    <w:p w14:paraId="4A3D94C6">
      <w:pPr>
        <w:spacing w:line="360" w:lineRule="auto"/>
        <w:ind w:firstLine="640" w:firstLineChars="200"/>
        <w:rPr>
          <w:rFonts w:ascii="仿宋_GB2312" w:eastAsia="仿宋_GB2312"/>
          <w:color w:val="auto"/>
          <w:sz w:val="32"/>
          <w:szCs w:val="32"/>
        </w:rPr>
      </w:pPr>
    </w:p>
    <w:p w14:paraId="095BC221">
      <w:pPr>
        <w:pStyle w:val="24"/>
        <w:numPr>
          <w:ilvl w:val="0"/>
          <w:numId w:val="1"/>
        </w:numPr>
        <w:spacing w:line="360" w:lineRule="auto"/>
        <w:ind w:firstLineChars="0"/>
        <w:outlineLvl w:val="1"/>
        <w:rPr>
          <w:rStyle w:val="26"/>
          <w:rFonts w:ascii="黑体" w:hAnsi="黑体" w:eastAsia="黑体"/>
          <w:b w:val="0"/>
          <w:color w:val="auto"/>
        </w:rPr>
      </w:pPr>
      <w:bookmarkStart w:id="33" w:name="_Toc15396605"/>
      <w:bookmarkStart w:id="34" w:name="_Toc15377207"/>
      <w:r>
        <w:rPr>
          <w:rFonts w:hint="eastAsia" w:ascii="黑体" w:hAnsi="黑体" w:eastAsia="黑体"/>
          <w:color w:val="auto"/>
          <w:sz w:val="32"/>
          <w:szCs w:val="32"/>
        </w:rPr>
        <w:t>支</w:t>
      </w:r>
      <w:r>
        <w:rPr>
          <w:rStyle w:val="26"/>
          <w:rFonts w:hint="eastAsia" w:ascii="黑体" w:hAnsi="黑体" w:eastAsia="黑体"/>
          <w:b w:val="0"/>
          <w:color w:val="auto"/>
        </w:rPr>
        <w:t>出决算情况说明</w:t>
      </w:r>
      <w:bookmarkEnd w:id="33"/>
      <w:bookmarkEnd w:id="34"/>
    </w:p>
    <w:p w14:paraId="6691FF6B">
      <w:pPr>
        <w:spacing w:line="360" w:lineRule="auto"/>
        <w:ind w:firstLine="640" w:firstLineChars="200"/>
        <w:outlineLvl w:val="1"/>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21年本年支出合计2156.02万元，其中：基本支出302.23万元，占14.02</w:t>
      </w:r>
      <w:r>
        <w:rPr>
          <w:rFonts w:ascii="仿宋" w:hAnsi="仿宋" w:eastAsia="仿宋"/>
          <w:color w:val="auto"/>
          <w:sz w:val="32"/>
          <w:szCs w:val="32"/>
        </w:rPr>
        <w:t>%</w:t>
      </w:r>
      <w:r>
        <w:rPr>
          <w:rFonts w:hint="eastAsia" w:ascii="仿宋" w:hAnsi="仿宋" w:eastAsia="仿宋"/>
          <w:color w:val="auto"/>
          <w:sz w:val="32"/>
          <w:szCs w:val="32"/>
        </w:rPr>
        <w:t>；项目支出1853.79万元，占85.98</w:t>
      </w:r>
      <w:r>
        <w:rPr>
          <w:rFonts w:ascii="仿宋" w:hAnsi="仿宋" w:eastAsia="仿宋"/>
          <w:color w:val="auto"/>
          <w:sz w:val="32"/>
          <w:szCs w:val="32"/>
        </w:rPr>
        <w:t>%</w:t>
      </w:r>
      <w:r>
        <w:rPr>
          <w:rFonts w:hint="eastAsia" w:ascii="仿宋" w:hAnsi="仿宋" w:eastAsia="仿宋"/>
          <w:color w:val="auto"/>
          <w:sz w:val="32"/>
          <w:szCs w:val="32"/>
        </w:rPr>
        <w:t>。</w:t>
      </w:r>
    </w:p>
    <w:p w14:paraId="612044D6">
      <w:pPr>
        <w:spacing w:line="360" w:lineRule="auto"/>
        <w:ind w:firstLine="640"/>
        <w:rPr>
          <w:rFonts w:ascii="仿宋" w:hAnsi="仿宋" w:eastAsia="仿宋"/>
          <w:color w:val="auto"/>
          <w:sz w:val="32"/>
          <w:szCs w:val="32"/>
          <w:shd w:val="pct10" w:color="auto" w:fill="FFFFFF"/>
        </w:rPr>
      </w:pPr>
      <w:r>
        <w:rPr>
          <w:rFonts w:hint="eastAsia" w:ascii="仿宋" w:hAnsi="仿宋" w:eastAsia="仿宋"/>
          <w:color w:val="auto"/>
          <w:sz w:val="32"/>
          <w:szCs w:val="32"/>
        </w:rPr>
        <w:object>
          <v:shape id="_x0000_i1025" o:spt="75" type="#_x0000_t75" style="height:238pt;width:380pt;" o:ole="t" filled="f" o:preferrelative="t" stroked="f" coordsize="21600,21600" o:gfxdata="UEsDBAoAAAAAAIdO4kAAAAAAAAAAAAAAAAAEAAAAZHJzL1BLAwQUAAAACACHTuJAZdLx8tQAAAAF&#10;AQAADwAAAGRycy9kb3ducmV2LnhtbE2PzU7DMBCE70h9B2srcUHULqraEuL0UKnixk/gwNG1lyTU&#10;Xkex24a3Z+FCLyONZjXzbbkZgxcnHFIXScN8pkAg2eg6ajS8v+1u1yBSNuSMj4QavjHBpppclaZw&#10;8UyveKpzI7iEUmE0tDn3hZTJthhMmsUeibPPOAST2Q6NdIM5c3nw8k6ppQymI15oTY/bFu2hPgYN&#10;zvudXSr3VT8+v9zb8ekmfyBqfT2dqwcQGcf8fwy/+IwOFTPt45FcEl4DP5L/lLOVWrPda1gsVgpk&#10;VcpL+uoHUEsDBBQAAAAIAIdO4kAQF7bVDAEAAIYCAAAOAAAAZHJzL2Uyb0RvYy54bWytksFOwzAM&#10;hu9IvEPkO0s3BhvV2l0qJE5c4AFM4rSR2iRyMgpvT9gKGpymabfftvT5/y1vth9DL96Jo/Wugvms&#10;AEFOeW1dW8Hry+PNGkRM6DT23lEFnxRhW19fbcZQ0sJ3vtfEIkNcLMdQQZdSKKWMqqMB48wHcnlo&#10;PA+Ycsmt1Ixjpg+9XBTFvRw968BeUYy52xyGMBH5FKA3xipqvNoN5NKBytRjypFiZ0OEeu/WGFLp&#10;2ZhISfQVLJfLOxDpR+RV89uHVc7/ltVqtS5A1hssW8bQWTUZwlMM/Us4oHXZwi+qwYRix/YMlOqQ&#10;U2apcq8mU+ps0mXPLLi0ugJ+0vPv28k/iY/rrI/fp/4CUEsDBAoAAAAAAIdO4kAAAAAAAAAAAAAA&#10;AAAPAAAAZHJzL2VtYmVkZGluZ3MvUEsDBBQAAAAIAIdO4kBDs/Z6LSAAAJ8lAAAdAAAAZHJzL2Vt&#10;YmVkZGluZ3MvV29ya2Jvb2sxLnhsc3iFegVUXMvSNQzBbSAkuLu7kwBBA8Elwd3d3d09uGtCcHcf&#10;JBDcIUDQ4AT3f0jeu7nh3e/+vdaZnjVTVd29u051rdotKwn1BAHioQVJfxP4+eU/H/DgXt9KT9bW&#10;ytqOURYshgH+Ae6n2JdX6pDMkBAQ3AAICODfxXSsrRmcLczTYzokoJiBgQe+B0DbMpOw4Hjz0Kxv&#10;InTvWnp3zXFnpF4Zqqtm9oTBdnAers1TXWAZcmapHa1ZUNwP8y/JrLmPT3wKCJ5q8pVBAaX5sLZW&#10;Wyodpq5fbiWxku1JaLjBQi8BfjTMLcWFbUEJV3rTiXDRXaRQDfoLVAWKrgrGasjTEOJKmUTQrhQP&#10;4HCdbrRCiunyEBDCzwDr0QfkLlDWuG2mxryEJK14XjZrWAoBlH+Q+c/hSH3Ib6ymcD15VlEV4aMa&#10;mk3FKOC0jjknqliZr4IY6K5vTCh/S23khJMdRu9cnDsZKe9u9FmSfxqS+mPU9OZ5Xe9wISZ1bMbS&#10;lY0x/pczWSlXIRzHCA2BDfFOhpUxeWRnJXr7PH5vSqHlDOJVw7Qddoj1VKHWVpvGE1q1m5uGK8Cf&#10;8CIL+7CpgOE1AMOL9nd49axsDR7w9Ygdle5kwgg8kHIPyj/PXSR6ksKMzqb+WpdEtEtjnEB0dW6o&#10;FmEB28odWrOz8Edgb/m89is2ipbvl/fHp/yUUiDcBNgy7U90J3Ai+L6AkWagvBGpPX9mIBTGu95q&#10;bZdsHf9a7VGulmZx59cuOstTGORYlB0wGXn06+twJWm01KD3ZQLM80coez0GOhh2d6Ys6ix33Szt&#10;zMQen9qZO/C6njHRqZHwEEFbxayH9Zt5L2PZymal98hRdvJrworO8uOarnd/yJt/71kgtKBQuxwx&#10;08ipXAs6dV1UcdrBeunlT2jE6XRalD0xWcqVxYaWZgs1+IwinanlXb9Rv/375TjXmq40Fc7jHU0J&#10;YJxF45LHrlOmltUB/B29q+GLV1AwaBey1dgrRXz2ZaWbCvEgsu0AtCMjaZh4JGrisO29qjsafQXZ&#10;oCf36KsImKCMmcKWJMcgym5SohK7TK/wE9w/92GrXafiFoy/F3gvnv6xDw529lYWPz09ekiimwlD&#10;9Bzs6ZUycaIfx2Mdy/cGQQG+q7uSKV+epBDGVqt2O3Ea2C+4OSUe2HKd682jsvuqcDFGMOikAOH8&#10;NwoSrxQ767oILIgOs8c9OHHoJerhUOsm95DdbEAImHmHRCTVjCvcT9S0dy9Vir5QMk8xY4craAQX&#10;8+qwIsWGTR2+hsdnIl8jOO6HzY1u+bYc8HZwpa3v6+HkF0LUsIjGZ9c+jNqygmfkN+ZVBRasscSN&#10;n3HjY6tFLzXuvPsCgarjhpn8+61E5TvMAQJONK13J1d4FbfdQi/6K/gRMEftqESv9/2KqfqpJMbJ&#10;HJPWbLDuPmPdKRVhaS4yDCktPaD1z7EDCoyWs/nPqPHPAg+/ggXsdXTNDR5HF8CZliM8GPIk8PMQ&#10;c37L/RRnfsDdIFoOjDswcAn6ALixKFWX1Ve5l9PpS/Sy3tV7RrrOR1+eRWWaoB3XGZLwicxyBEaU&#10;ztz+x566tczLzXvDjTAxs24o16lIliRpdKB4AC17CWt9kwZBuu9yVpEiCM1whKSLhJ8vCdbBSlaY&#10;0wbGAW7ojQSDaXUoZalgaMKAS/Grm6uaNVAuTYMo0lQf22vpPKUUgS0WkC+RwepJWWLdBQM7p2jN&#10;tBdZlBKM0fjsJXPwsi+L+2pt8ZwFqT3gUsBuZRCEHtZpQaUfHXlqEwvBbXs6aT98dHlzd3QyV9Pn&#10;Oby4lq73TNUvUZG7I0b7w4ug7Gy97zW0pzLbzn7TyCC7HnzeTe0rubil5pufHvvPEKP8gs7JytbM&#10;ztjAwP4xzA4WJCFc4AhT+wQCAut/ZH+q/IQ6Il7K6hsY6gPaPa9yd6u0wwr64DwaouoER/KJWx5c&#10;o1d0eLxmuGN31+lkEZhPgr7uOu0afcWWqXR2L8Hg9nEY24qnkHsDb6xj++Gc+vbUzu5cIORYfVMd&#10;G5naA0qMsGo483lEBexbgLPvkz15VVetYWy7HP/Qpr6JLGZ5LDWbKLUmo9La9uN9+fwZqsi28lBJ&#10;KbfOBU9/ndBXCO9wbT4JXBPoCtpE3WlQm3GOaB6jHtl+xv3kcGhnaLMoBmBMVr8szisHJXeKdSp+&#10;qnPUWA8fYtj+1P1sS7SKxhK19wqlg/15XZzEVV3pQgfw4j6twCSnwDFm5IDhC078Authce5xgard&#10;sEntlqa2mUptH7ljhYerbrb4dwUWrUjq7cWQJXQcp1qKjANPb8AKca9cdh6+Tzpz0Nkyq4TN532U&#10;amGGZr4OhHiJ7+gyTW0aKOq6gOcsaWVB5qmWxrXv12QPc3/Q5t71LSRSp48KujEPvY2+HstNsGHL&#10;78ZricVp7YDHgFHgaZwAjjUSfDRzi6H/ZAL35bVZ2cYeBuUxmjKx6hG8Uh7vQmalc4e0sVJz75zv&#10;Kzp45sBmiJ4bzqyiwLBc6wrJenOFzMpRY5wXC0Ej0HbucSGm2pFdPRnc+0n99uhiccDt5FvSk4ii&#10;S4JWu6bEOTRo6G/ftjLQ553q1dwUnGjOXI34IsfLaY+KYczf4WXHdGLxm5dPe5iPh9T3oMmXr0/x&#10;kgzK6aU8uYVOmGkYVDDNPPaUeAVB6RfAL32G+n9Hh4fM4uGlNjawMHiUWcSI2GNuQkNAUGL/Crl/&#10;if0U/umPeyrDUbjsGK2kR/zhG9JxuxtiVaa1c1KVGluWauwmclFfwllXQawEs18s7YT20ODh5WQZ&#10;xYMRYZ8ompJHU3kNvc+Rz7tD5HOjeMprM7P3EVZgsYUs4+CFl+fBpdvZ2ti6G/xpJBOmfz5+m2P2&#10;thsX8jvxsaLVJZx9D+vRc39hk2AqSZveTJ0Vra+e9y2SxpIgrg6CmUJdRIebdwPmxfJokEikNj4G&#10;XAFGeqCnZCu0UTTEYr3LnNkJEaY1Kq+Brz0YReDrW14SxEG4DXtdnq7XRd3sNZy/DKCWp54QELgU&#10;uAS9DwEFxqW8Ck7ekt/HJ5470smJxkc9evHdDQMeHpXHU+n+MmFP8lm1EpZcA2iqfH7cK0BDByjN&#10;cZLGh5MQN7UT4WpXeFIGqVj67arEs2qJ7tYEAgHwzuRLz8nsjMXBGQ70FMQ6IX6rW8lXw6FO3DvO&#10;t1wHbBNtAdNZC14e0G110wFUqs7IA0cRz9xbvs5tTdE3w6xfbCC0Ki1+n1R7rumnKzHWj9A4Z2zp&#10;uFlMT6wnep5+6JjbOj1HlcYoK4ts4PCBGkSXsGNKL+iEvQTlDZAne73drxLYS+XNsk8iIZrmDEsW&#10;mp8CY6GjzzccBKhgyTM8EW5/TcF7J4btG1FxeHU1i1qW+eJIk9/N3fb+e/9tpgwBH1fDvcL+Z5YF&#10;MRN9nNar/eO21rvu6+N+zjICz+8gxKf311GZL+/3EDmBZ6O+o2FlBPdHJ0dhYpktN3fZUK1do33+&#10;qK99A5yQCd04VQBm4z4VyatoXqxhOuHBBj66h3vWi4kV0M0cQhMB8z2Oh5Z20UDMw4GT0h4H4PEH&#10;ssjkMlAINJ9++D7LPlK7Ensi2soKW8RC3PGHkKaQkRizfQaJkomzQmxjSpuGXdBMjotfjmIOXOE7&#10;123sVO3dd4v4rz7VE8R6s3aAxpqEmjWE04ixY2OUxBFzPWIFNA0ZfKNNaTmC6lo0RDWK91dIceFx&#10;AXKwl8QFylhlWR+EQz6vA8knkC4gYyvC1rRBUE+nMdFZ8HUGmj2DA6xn1TfLNUm/vxV8uWDCn1fV&#10;LWr7moIhEzaY+emsXpxleOxgAH40G0cFYSh8PNUPS6bvvoQsbkFFB9Gw8aVS5xa+JfaZDE/qBLil&#10;JMIAcjIFCzGfaZNUTnmTRpk7VQ0EZuhbpMVdPzpvsjbH7UW2dYXYHe8yhpzyLHjJ5rgZp3xtL6dV&#10;VpvgDfAsHLm718ye3luvK/uMSA2ToBzUcdNdMrzUP7d6niTLE80aiur/0gfRWGCFAImG1+O8e92B&#10;Lmwld66fyScgjGuMg8Dohx7JqmA4C1fLtPs6GXrAjrgz9lNrs4ku6SUEmcJ+YsRjNaOSAsukBmc4&#10;MszVSVFuFE6Y5NzUkh6pj/Zls6JXIF7KLPMlf3/mZCndccEcdkJFwbFzM7gUP3/NWTWdUcfy+qKF&#10;YYWaTkBRgorP01jYzY+RS0V+8FgdNfByeB/51j9kGL2lPLYwdNVgKkEo6myKyAE8T7akLTVLLFRO&#10;TJzDZrGIYRoYosgmzXVLCpYLDttWzDXKPiposGSUNx1VyKbS1Rkx1rihfL45xD5DbwYlJZWf9cFp&#10;4Sg1FZkqGcIA3wupzukiSV+W91W6OVrEMv47IpfWleFcOmzMyiDhNFj1MOlSGPiYJLd4Mnwt+rY3&#10;UFI1gcaWNchAfy/6Bo6+gbYIPLJFaRaCKBuioWpcUpqxy7eyF+q0aTI1l5cdA7FSxIt+XHxnovYD&#10;ViRUFaLFBQAsdMgyZ1MXNiGAFbkksdrEkrwejf60O32RGRWhGFuY3KjcG+bhFdUBSZ4rNWyoVbUK&#10;Q7gitNgctEiSSe2hLNXF6l0c7qAajXN70mfcQmyYL8bln02yL9IYDjFZQUlW8GnFcb4bEkLaG9s9&#10;bLBnlLR0K3WQ3PSvlBRo/3zB3biPjeMraMGcLCLFrJmgkz/bU7TIu4HIFzCnkuKffTXUMJ9fn/Ci&#10;kxsfKaP42G/RdrJzxNmzdCJmqk0rqY2pfFQDGEXQ/DldntrWZyRrrw3yz1Q8zpTz7Q/wuTH7BgIC&#10;+dfxYWfvAs4dH5LBSXULqwUQ2p1m1r1P1qgnEw3+0n5ApHSpA7oPwAStHUU2iz58HF+GpJ1UKdZI&#10;nB6h3gEvnxovy1q1TtC7AF79XKik1mQUx2T3Bnvp8oTaK7vqM7lTYt2aHKhFlkuAxCUt3cgwI1lj&#10;n8Fq5+poJGF/RnDrQlNNmfOZSmVLxpJTs1/tzRm9WS65pM7E6ZXG9Plurbtu0I/TPStPPdpwafXr&#10;jWwLMXS2lQCLS6bQyNJJU52DEQLHLqn7vrPlVB9CpCa0NBjYmkOq8qZbIDzyYkoBVcRc+Y7zj7P3&#10;nDiqXVTxrnd9YXOVMZqx36xap4PCAul6ShxuXgo00HtcF5Lyu67ulBH0wr7Np11qsBWZVYyfH8P1&#10;tfJqlrvxWBgQvTm4cljoc7KStKXv6PWVq9IOdqRzUCJp7MOetrVpUq1dfMdhRmapv0GrvDOYiAmR&#10;bSSor546l3hxRRMSMOLCjr64V+JzMEpkhiCMrTH7FcGLYvF7Yzv/M+6mzSZPIhEB0mCW1m8OQY7u&#10;vRe7nIyZ/N1O+I5+wBlMxG2YxsAGsX08ngzCrLCad72+bNTrJ7ukbIBiX7/bWnOVqYiNUt/UFDPV&#10;1wHSFZ0FAS/hrnMwNlTEvxUkjuW/j5gvmml+n0NVEnBVReRsCFvNLjH7lsXZpfXNDMC/4j0mHx4N&#10;w/fneM0ALdXnF7YOPmYTiWXhZO0fw8foF00Z4iNEVlSdFwdy7wIG7nfyVBDJD1lU+Av1ib8ycnxA&#10;/AZzKqFBd3z8TVTiuW5+a3Oskpbm4aE1sX9MyGrjd2/F6dF30KXmVvgOuX0ofIjSZLbuO2twojQE&#10;SNFon1Tdl9KaUH33Qz7q8A7A+7funKCF+qHwvvQVtFnLYq6qnGWTqsrnUC15b7JFQwDci0vFL7Mi&#10;nGcKtlz+zA4KrvSuuoprfV217LermcMgj4SzU5mwVaZw63BY86FuMBCG4a01VqKx1zez4vHd3RLQ&#10;NFLZlO5OBM/VJ5By4FuzisnKM8fBL6bmBlyfoAJST12LS1NSslMkp2S4F5gTS8LWaLtWJud41Mqm&#10;ctoa1qILDGzIJzN19lVdG6X1hlWVTntWL8kdqUx86ThtTb6oKRuJnA7leZyk2DLgR5Wo3ZtW+cuG&#10;Ht2rnnS5n7qCuqrOyhzpBE84P9yajUYRFidqNSQxlfUPxhuavT5GjMo6FKLgm9q/FiR87xab8Pxp&#10;BtWq5Lxa6YvgLH64ND+hE/4fUbIHy2Ix/P5+reMvDltKEYNqhEkuo8h0kuGU/eds7YPf2n9LfjYG&#10;OTK7idOYsEVF7XOkzUUODeHs25QnbK7vgnt9Z7xU0+GQlmD/RUh/XT1ZhXczFI4unVZhSjm4Khg+&#10;RCzIcQkbWQGzHAohC/bboLvTFzlijp5K7UrCMoSWgoxuQGQR3t2l5bqlVnSDC4EUYoTPhlN4QTZb&#10;RONUux1DvgYRW4q+EbMVN+eQxGClY6R3e4Md2cBVXR8IH9lj5DiailMEAivEloMFQG6hTxZqTrb+&#10;PNRp2HExtWjwzjpa2Roq4XAVsooD2ezCuOJpSXKuUFIRWZBNQ6RMbV1jqd0ysgXqe9k9IltXY8ha&#10;2ELHZlNXvj42s+X87y57Eou5pOfdgNt3bu4wwK1ZlH2frcuIJ7AtJ8rLYo6MnW7oIzRHItksBAI7&#10;J91QTPjtrkSiV36j1ksodM2SPoB3zKJrKgD5AL1Q9BE91FA5hg67I4owSTR9KKuOegzZHnd/MXIc&#10;k/p8orHiddLBIAp7/y4EHbZDULwkpm0BTEflmwS8AfS4EB51BlwHs8ka/EpDzwPlGk24DYa48I+V&#10;Vtg8WUJj5CbtWhKwzj8YqBTde9v8UUJ94Jp65MO3knT9UxGY9j/ZQwDgM7nQtRN66n9U696EsoT7&#10;38USKTNqeWZn7MZyc0dhaksI1h690bQU8Z4jszd1ANqyI2onlMBOFqkwCReJ56nwmyac5g4AY6Hg&#10;q06gI9UtY5lQU/EotgSnA+FvYsgY6sMpoLU1cCkM7SGvq7FklXA0yl2ylHd0IrDligSqyVoXogEw&#10;YtBHGgbTPgSD/kDiEyWfPn34j3RsUjQ94hhOLJVyDdpvEcihPyhxWsyg21Orq6jIj1kLoSux2VCJ&#10;nrJ4N+N56BpQqjRkNDW25uVNfOR16Pf+ZNnW9/x4uzK2Ub7MMqqrXj5oNXTK7jl53ce3kz6yDm74&#10;oIS5OQ0VvcSVVREXwxeaHiXrzt+drX0cXMIh7Fl4ARe3ENSv4Fv259/3DmdIZTaTFqrm3casdr7s&#10;f0e5G9qH8Ob+Vv9mN5Ff3jO2L4stl8XZyEVZVKGV3EJ8lbEt6W7169p54Wph1Bf+W+ernWFy56uw&#10;IaHs3IitI1rn/gwYgMPVt5WLu1VhwJCsLLyzAR+mGYmPKzWNj5bTAACfv/78x6XfkdtBhtcJsR7J&#10;tv8Hsq++6QlsGynBBBTGpDxfCxMtDG6Wqp7QS3C7NlGc0CJyxggt4iWELS0PcVUyY9JuBxiTBs40&#10;3Dd43R32rPmxkVwkR0rA611sRzG2N8W1eSW1i/jhiz7zLDOaos2UGW7l8bI/2851KmBVddmGW+S5&#10;nNYallmSUfoxATkD2F67gpvoie9BrJ1Q1xAP66cs3My8EwRsoxFnSBw1sau4Fcrcs9ztXUdTxUXd&#10;v0f4cQJZBy/QOyePlvGqHIMEmPzyEkmdteGaLDeyUE6jj1QXTzgaq3ccxjD9CUKI7LZon/p7iENv&#10;UuBAhOhHXEYRltF23sbKSPJGk8mVBigFSszRdJhnMqwKi+UKoiNIHzULtchKO4UMaQBbIiRGXp4O&#10;Z1TPVj5AtaQL6P+YXezPJIgivLF0v/+6FseooJLxAuIdUapavmCSokmGnIPOBtwAHzKHDK2zi7I3&#10;aSlNFcfhLgAVQZ/yni994VbLFxNVEZsRkVX75sLFlV8rXPtOLOvbzX6Z5ku3lNBDjDF/jIFTOn+2&#10;Mzpn3yGAUJHK8mz8/aEdtjlUSjnKxresoUMyKFgEvuj56VFD59YOWfWRNwwp8Qw8w3UXlIKVr9PD&#10;AjnidNKTYKBzn259UtkE0Plw+27lPQO4ytZCzmRRGBNNE1ZjZ2SWH8iPvCnlN2blM9I5iM/C9uGm&#10;Vhu1pC0Y5/BHGeoRTF3hNoNbTFG7MgELIOsgIAy+/oyjj2sUyeRkO5Q9dGheguiXZoZiEWhkhg+b&#10;/FKlfeTldicvjHOdFU8trOfpnqDTmmjdGOM8y4u7l1/jUW0onVrWF45IF4TVCnqtcjD5vlnOv4z8&#10;irTigXTBGAEopL93tyo02d9XmROVnDWxwGrUWGLa4W3CdcitqmoySw4tsPeEPEW63Ziu0ZtMulws&#10;yx5HvBkhFE594WzVTYiUlvHi+rOW4dAbz2tEnIbnjdZvBcLJl63GzCySuUNWSFmmIRxvMHHlEMeX&#10;yObv+P9MDheeqG1OgpNCjN8FQztwvclAX8He1sTS6GeOqBElKAElCBQ593UyNrVyRRcms3d6Dimj&#10;jTIyGJ8c+H27ophyC/IVQ3S6b701ZePTQQ/DbrUZ+Prk9fuD6ft4Vb4LUXOmSsQ8HR5qAaKEbNvq&#10;qfLGloZ6mI5+eYNUgaIVNOznGzdvmCljrELYJ6hr7KgbPo2qZfg/p45rArZIqYBq1jhySupF37TG&#10;VOXUx37lAcgFRsYGSgLxG65REu/nqBxF0yk2FuZYZDZRQPWCTK/69eP5KKSpWXfbrvbmZ/a0ULqO&#10;r8vvd52CmK89bu9crrBYk9tYvP6EgVw0h5ISDMEi+EH9XdDTtbIye8iSI2I+S3cxgREQv/Fjd9tm&#10;s5D9kKL4ynsLRgkwMNcdB/qoVakhf5fxOkf+/aeN77m808Wn/cZnAcQ0RpJJ0izaxmaUCYuJh3dn&#10;9lUQz+PK5Y2NKvytwstLS8uU0xGDwPMOh+B4P1KwlpjW2yhC+q3bpZrNRJ2JRA77jO/K+xXoOTP2&#10;0DFd07ooFSKpDvZdl7VUrqm79elolhQpWdbzkLVe5Uu4yY9yOE6rIm+c70mQvr800VbtPqFSeqXS&#10;GS4xvZIvB4Eo5uWlmFLgVEUHq3lL0ICseDK9j+F4NHYgOUVNq3GerW8q2YcZFs6H5zZcdGZBonas&#10;m3HKdxfEjCX4iZiFt8h9byg5dtVjIRo40CUvh85hywP8MmyavWOh7YH1fPOYhDEw4nhY8adr/XNB&#10;FQaMqZatgfnjQqobl2PzPfi/JXAxFfEvGYYHyZLY4YcyNeiBCNtolXJ6hjZrz0iyK6Xv4Z305n6E&#10;4mmsyl5ri6Ac3UQjbFTy5Ubqkrt+E+4ikSZzQWSzr4Ocr4BVn2Or3KG787tFX/FPLZNQLorWnU+a&#10;tn/oXvv7bfDFzzGQxWi4y4+wBPFSx5mMfleUFcjkZRcp5ObXI/XjaLGUtRz4IQrKJJCV4uv5ShPs&#10;1gRjwxXQfGll9XHny/ILcOoyzEq7phiT7mAe/Szczz13pg14KgIDwz1s6/Dy84GTRNCnEkN6ZBH1&#10;gCSF0IV19TYbuuRedWnCUPKsoUuB8fHNzo6YUbXqz+I8/uQ5O/dkLL3da+9dXrJridv+oC92+v+W&#10;AP8JzvXDHKw9MIyNYDhxwD24BPhL7KGS/V9n/i+6pl1MSKADvxa/UQ+bsQhm0XRNUNZ0iRuEHq2X&#10;sS6spFpqXWZftkqWfaI6UqZ/2wHl5/nFhoMJVApTPSZZfW4qJIYrjgmYVpQDVMasYIvD2jBI5HDx&#10;ctqDg1rCGZX3khPVUNQ28PpZOgSaNRTT2lbUYVAw3xWZT9+LFKiiTuFbRLjGbQ7z3J562658OPsq&#10;MHdNKRtkE71236KnVIOylHO9z3yYACcVIbXFz93vTAbimOyDeb7+JlhQK8hF/Vlgr7SmXUHSScnF&#10;UMoRHW8nt0esK0+YGlJPClJhUuQE0Y9BG+oYc0keTKyWC5v1n3XSf/bL/3Akfyv0/xOsRWmnEDVg&#10;OMnB0YH0F6z/o/G76P8T34CoDoROJqDwge898MxyzBUYU9ASPFK8Bfvpey1y7es+0dE2zmURwUO2&#10;XZRrw0JTgmOyfYxZ18LseGg4W5DTFDLOl8IuU0Tfp40olAfiXXFYKa4NRZFsOgNifHPtJAp4ZlgK&#10;CLz5M+FspJKEfQaF5zag+F6uIu+NUKgPDnLmijf6Arc9GBaFxLUa8N9OkLgv+efPW9irzzc44iT5&#10;SRQ7PwtjB9tk5QkOnAcuyQ/c0BU1ymutb2P+GRN5nkpQ2YFXHAGuKT9QeGpCVpb2Bpb2Woou1gZ2&#10;Gg9xsQTMb3QyIQUexJ0RflQv5CjvYpPCQLnmshTX4yeSRIowjqPiQLq7XYCIEwhH7chXwr320OSV&#10;dvUTUTCyCzZuoRWp2wpGSjsDNb6mbhW1uszti45n/XiGIlHxBMPvbk/KqhrJG9uIl05EBCMjT1hD&#10;MLf8EBKvLNzDHOPIKK0v60RRSuCrEw+qvJvYMlWhstCJGyOTclVK5TT0vSZ3iGxuX8ZbH/piDBr/&#10;OVORXcUv6bPZa2avOpKpYWhxDyMt4BoSR0pvUN9telib5bBHIyvlOU2WI5s0E4gSylZmfysfIEj1&#10;5KvFeac3ZY2IYCzJof2jPRbY35m56We+R5qGunRSNPQylUvox9DlYLqvQyw3WmsRuTKN72Ve39MQ&#10;zHFmYVkYWgjTbV1JN1aa67mvV1kGyG85o4Wjol97sKoUvD0fwBfP6b1wLxKUv27Gy9SPhPByT/N0&#10;42+xLTGZDhNVcQLwQ5PKEMoMrCtZRWmoaaF/vYj+zrJ3D6a7IQEYP7m9X/cJHu8SeKMgICGIwJ+j&#10;BP+4Z78M/PPr8BCmfzUguEPD/R20/xz0cdh+0Pk1KPtfOj9fg38b7IHK+NWA/+n/dmXiz/EeX5p4&#10;kP81HiX4219q/7lC8Riix3cCfmsHgt37L+3/3hB4rP6Yyv6tjgLman+r/0Vs/9uiH9jdXw0I7vjA&#10;/CE4Rv+bwp8oaeD9Lag/nujj6P8wzi+U/P+u9j9nwWM7j3PC33ZqwWQneL7/kyE+tvC45PjbQjKY&#10;Wn2w8FcB8t/W/stJH5SB4EfjF1h/8d5/ushj5vtB69fiA/7Q+82D/9vIf6KuCvdz0v8l3f4c+DHt&#10;9ntgn7+r/SbhHoP1OPf8baAF++e4f9+wf5v0A2v9qwHBXTs4bIOR/ttB9W+6DwfhrwYEdx/wH+v+&#10;91j8c+2PD8YHC79An/8/LDw6Jh9j8ZhY/21w93+W89uUrCT0z8j1DOIZBAZYzoHoQe//AVBLAwQK&#10;AAAAAACHTuJAAAAAAAAAAAAAAAAACwAAAGRycy9jaGFydHMvUEsDBBQAAAAIAIdO4kBVCsphsgUA&#10;AGwRAAAVAAAAZHJzL2NoYXJ0cy9jaGFydDEueG1s1VjNbuM2EL4X6DuoQm6FY8uxEtuIvbDlulg0&#10;uwni3b3TEmULoUgtSSVxih6LvsDeWqDoobeivRXovk9S9C06Q0qOZOdnd1G03RhwqCE55Px938iH&#10;Ty5T5pxTqRLBB66323IdykMRJXwxcF++mDa6rqM04RFhgtOBu6LKfTL89JPDsB8uidSzjITUASVc&#10;9cOBu9Q66zebKlzSlKhdkVEOc7GQKdHwKBfNSJILUJ6yZrvV2m8aJW6hgHyAgpQkvNwv32W/iOMk&#10;pBMR5inl2t5CUkY0eEAtk0y5QzAuIpp6vVbHOSds4LbcJgoZ4QsruFo2gudWKEXOIxoFQnJwY2V9&#10;GvZHTFPJQVUguIbTCjvTd/JUSuRZnjVCkWZwuXnCEr0y14ULgu5gKcAO55S+zhNJ1cANvU7pCBhu&#10;uSJNQimUiPUuaGxaL5TRQLUHzW6zXcQDjPU6faVXjFqDvFYbrW2uzzVXmBLG5iQ8Q99UFq+X3s7j&#10;xk1n4C4TfhyQXIsXiWZ0QhnVNCqOtS7OmNAjSQkuZGQlcm3CkSU0wBxE8TmRq0AwUUbAszsVlTib&#10;RJeVwIR9ISMqaxJ9ieuUlqc0xlE8nC0p1d5nO+Md77CJAjsfEMhtHGc6gMjr+kW1A0dhvuCK8+HN&#10;m9+vv/0Zt5+D83CP+QfHFGpAVp4Jw+IS2Yk09tFLMBwLs3bT6MQYvGnSPJ/PGd2b1NYqUDU8JH0l&#10;WBJNE8bMg1zMA1aY35l2vfHExHZjGePOBSBCr+WjNRuTqqpjav62dTRJn3HcSuOYhvpIYdjQYnMr&#10;GBSmbFpUxO4DLQrgwp3/2qKjOVMmYYoAcIHeB/NLl6wFDzsJc8KGcC6i1Yl0pNCYXo7KwmkilT4i&#10;Sp8QCcgJQsBxfQxfMRMQOsoYoFmirBzwQMgr17mQJBu46nVOJHUd9pQDcux1vRZs1+bBRtyR1Zl5&#10;dYbwEFQB3mjpOvYh0PBswgb2KT1D4DDGZmhx4YOIxqdgAYLowLUA6qirgdvDs+fGgMR85wOXA9kg&#10;8cjkDEiHi5kZuc4ZwCmcBHAFW4iiLEFSeixBOy38mCxmefpMFOhy4LdAjw1Knh7Hsa2ddimG0BR5&#10;Dmm7UQDIF9zRq4zGQIAD9/OUN5i2yijZmKDEToRqYyJURdVY35hjbHGA10yt2PBDqUBGnYiCXuZU&#10;6WliToNqWoqLI7qgPPqKrurVDzOvCNA7UlgJiCALiH5O0gLZC2pDLTMq75SfUBkieRk9lfVjAzmz&#10;5Gpb1RElgLBHEJ3iysXx9BJhACsDRk4uIeBfB1/s+3sHI68x2Z8GjU687zd6k57XOGi3O0Gn1/G7&#10;4/E3t8zmvy+zeVVW8ysE4vmF8+68K8yyWyuqxWyRsee3fdcJsZpiyAYYplkElcUXUBVsAWmKBfIw&#10;co728bOVmHtlBkI1VRJzvxQ/lJimHUGcLZHmHvDdNA/gGEJicq4MEiJ0CWQhMVGDitwiyNFOu78z&#10;2tl7nCVNY4AsWGfJ6x/f3vzwy82b366/e1vnytu1HjgJWfSvn/748/tf71qLxHIPrxaXh/xFJTxP&#10;t2wYow3jig2waM30tn0NRESHX1Jo8ggzppqm1khBaa0buMfOdtvf7R48ZqHnd1q7nfoqsO32QvbB&#10;mABDYxTabjuddcA+IliA26+vHSOpzRh0tqOy1zaIA2uq7V7Z2KxptMz2teCx/O/XmkqDn5gczIxu&#10;kRbxudZ0CuBX6EHrYPg/Z/mPj7H9Hn62gHGNgHVgXOPlQ8D47zI25KtNJUwfTLVXiTrmrMibgg2j&#10;RGVj6IfO1KigyQXJbMZh+U4QfLGfe0aqry+gev3aVNbB/Q3+fc05Fgw2+P8EjU2Aryfb0fJKvqpH&#10;q1uKH4rWu9HYZntse7n3aEAtUd7dcgEN4ss7mxBNHAnvkANXPo0sEeHr6ssMfySoAAEEprrHcKmJ&#10;lPmRZPg3UEsDBBQAAAAIAIdO4kBRJfeIygQAAM4mAAAVAAAAZHJzL2NoYXJ0cy9zdHlsZTEueG1s&#10;7VrhbuI4EH6VKA/QAF0oVKVStwjpJHpb7a20v03igO+cOGebpfTpb8ZOQkygtNuUArrmD56kjueb&#10;8TfjmdyE6jqcE6n/0itOvaeEpyBQQ3+udXYdBCqc04Soi4SFUigR64tQJIGIYxbSIJJkydJZ0Gm1&#10;O8F6Fj+fhtRmERlN4RWxkAnR6kLIWTFHwmGWVi9ICEt9j0VDv9Nt+7c3sDzyxNQPpjk1I55+pzE8&#10;8DT0W35gRDHjvCakcUxDXRPHIl0LE5YKCS8h10rOpvdcer8IH/rdAV5GzhfJg4isuNdttcwryTWI&#10;v8WxFV8W4qCc5vYmgHXnrzJLjGj8/VF66nnot3EW7x8qU/gNOqMS+LirZkg0nQm5ugPlT1hvlT1K&#10;xJen3nLoD7qdru+FJBv6MScafiYZWFqlM98jfAaAhDq3h+AsGoNda8YZDfCqGaddWME1Tr8QO8YB&#10;Q1Xnl2KRRmgFXKc1hl03WKViuMF2u9UsZTbCnaTES0QEO4lwLpZ/CtTm2y8qJYsoaGtkE5bSQgYq&#10;wfsO4N7gf+iCudtVvbSwloOOszXG5s/87waI52xh5Ec0qN3KRJMJmVJwzcPY60sLr5rHXxWu7Xp8&#10;pxA7Hg8rrRp6v1dHjpbl6B4dd6EPpfoHMPH7fNzQUZU7nN3xdYxXzVKlSVxLlQZ0LOVsq7czEhh6&#10;KqIVxBopNIZIT2XhmEmlJ0TpRyIhKLd9D3hII/HEQEPAupxlvjcX8nlThs9BFIc7vreUSNzq3wWR&#10;1Pf4Hylw22Wve9XzPW0G7X6n3/c9Wb0zrd4haQhTWZb37OBewxgDPeid3S000KTOmcnqYfl4qwOi&#10;8FGw9HXumGcTCvOcMtQTeGPJhDaNML79juxhP71aqmwPWl27q99OtzW/wATChaMcXY5etVuPDZ5O&#10;9wsEqZf3265o9DI8OSAlQBiE6xAZyW5nMXHaPNN09vla/+n0u1dFNiXT6DehItc7sx/Hp0qQStge&#10;iIQktingjs39TKr6Ed5XgW0DyglZQWj11CqZCjiFhEyGHIhWsWcKZxJkqeom/8kkjSVJTtF1K+eA&#10;j/dcFyjE/AeZnvRhskhhUnOmAL/Ac8vZnq9ci0VimX4lW2jHbo/Dk/Hu4N1E3u5kg02auYnMemNx&#10;LweSit0iKbIynhzFgbe57XPXw8sE42rtqCwSuUeAsqS0+wiwL0BXsYTigpBHtTuaA/bQDutgCcck&#10;cUSc4xA/0n8p2Jr5rlc/g+ITh3T3gfx9TPo05yWHrA5iflwHtJRgbbmeHX9WmGoO4nEHrxrDFWUn&#10;l+AGhfi3Ca6O55xNxLmGj34Lr63gbmk9ILi2kAuh2HYwTBXbyUleDMsulpREVJ4rtIeOzHwDTTqj&#10;aXQoQmgiWgK9va1mzNcqZlyYivlptUCQ0YuVG0sVg8vR6SqSl7sUlYyqE28n7u9bbKhph/9TGra1&#10;33/Y2EBTn1FTHovN3tQ0TCqteWyeGNmUKIqJc/7RARLFWnstgdnxbp3djeSYq8i2C2F78u+pxWXQ&#10;YRoRNbffRKiVGgmdt4ndnrqBzgGshO+gXdVPiZBbVF1kR3Vgd1JHp7m5q9lyylWpNfjw4c+Cnn10&#10;dLVcQjO/TlmfdUItaxjoUPuLGnbxyCbrD89u/wNQSwMEFAAAAAgAh07iQGkzD84RAQAAXAMAABYA&#10;AABkcnMvY2hhcnRzL2NvbG9yczEueG1snZPRboMgGIVfxfAAgg6tmtqkuvRu2cWegCEoCUgDrFvf&#10;fminm6s3lbv/P57vHEnYU1tQLbV5c1fJgi8le7+wJeicOxcQWtoxRWyoBDXaau5CqhXUnAvKYGPI&#10;p+hbGKMohrQjxo0U8IMhdxR9Zr2P4Noo4myoTTsxlPQUlEJFRA8CxVxXAnqlkoFANCWIEDjsSWFN&#10;+15LE1yILAE+ZVH1DOCdUKME4TUhr6oqyVccGUrxMV4RcHWs63RFOO3yFI+Cv8ALMYI4oXvf5e84&#10;NJMf6kU3t8Yp8meAweVXy2npySbPuH7l/Ibyl7Ud9UD8XHkZjzfEJxs8u8mzjH+a1g/8yYx6wDNX&#10;XsbP63+oYfx9TId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EQAAAGRycy9jaGFydHMvX3Jl&#10;bHMvUEsDBBQAAAAIAIdO4kB1kHGC9wAAACECAAAgAAAAZHJzL2NoYXJ0cy9fcmVscy9jaGFydDEu&#10;eG1sLnJlbHOtkU1LxDAQhu+C/yHM3aRdQUQ23YMi7FVXPGfT6QdNMiUTZfvvTRHRLtWTxyTked55&#10;Z7s7eSfeMXJPQUMpCxAYLNV9aDW8HB6vbkFwMqE2jgJqmJBhV11ebJ/QmZQ/cdePLDIlsIYupfFO&#10;KbYdesOSRgz5paHoTcrH2KrR2MG0qDZFcaPiTwZUC6bY1xrivr4GcZjGbD5j+95GYmqStOQVNU1v&#10;Z2pZLqnKdiame3IUn9PkMNNMbDFpsPMdlzIHBLXu3vyH+0zLc4o/reUv1pU2P8d+IPvmMaSVUr/6&#10;/h5bSoX+iPW8YVavFIcj0ZADOT7NPajFYqsP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lTpspz8BAACXAwAAEwAAAFtDb250ZW50X1R5&#10;cGVzXS54bWydk8tOwzAQRfdI/EPkLWrcdoEQatoFKUtAqHyAZU+aCL/kcdP075m4qZAQJS0ry497&#10;z9wZebHqjM5aCNg4W7BZPmUZWOlUY7cF+9g8Tx5YhlFYJbSzULADIFstb28Wm4MHzEhtsWB1jP6R&#10;c5Q1GIG582DppnLBiEjbsOVeyE+xBT6fTu+5dDaCjZPYe7DlooRK7HTM1h0dHyvpNHYsezo+7FkF&#10;E97rRopIlfLWqh+UiauqRoJycmfIO0cfQCisAaLReVoZ/xUVQON1qCFMTspUDtaNxztKfIbQ35zP&#10;MuheaQqhUZC9iRBfhKHEXAXksqb9sMzyv63G26KC2NNsqSXJ91T0GNxpF/ASusFhEEd/mYTxoOFC&#10;EvZv/wFKujGGcnsboL2gid8xyoAlyd6hHXOHuSudvNZ8nVQnb56+1fILUEsBAhQAFAAAAAgAh07i&#10;QJU6bKc/AQAAlwMAABMAAAAAAAAAAQAgAAAA1DIAAFtDb250ZW50X1R5cGVzXS54bWxQSwECFAAK&#10;AAAAAACHTuJAAAAAAAAAAAAAAAAABgAAAAAAAAAAABAAAABALwAAX3JlbHMvUEsBAhQAFAAAAAgA&#10;h07iQIoUZjzRAAAAlAEAAAsAAAAAAAAAAQAgAAAAZC8AAF9yZWxzLy5yZWxzUEsBAhQACgAAAAAA&#10;h07iQAAAAAAAAAAAAAAAAAQAAAAAAAAAAAAQAAAAAAAAAGRycy9QSwECFAAKAAAAAACHTuJAAAAA&#10;AAAAAAAAAAAACgAAAAAAAAAAABAAAADCMQAAZHJzL19yZWxzL1BLAQIUABQAAAAIAIdO4kCrFs1G&#10;swAAACIBAAAZAAAAAAAAAAEAIAAAAOoxAABkcnMvX3JlbHMvZTJvRG9jLnhtbC5yZWxzUEsBAhQA&#10;CgAAAAAAh07iQAAAAAAAAAAAAAAAAAsAAAAAAAAAAAAQAAAA8CIAAGRycy9jaGFydHMvUEsBAhQA&#10;CgAAAAAAh07iQAAAAAAAAAAAAAAAABEAAAAAAAAAAAAQAAAAXjAAAGRycy9jaGFydHMvX3JlbHMv&#10;UEsBAhQAFAAAAAgAh07iQHWQcYL3AAAAIQIAACAAAAAAAAAAAQAgAAAAjTAAAGRycy9jaGFydHMv&#10;X3JlbHMvY2hhcnQxLnhtbC5yZWxzUEsBAhQAFAAAAAgAh07iQFUKymGyBQAAbBEAABUAAAAAAAAA&#10;AQAgAAAAGSMAAGRycy9jaGFydHMvY2hhcnQxLnhtbFBLAQIUABQAAAAIAIdO4kBpMw/OEQEAAFwD&#10;AAAWAAAAAAAAAAEAIAAAAPstAABkcnMvY2hhcnRzL2NvbG9yczEueG1sUEsBAhQAFAAAAAgAh07i&#10;QFEl94jKBAAAziYAABUAAAAAAAAAAQAgAAAA/igAAGRycy9jaGFydHMvc3R5bGUxLnhtbFBLAQIU&#10;ABQAAAAIAIdO4kBl0vHy1AAAAAUBAAAPAAAAAAAAAAEAIAAAACIAAABkcnMvZG93bnJldi54bWxQ&#10;SwECFAAUAAAACACHTuJAEBe21QwBAACGAgAADgAAAAAAAAABACAAAAAjAQAAZHJzL2Uyb0RvYy54&#10;bWxQSwECFAAKAAAAAACHTuJAAAAAAAAAAAAAAAAADwAAAAAAAAAAABAAAABbAgAAZHJzL2VtYmVk&#10;ZGluZ3MvUEsBAhQAFAAAAAgAh07iQEOz9notIAAAnyUAAB0AAAAAAAAAAQAgAAAAiAIAAGRycy9l&#10;bWJlZGRpbmdzL1dvcmtib29rMS54bHN4UEsFBgAAAAAQABAA8AMAAEQ0AAAAAA==&#10;">
            <v:path/>
            <v:fill on="f" focussize="0,0"/>
            <v:stroke on="f"/>
            <v:imagedata r:id="rId12" o:title=""/>
            <o:lock v:ext="edit" aspectratio="f"/>
            <w10:wrap type="none"/>
            <w10:anchorlock/>
          </v:shape>
          <o:OLEObject Type="Embed" ProgID="Excel.Sheet.8" ShapeID="_x0000_i1025" DrawAspect="Content" ObjectID="_1468075725" r:id="rId11">
            <o:LockedField>false</o:LockedField>
          </o:OLEObject>
        </w:object>
      </w: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3994785</wp:posOffset>
                </wp:positionH>
                <wp:positionV relativeFrom="paragraph">
                  <wp:posOffset>194945</wp:posOffset>
                </wp:positionV>
                <wp:extent cx="1238250" cy="609600"/>
                <wp:effectExtent l="0" t="0" r="0" b="0"/>
                <wp:wrapNone/>
                <wp:docPr id="4" name="椭圆 3"/>
                <wp:cNvGraphicFramePr/>
                <a:graphic xmlns:a="http://schemas.openxmlformats.org/drawingml/2006/main">
                  <a:graphicData uri="http://schemas.microsoft.com/office/word/2010/wordprocessingShape">
                    <wps:wsp>
                      <wps:cNvSpPr/>
                      <wps:spPr>
                        <a:xfrm>
                          <a:off x="0" y="0"/>
                          <a:ext cx="1238250" cy="609600"/>
                        </a:xfrm>
                        <a:prstGeom prst="ellipse">
                          <a:avLst/>
                        </a:prstGeom>
                        <a:solidFill>
                          <a:srgbClr val="FFFFFF"/>
                        </a:solidFill>
                        <a:ln>
                          <a:noFill/>
                        </a:ln>
                      </wps:spPr>
                      <wps:txbx>
                        <w:txbxContent>
                          <w:p w14:paraId="038D8D12">
                            <w:pPr>
                              <w:rPr>
                                <w:sz w:val="18"/>
                                <w:szCs w:val="18"/>
                              </w:rPr>
                            </w:pPr>
                            <w:r>
                              <w:rPr>
                                <w:rFonts w:hint="eastAsia"/>
                                <w:sz w:val="18"/>
                                <w:szCs w:val="18"/>
                              </w:rPr>
                              <w:t>单位：万元</w:t>
                            </w:r>
                          </w:p>
                        </w:txbxContent>
                      </wps:txbx>
                      <wps:bodyPr upright="1"/>
                    </wps:wsp>
                  </a:graphicData>
                </a:graphic>
              </wp:anchor>
            </w:drawing>
          </mc:Choice>
          <mc:Fallback>
            <w:pict>
              <v:shape id="椭圆 3" o:spid="_x0000_s1026" o:spt="3" type="#_x0000_t3" style="position:absolute;left:0pt;margin-left:314.55pt;margin-top:15.35pt;height:48pt;width:97.5pt;z-index:251659264;mso-width-relative:page;mso-height-relative:page;" fillcolor="#FFFFFF" filled="t" stroked="f" coordsize="21600,21600" o:gfxdata="UEsDBAoAAAAAAIdO4kAAAAAAAAAAAAAAAAAEAAAAZHJzL1BLAwQUAAAACACHTuJAGRPJtdYAAAAK&#10;AQAADwAAAGRycy9kb3ducmV2LnhtbE2PTU+EMBCG7yb+h2ZMvBi3BQysSNmDHz/AdeO50AqNdEra&#10;Lgv/3vGkx5l58s7zNofVTWwxIVqPErKdAGaw99riIOH08Xa/BxaTQq0mj0bCZiIc2uurRtXaX/Dd&#10;LMc0MArBWCsJY0pzzXnsR+NU3PnZIN2+fHAq0RgGroO6ULibeC5EyZ2ySB9GNZvn0fTfx7OTsJzC&#10;5xo2a6t5K9bupXh1d0pIeXuTiSdgyazpD4ZffVKHlpw6f0Yd2SShzB8zQiUUogJGwD5/oEVHZF5W&#10;wNuG/6/Q/gBQSwMEFAAAAAgAh07iQPHqMRy5AQAAbQMAAA4AAABkcnMvZTJvRG9jLnhtbK1TS27b&#10;MBDdF+gdCO5ryU5rpILlLGq4m6INkOYANEVJBPjDDG3JF+gpuuy2x2rP0SGlOm2yySJaUPN9nPdG&#10;2tyM1rCTAtTe1Xy5KDlTTvpGu67m91/3b645wyhcI4x3quZnhfxm+/rVZgiVWvnem0YBIxCH1RBq&#10;3scYqqJA2SsrcOGDcpRsPVgRyYWuaEAMhG5NsSrLdTF4aAJ4qRApupuSfEaE5wD6ttVS7bw8WuXi&#10;hArKiEiUsNcB+TZP27ZKxi9tiyoyU3NiGvNJl5B9SGex3YiqAxF6LecRxHNGeMTJCu3o0gvUTkTB&#10;jqCfQFktwaNv40J6W0xEsiLEYlk+0uauF0FlLiQ1hovo+HKw8vPpFphuav6WMycsLfz3j5+/vn9j&#10;V0mbIWBFJXfhFmYPyUxExxZsehMFNmY9zxc91RiZpOBydXW9ekdSS8qty/frMgtePHQHwPhRecuS&#10;UXNlDG0vURaVOH3CSJdS9d+qFEZvdLPXxmQHusMHA+wkaL37/KSpqeW/MuNSsfOpbUqnSJHITXSS&#10;FcfDOHM8+OZMqhwD6K6nsZYZNBXRFjL8/MWkNf/rZ9CHv2T7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kTybXWAAAACgEAAA8AAAAAAAAAAQAgAAAAIgAAAGRycy9kb3ducmV2LnhtbFBLAQIUABQA&#10;AAAIAIdO4kDx6jEcuQEAAG0DAAAOAAAAAAAAAAEAIAAAACUBAABkcnMvZTJvRG9jLnhtbFBLBQYA&#10;AAAABgAGAFkBAABQBQAAAAA=&#10;">
                <v:fill on="t" focussize="0,0"/>
                <v:stroke on="f"/>
                <v:imagedata o:title=""/>
                <o:lock v:ext="edit" aspectratio="f"/>
                <v:textbox>
                  <w:txbxContent>
                    <w:p w14:paraId="038D8D12">
                      <w:pPr>
                        <w:rPr>
                          <w:sz w:val="18"/>
                          <w:szCs w:val="18"/>
                        </w:rPr>
                      </w:pPr>
                      <w:r>
                        <w:rPr>
                          <w:rFonts w:hint="eastAsia"/>
                          <w:sz w:val="18"/>
                          <w:szCs w:val="18"/>
                        </w:rPr>
                        <w:t>单位：万元</w:t>
                      </w:r>
                    </w:p>
                  </w:txbxContent>
                </v:textbox>
              </v:shape>
            </w:pict>
          </mc:Fallback>
        </mc:AlternateContent>
      </w:r>
    </w:p>
    <w:p w14:paraId="7FE465E1">
      <w:pPr>
        <w:spacing w:line="360" w:lineRule="auto"/>
        <w:ind w:firstLine="3200" w:firstLineChars="1000"/>
        <w:jc w:val="both"/>
        <w:rPr>
          <w:rFonts w:ascii="仿宋" w:hAnsi="仿宋" w:eastAsia="仿宋"/>
          <w:color w:val="auto"/>
          <w:sz w:val="32"/>
          <w:szCs w:val="32"/>
        </w:rPr>
      </w:pPr>
      <w:r>
        <w:rPr>
          <w:rFonts w:hint="eastAsia" w:ascii="仿宋" w:hAnsi="仿宋" w:eastAsia="仿宋"/>
          <w:color w:val="auto"/>
          <w:sz w:val="32"/>
          <w:szCs w:val="32"/>
        </w:rPr>
        <w:t>图3：支出决算结构图</w:t>
      </w:r>
    </w:p>
    <w:p w14:paraId="573766AC">
      <w:pPr>
        <w:spacing w:line="360" w:lineRule="auto"/>
        <w:ind w:firstLine="640" w:firstLineChars="200"/>
        <w:rPr>
          <w:rFonts w:ascii="仿宋_GB2312" w:eastAsia="仿宋_GB2312"/>
          <w:color w:val="auto"/>
          <w:sz w:val="32"/>
          <w:szCs w:val="32"/>
        </w:rPr>
      </w:pPr>
    </w:p>
    <w:p w14:paraId="58F33ADB">
      <w:pPr>
        <w:spacing w:line="360" w:lineRule="auto"/>
        <w:ind w:firstLine="640" w:firstLineChars="200"/>
        <w:outlineLvl w:val="1"/>
        <w:rPr>
          <w:rStyle w:val="26"/>
          <w:rFonts w:ascii="黑体" w:hAnsi="黑体" w:eastAsia="黑体"/>
          <w:b w:val="0"/>
          <w:color w:val="auto"/>
        </w:rPr>
      </w:pPr>
      <w:bookmarkStart w:id="35" w:name="_Toc15377208"/>
      <w:bookmarkStart w:id="36" w:name="_Toc15396606"/>
      <w:r>
        <w:rPr>
          <w:rFonts w:hint="eastAsia" w:ascii="黑体" w:hAnsi="黑体" w:eastAsia="黑体"/>
          <w:color w:val="auto"/>
          <w:sz w:val="32"/>
          <w:szCs w:val="32"/>
        </w:rPr>
        <w:t>四、财</w:t>
      </w:r>
      <w:r>
        <w:rPr>
          <w:rStyle w:val="26"/>
          <w:rFonts w:hint="eastAsia" w:ascii="黑体" w:hAnsi="黑体" w:eastAsia="黑体"/>
          <w:b w:val="0"/>
          <w:color w:val="auto"/>
        </w:rPr>
        <w:t>政拨款收入支出决算总体情况说明</w:t>
      </w:r>
      <w:bookmarkEnd w:id="35"/>
      <w:bookmarkEnd w:id="36"/>
    </w:p>
    <w:p w14:paraId="19262575">
      <w:pPr>
        <w:spacing w:line="360" w:lineRule="auto"/>
        <w:ind w:firstLine="640" w:firstLineChars="200"/>
      </w:pPr>
      <w:r>
        <w:rPr>
          <w:rFonts w:ascii="仿宋" w:hAnsi="仿宋" w:eastAsia="仿宋"/>
          <w:color w:val="auto"/>
          <w:sz w:val="32"/>
          <w:szCs w:val="32"/>
        </w:rPr>
        <w:t>20</w:t>
      </w:r>
      <w:r>
        <w:rPr>
          <w:rFonts w:hint="eastAsia" w:ascii="仿宋" w:hAnsi="仿宋" w:eastAsia="仿宋"/>
          <w:color w:val="auto"/>
          <w:sz w:val="32"/>
          <w:szCs w:val="32"/>
        </w:rPr>
        <w:t>21年财政拨款收</w:t>
      </w:r>
      <w:r>
        <w:rPr>
          <w:rFonts w:hint="eastAsia" w:ascii="仿宋" w:hAnsi="仿宋" w:eastAsia="仿宋"/>
          <w:color w:val="auto"/>
          <w:sz w:val="32"/>
          <w:szCs w:val="32"/>
          <w:lang w:eastAsia="zh-CN"/>
        </w:rPr>
        <w:t>、</w:t>
      </w:r>
      <w:r>
        <w:rPr>
          <w:rFonts w:hint="eastAsia" w:ascii="仿宋" w:hAnsi="仿宋" w:eastAsia="仿宋"/>
          <w:color w:val="auto"/>
          <w:sz w:val="32"/>
          <w:szCs w:val="32"/>
        </w:rPr>
        <w:t>支</w:t>
      </w:r>
      <w:r>
        <w:rPr>
          <w:rFonts w:hint="eastAsia" w:ascii="仿宋" w:hAnsi="仿宋" w:eastAsia="仿宋"/>
          <w:color w:val="auto"/>
          <w:sz w:val="32"/>
          <w:szCs w:val="32"/>
          <w:lang w:eastAsia="zh-CN"/>
        </w:rPr>
        <w:t>总计</w:t>
      </w:r>
      <w:r>
        <w:rPr>
          <w:rFonts w:hint="eastAsia" w:ascii="仿宋" w:hAnsi="仿宋" w:eastAsia="仿宋"/>
          <w:color w:val="auto"/>
          <w:sz w:val="32"/>
          <w:szCs w:val="32"/>
        </w:rPr>
        <w:t>2149.02万元。与</w:t>
      </w:r>
      <w:r>
        <w:rPr>
          <w:rFonts w:ascii="仿宋" w:hAnsi="仿宋" w:eastAsia="仿宋"/>
          <w:color w:val="auto"/>
          <w:sz w:val="32"/>
          <w:szCs w:val="32"/>
        </w:rPr>
        <w:t>20</w:t>
      </w:r>
      <w:r>
        <w:rPr>
          <w:rFonts w:hint="eastAsia" w:ascii="仿宋" w:hAnsi="仿宋" w:eastAsia="仿宋"/>
          <w:color w:val="auto"/>
          <w:sz w:val="32"/>
          <w:szCs w:val="32"/>
        </w:rPr>
        <w:t>20年相比，财政拨款收</w:t>
      </w:r>
      <w:r>
        <w:rPr>
          <w:rFonts w:hint="eastAsia" w:ascii="仿宋" w:hAnsi="仿宋" w:eastAsia="仿宋"/>
          <w:color w:val="auto"/>
          <w:sz w:val="32"/>
          <w:szCs w:val="32"/>
          <w:lang w:eastAsia="zh-CN"/>
        </w:rPr>
        <w:t>、</w:t>
      </w:r>
      <w:r>
        <w:rPr>
          <w:rFonts w:hint="eastAsia" w:ascii="仿宋" w:hAnsi="仿宋" w:eastAsia="仿宋"/>
          <w:color w:val="auto"/>
          <w:sz w:val="32"/>
          <w:szCs w:val="32"/>
        </w:rPr>
        <w:t>支</w:t>
      </w:r>
      <w:r>
        <w:rPr>
          <w:rFonts w:hint="eastAsia" w:ascii="仿宋" w:hAnsi="仿宋" w:eastAsia="仿宋"/>
          <w:color w:val="auto"/>
          <w:sz w:val="32"/>
          <w:szCs w:val="32"/>
          <w:lang w:eastAsia="zh-CN"/>
        </w:rPr>
        <w:t>总计</w:t>
      </w:r>
      <w:r>
        <w:rPr>
          <w:rFonts w:hint="eastAsia" w:ascii="仿宋" w:hAnsi="仿宋" w:eastAsia="仿宋"/>
          <w:color w:val="auto"/>
          <w:sz w:val="32"/>
          <w:szCs w:val="32"/>
        </w:rPr>
        <w:t>增加153.7万元，增长7.7</w:t>
      </w:r>
      <w:r>
        <w:rPr>
          <w:rFonts w:ascii="仿宋" w:hAnsi="仿宋" w:eastAsia="仿宋"/>
          <w:color w:val="auto"/>
          <w:sz w:val="32"/>
          <w:szCs w:val="32"/>
        </w:rPr>
        <w:t>%</w:t>
      </w:r>
      <w:r>
        <w:rPr>
          <w:rFonts w:hint="eastAsia" w:ascii="仿宋" w:hAnsi="仿宋" w:eastAsia="仿宋"/>
          <w:color w:val="auto"/>
          <w:sz w:val="32"/>
          <w:szCs w:val="32"/>
        </w:rPr>
        <w:t>。主要变动原因是人员增加，基本支出增加，部分项目资金增加。</w:t>
      </w:r>
    </w:p>
    <w:p w14:paraId="0DC8DE96">
      <w:pPr>
        <w:pStyle w:val="2"/>
        <w:spacing w:before="93" w:line="360" w:lineRule="auto"/>
        <w:rPr>
          <w:color w:val="auto"/>
        </w:rPr>
      </w:pP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4208780</wp:posOffset>
                </wp:positionH>
                <wp:positionV relativeFrom="paragraph">
                  <wp:posOffset>165100</wp:posOffset>
                </wp:positionV>
                <wp:extent cx="1105535" cy="581025"/>
                <wp:effectExtent l="0" t="0" r="18415" b="9525"/>
                <wp:wrapNone/>
                <wp:docPr id="5" name="椭圆 4"/>
                <wp:cNvGraphicFramePr/>
                <a:graphic xmlns:a="http://schemas.openxmlformats.org/drawingml/2006/main">
                  <a:graphicData uri="http://schemas.microsoft.com/office/word/2010/wordprocessingShape">
                    <wps:wsp>
                      <wps:cNvSpPr/>
                      <wps:spPr>
                        <a:xfrm>
                          <a:off x="0" y="0"/>
                          <a:ext cx="1105535" cy="581025"/>
                        </a:xfrm>
                        <a:prstGeom prst="ellipse">
                          <a:avLst/>
                        </a:prstGeom>
                        <a:solidFill>
                          <a:srgbClr val="FFFFFF"/>
                        </a:solidFill>
                        <a:ln>
                          <a:noFill/>
                        </a:ln>
                      </wps:spPr>
                      <wps:txbx>
                        <w:txbxContent>
                          <w:p w14:paraId="12AC9420">
                            <w:pPr>
                              <w:rPr>
                                <w:sz w:val="18"/>
                                <w:szCs w:val="18"/>
                              </w:rPr>
                            </w:pPr>
                            <w:r>
                              <w:rPr>
                                <w:rFonts w:hint="eastAsia"/>
                                <w:sz w:val="18"/>
                                <w:szCs w:val="18"/>
                              </w:rPr>
                              <w:t>单位：万元</w:t>
                            </w:r>
                          </w:p>
                        </w:txbxContent>
                      </wps:txbx>
                      <wps:bodyPr upright="1"/>
                    </wps:wsp>
                  </a:graphicData>
                </a:graphic>
              </wp:anchor>
            </w:drawing>
          </mc:Choice>
          <mc:Fallback>
            <w:pict>
              <v:shape id="椭圆 4" o:spid="_x0000_s1026" o:spt="3" type="#_x0000_t3" style="position:absolute;left:0pt;margin-left:331.4pt;margin-top:13pt;height:45.75pt;width:87.05pt;z-index:251660288;mso-width-relative:page;mso-height-relative:page;" fillcolor="#FFFFFF" filled="t" stroked="f" coordsize="21600,21600" o:gfxdata="UEsDBAoAAAAAAIdO4kAAAAAAAAAAAAAAAAAEAAAAZHJzL1BLAwQUAAAACACHTuJAzFm+wNYAAAAK&#10;AQAADwAAAGRycy9kb3ducmV2LnhtbE2Py07DMBBF90j8gzVIbBB1HsItaZwueHwApWI9id3EIrYj&#10;202Tv2dYwXI0R/eeWx8WO7JZh2i8k5BvMmDadV4Z10s4fb4/7oDFhE7h6J2WsOoIh+b2psZK+av7&#10;0PMx9YxCXKxQwpDSVHEeu0FbjBs/aUe/sw8WE52h5yrglcLtyIssE9yicdQw4KRfBt19Hy9WwnwK&#10;X0tYjdlOa7m0r+WbfcBMyvu7PNsDS3pJfzD86pM6NOTU+otTkY0ShChIPUkoBG0iYFeKZ2Atkfn2&#10;CXhT8/8Tmh9QSwMEFAAAAAgAh07iQL7imna2AQAAbQMAAA4AAABkcnMvZTJvRG9jLnhtbK1TzY7T&#10;MBC+I/EOlu80SSFoFTXdA1W5IFhp4QFcx0ks+U8zbpu+AE/BkSuPBc/B2Ml2YbnsgRyc+fM3832T&#10;bG4na9hJAWrvWl6tSs6Uk77Tbmj5l8/7VzecYRSuE8Y71fKLQn67fflicw6NWvvRm04BIxCHzTm0&#10;fIwxNEWBclRW4MoH5SjZe7AikgtD0YE4E7o1xbos3xZnD10ALxUiRXdzki+I8BxA3/daqp2XR6tc&#10;nFFBGRGJEo46IN/mafteyfip71FFZlpOTGM+qQnZh3QW241oBhBh1HIZQTxnhCecrNCOml6hdiIK&#10;dgT9D5TVEjz6Pq6kt8VMJCtCLKryiTb3owgqcyGpMVxFx/8HKz+e7oDpruU1Z05YWviv7z9+fvvK&#10;3iRtzgEbKrkPd7B4SGYiOvVg05sosCnrebnqqabIJAWrqqzr1wQsKVffVOW6TqDF4+0AGN8rb1ky&#10;Wq6Moe0lyqIRpw8Y5+qHqhRGb3S318ZkB4bDOwPsJGi9+/wsDf4qMy4VO5+uzYgpUiRyM51kxekw&#10;LRwPvruQKscAehhprCqDpiLaQp5/+WLSmv/0M+jjX7L9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xZvsDWAAAACgEAAA8AAAAAAAAAAQAgAAAAIgAAAGRycy9kb3ducmV2LnhtbFBLAQIUABQAAAAI&#10;AIdO4kC+4pp2tgEAAG0DAAAOAAAAAAAAAAEAIAAAACUBAABkcnMvZTJvRG9jLnhtbFBLBQYAAAAA&#10;BgAGAFkBAABNBQAAAAA=&#10;">
                <v:fill on="t" focussize="0,0"/>
                <v:stroke on="f"/>
                <v:imagedata o:title=""/>
                <o:lock v:ext="edit" aspectratio="f"/>
                <v:textbox>
                  <w:txbxContent>
                    <w:p w14:paraId="12AC9420">
                      <w:pPr>
                        <w:rPr>
                          <w:sz w:val="18"/>
                          <w:szCs w:val="18"/>
                        </w:rPr>
                      </w:pPr>
                      <w:r>
                        <w:rPr>
                          <w:rFonts w:hint="eastAsia"/>
                          <w:sz w:val="18"/>
                          <w:szCs w:val="18"/>
                        </w:rPr>
                        <w:t>单位：万元</w:t>
                      </w:r>
                    </w:p>
                  </w:txbxContent>
                </v:textbox>
              </v:shape>
            </w:pict>
          </mc:Fallback>
        </mc:AlternateContent>
      </w:r>
      <w:r>
        <w:rPr>
          <w:rFonts w:hint="eastAsia" w:ascii="仿宋" w:hAnsi="仿宋" w:eastAsia="仿宋"/>
          <w:sz w:val="32"/>
          <w:szCs w:val="32"/>
          <w:lang w:val="en-US" w:eastAsia="zh-CN"/>
        </w:rPr>
        <w:t xml:space="preserve">     </w:t>
      </w:r>
      <w:r>
        <w:rPr>
          <w:color w:val="auto"/>
        </w:rPr>
        <w:drawing>
          <wp:inline distT="0" distB="0" distL="114300" distR="114300">
            <wp:extent cx="4645660" cy="2646045"/>
            <wp:effectExtent l="4445" t="4445" r="17145" b="1651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91F775">
      <w:pPr>
        <w:spacing w:line="360" w:lineRule="auto"/>
        <w:ind w:firstLine="1600" w:firstLineChars="500"/>
        <w:rPr>
          <w:rFonts w:ascii="仿宋" w:hAnsi="仿宋" w:eastAsia="仿宋"/>
          <w:color w:val="auto"/>
          <w:sz w:val="32"/>
          <w:szCs w:val="32"/>
        </w:rPr>
      </w:pPr>
      <w:r>
        <w:rPr>
          <w:rFonts w:hint="eastAsia" w:ascii="仿宋" w:hAnsi="仿宋" w:eastAsia="仿宋"/>
          <w:color w:val="auto"/>
          <w:sz w:val="32"/>
          <w:szCs w:val="32"/>
        </w:rPr>
        <w:t>图4：财政拨款收、支决算总计变动情况</w:t>
      </w:r>
    </w:p>
    <w:p w14:paraId="42B21C0D">
      <w:pPr>
        <w:spacing w:line="360" w:lineRule="auto"/>
        <w:ind w:firstLine="640"/>
        <w:rPr>
          <w:rFonts w:ascii="仿宋" w:hAnsi="仿宋" w:eastAsia="仿宋"/>
          <w:b/>
          <w:color w:val="auto"/>
          <w:sz w:val="32"/>
          <w:szCs w:val="32"/>
        </w:rPr>
      </w:pPr>
    </w:p>
    <w:p w14:paraId="0D55C9C3">
      <w:pPr>
        <w:spacing w:line="360" w:lineRule="auto"/>
        <w:ind w:firstLine="640" w:firstLineChars="200"/>
        <w:outlineLvl w:val="1"/>
        <w:rPr>
          <w:rStyle w:val="26"/>
          <w:rFonts w:ascii="黑体" w:hAnsi="黑体" w:eastAsia="黑体"/>
          <w:b w:val="0"/>
          <w:color w:val="auto"/>
        </w:rPr>
      </w:pPr>
      <w:bookmarkStart w:id="37" w:name="_Toc15377209"/>
      <w:bookmarkStart w:id="38" w:name="_Toc15396607"/>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26"/>
          <w:rFonts w:hint="eastAsia" w:ascii="黑体" w:hAnsi="黑体" w:eastAsia="黑体"/>
          <w:b w:val="0"/>
          <w:color w:val="auto"/>
        </w:rPr>
        <w:t>般公共预算财政拨款支出决算情况说明</w:t>
      </w:r>
      <w:bookmarkEnd w:id="37"/>
      <w:bookmarkEnd w:id="38"/>
    </w:p>
    <w:p w14:paraId="42D88966">
      <w:pPr>
        <w:spacing w:line="360" w:lineRule="auto"/>
        <w:ind w:firstLine="643" w:firstLineChars="200"/>
        <w:outlineLvl w:val="2"/>
        <w:rPr>
          <w:rFonts w:ascii="仿宋" w:hAnsi="仿宋" w:eastAsia="仿宋"/>
          <w:b/>
          <w:color w:val="auto"/>
          <w:sz w:val="32"/>
          <w:szCs w:val="32"/>
        </w:rPr>
      </w:pPr>
      <w:bookmarkStart w:id="39" w:name="_Toc15377210"/>
      <w:r>
        <w:rPr>
          <w:rFonts w:hint="eastAsia" w:ascii="仿宋" w:hAnsi="仿宋" w:eastAsia="仿宋"/>
          <w:b/>
          <w:color w:val="auto"/>
          <w:sz w:val="32"/>
          <w:szCs w:val="32"/>
        </w:rPr>
        <w:t>（一）一般公共预算财政拨款支出决算总体情况</w:t>
      </w:r>
      <w:bookmarkEnd w:id="39"/>
    </w:p>
    <w:p w14:paraId="2658A21E">
      <w:pPr>
        <w:spacing w:line="360" w:lineRule="auto"/>
        <w:ind w:firstLine="640" w:firstLineChars="20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21年一般公共预算财政拨款支出2113.62万元，占本年支出合计的98.03</w:t>
      </w:r>
      <w:r>
        <w:rPr>
          <w:rFonts w:ascii="仿宋" w:hAnsi="仿宋" w:eastAsia="仿宋"/>
          <w:color w:val="auto"/>
          <w:sz w:val="32"/>
          <w:szCs w:val="32"/>
        </w:rPr>
        <w:t>%</w:t>
      </w:r>
      <w:r>
        <w:rPr>
          <w:rFonts w:hint="eastAsia" w:ascii="仿宋" w:hAnsi="仿宋" w:eastAsia="仿宋"/>
          <w:color w:val="auto"/>
          <w:sz w:val="32"/>
          <w:szCs w:val="32"/>
        </w:rPr>
        <w:t>。与</w:t>
      </w:r>
      <w:r>
        <w:rPr>
          <w:rFonts w:ascii="仿宋" w:hAnsi="仿宋" w:eastAsia="仿宋"/>
          <w:color w:val="auto"/>
          <w:sz w:val="32"/>
          <w:szCs w:val="32"/>
        </w:rPr>
        <w:t>20</w:t>
      </w:r>
      <w:r>
        <w:rPr>
          <w:rFonts w:hint="eastAsia" w:ascii="仿宋" w:hAnsi="仿宋" w:eastAsia="仿宋"/>
          <w:color w:val="auto"/>
          <w:sz w:val="32"/>
          <w:szCs w:val="32"/>
        </w:rPr>
        <w:t>20年相比，一般公共预算财政拨款支出增加150.22万元，增长7.65</w:t>
      </w:r>
      <w:r>
        <w:rPr>
          <w:rFonts w:ascii="仿宋" w:hAnsi="仿宋" w:eastAsia="仿宋"/>
          <w:color w:val="auto"/>
          <w:sz w:val="32"/>
          <w:szCs w:val="32"/>
        </w:rPr>
        <w:t>%</w:t>
      </w:r>
      <w:r>
        <w:rPr>
          <w:rFonts w:hint="eastAsia" w:ascii="仿宋" w:hAnsi="仿宋" w:eastAsia="仿宋"/>
          <w:color w:val="auto"/>
          <w:sz w:val="32"/>
          <w:szCs w:val="32"/>
        </w:rPr>
        <w:t>。主要变动原因是人员增加，基本支出增加63.94万元，部分项目资金增加86.27万元。</w:t>
      </w:r>
    </w:p>
    <w:p w14:paraId="198192FA">
      <w:pPr>
        <w:spacing w:line="360" w:lineRule="auto"/>
        <w:ind w:firstLine="640" w:firstLineChars="200"/>
        <w:rPr>
          <w:rFonts w:ascii="仿宋" w:hAnsi="仿宋" w:eastAsia="仿宋"/>
          <w:color w:val="auto"/>
          <w:sz w:val="32"/>
          <w:szCs w:val="32"/>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3604260</wp:posOffset>
                </wp:positionH>
                <wp:positionV relativeFrom="paragraph">
                  <wp:posOffset>84455</wp:posOffset>
                </wp:positionV>
                <wp:extent cx="1238250" cy="715010"/>
                <wp:effectExtent l="0" t="0" r="0" b="8890"/>
                <wp:wrapNone/>
                <wp:docPr id="6" name="椭圆 5"/>
                <wp:cNvGraphicFramePr/>
                <a:graphic xmlns:a="http://schemas.openxmlformats.org/drawingml/2006/main">
                  <a:graphicData uri="http://schemas.microsoft.com/office/word/2010/wordprocessingShape">
                    <wps:wsp>
                      <wps:cNvSpPr/>
                      <wps:spPr>
                        <a:xfrm>
                          <a:off x="0" y="0"/>
                          <a:ext cx="1238250" cy="715010"/>
                        </a:xfrm>
                        <a:prstGeom prst="ellipse">
                          <a:avLst/>
                        </a:prstGeom>
                        <a:solidFill>
                          <a:srgbClr val="FFFFFF"/>
                        </a:solidFill>
                        <a:ln>
                          <a:noFill/>
                        </a:ln>
                      </wps:spPr>
                      <wps:txbx>
                        <w:txbxContent>
                          <w:p w14:paraId="1462F41D">
                            <w:pPr>
                              <w:rPr>
                                <w:sz w:val="18"/>
                                <w:szCs w:val="18"/>
                              </w:rPr>
                            </w:pPr>
                            <w:r>
                              <w:rPr>
                                <w:rFonts w:hint="eastAsia"/>
                                <w:sz w:val="18"/>
                                <w:szCs w:val="18"/>
                              </w:rPr>
                              <w:t>单位：万元</w:t>
                            </w:r>
                          </w:p>
                        </w:txbxContent>
                      </wps:txbx>
                      <wps:bodyPr upright="1"/>
                    </wps:wsp>
                  </a:graphicData>
                </a:graphic>
              </wp:anchor>
            </w:drawing>
          </mc:Choice>
          <mc:Fallback>
            <w:pict>
              <v:shape id="椭圆 5" o:spid="_x0000_s1026" o:spt="3" type="#_x0000_t3" style="position:absolute;left:0pt;margin-left:283.8pt;margin-top:6.65pt;height:56.3pt;width:97.5pt;z-index:251661312;mso-width-relative:page;mso-height-relative:page;" fillcolor="#FFFFFF" filled="t" stroked="f" coordsize="21600,21600" o:gfxdata="UEsDBAoAAAAAAIdO4kAAAAAAAAAAAAAAAAAEAAAAZHJzL1BLAwQUAAAACACHTuJAfD76fNYAAAAK&#10;AQAADwAAAGRycy9kb3ducmV2LnhtbE2PzU7DMBCE70i8g7VIXBC1m6gJDXF64OcBKBVnJ94mFrEd&#10;2W6avD3LCY4782l2pj4sdmQzhmi8k7DdCGDoOq+N6yWcPt8fn4DFpJxWo3coYcUIh+b2plaV9lf3&#10;gfMx9YxCXKyUhCGlqeI8dgNaFTd+Qkfe2QerEp2h5zqoK4XbkWdCFNwq4+jDoCZ8GbD7Pl6shPkU&#10;vpawGlNOa760r/mbfVBCyvu7rXgGlnBJfzD81qfq0FCn1l+cjmyUsCvKglAy8hwYAWWRkdCSkO32&#10;wJua/5/Q/ABQSwMEFAAAAAgAh07iQG+hVSG2AQAAbQMAAA4AAABkcnMvZTJvRG9jLnhtbK1TS27b&#10;MBDdF8gdCO5rWS6cBoLlLGo4m6INkPYANEVJBPjDDG3JF+gpuuy2x2rP0SGlOk2yyaJaUPPjm3lv&#10;pM3taA07KUDtXc3LxZIz5aRvtOtq/vXL/u0NZxiFa4TxTtX8rJDfbq/ebIZQqZXvvWkUMAJxWA2h&#10;5n2MoSoKlL2yAhc+KEfJ1oMVkVzoigbEQOjWFKvl8roYPDQBvFSIFN1NST4jwmsAfdtqqXZeHq1y&#10;cUIFZUQkStjrgHybp21bJePntkUVmak5MY35pCZkH9JZbDei6kCEXst5BPGaEZ5xskI7anqB2oko&#10;2BH0CyirJXj0bVxIb4uJSFaEWJTLZ9o89CKozIWkxnARHf8frPx0ugemm5pfc+aEpYX//vHz1/dv&#10;bJ20GQJWVPIQ7mH2kMxEdGzBpjdRYGPW83zRU42RSQqWq3c3qzVJLSn3vlwTwwRaPN4OgPFOecuS&#10;UXNlDG0vURaVOH3EOFX/rUph9EY3e21MdqA7fDDAToLWu8/P3OBJmXGp2Pl0bUJMkSKRm+gkK46H&#10;ceZ48M2ZVDkG0F1PY5UZNBXRFvL88xeT1vyvn0Ef/5L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w++nzWAAAACgEAAA8AAAAAAAAAAQAgAAAAIgAAAGRycy9kb3ducmV2LnhtbFBLAQIUABQAAAAI&#10;AIdO4kBvoVUhtgEAAG0DAAAOAAAAAAAAAAEAIAAAACUBAABkcnMvZTJvRG9jLnhtbFBLBQYAAAAA&#10;BgAGAFkBAABNBQAAAAA=&#10;">
                <v:fill on="t" focussize="0,0"/>
                <v:stroke on="f"/>
                <v:imagedata o:title=""/>
                <o:lock v:ext="edit" aspectratio="f"/>
                <v:textbox>
                  <w:txbxContent>
                    <w:p w14:paraId="1462F41D">
                      <w:pPr>
                        <w:rPr>
                          <w:sz w:val="18"/>
                          <w:szCs w:val="18"/>
                        </w:rPr>
                      </w:pPr>
                      <w:r>
                        <w:rPr>
                          <w:rFonts w:hint="eastAsia"/>
                          <w:sz w:val="18"/>
                          <w:szCs w:val="18"/>
                        </w:rPr>
                        <w:t>单位：万元</w:t>
                      </w:r>
                    </w:p>
                  </w:txbxContent>
                </v:textbox>
              </v:shape>
            </w:pict>
          </mc:Fallback>
        </mc:AlternateContent>
      </w:r>
      <w:r>
        <w:rPr>
          <w:rFonts w:hint="eastAsia" w:ascii="仿宋" w:hAnsi="仿宋" w:eastAsia="仿宋"/>
          <w:color w:val="auto"/>
          <w:sz w:val="32"/>
          <w:szCs w:val="32"/>
        </w:rPr>
        <w:object>
          <v:shape id="_x0000_i1026" o:spt="75" type="#_x0000_t75" style="height:205.5pt;width:343pt;" o:ole="t" filled="f" o:preferrelative="t" stroked="f" coordsize="21600,21600">
            <v:path/>
            <v:fill on="f" focussize="0,0"/>
            <v:stroke on="f"/>
            <v:imagedata r:id="rId15" o:title=""/>
            <o:lock v:ext="edit" aspectratio="f"/>
            <w10:wrap type="none"/>
            <w10:anchorlock/>
          </v:shape>
          <o:OLEObject Type="Embed" ProgID="Excel.Sheet.8" ShapeID="_x0000_i1026" DrawAspect="Content" ObjectID="_1468075726" r:id="rId14">
            <o:LockedField>false</o:LockedField>
          </o:OLEObject>
        </w:object>
      </w:r>
    </w:p>
    <w:p w14:paraId="566FB7BE">
      <w:p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图5：一般公共预算财政拨款支出决算变动情况</w:t>
      </w:r>
    </w:p>
    <w:p w14:paraId="42130F52">
      <w:pPr>
        <w:pStyle w:val="2"/>
      </w:pPr>
    </w:p>
    <w:p w14:paraId="13442E46">
      <w:pPr>
        <w:spacing w:line="360" w:lineRule="auto"/>
        <w:ind w:firstLine="643" w:firstLineChars="200"/>
        <w:outlineLvl w:val="2"/>
        <w:rPr>
          <w:rFonts w:ascii="仿宋" w:hAnsi="仿宋" w:eastAsia="仿宋"/>
          <w:b/>
          <w:color w:val="auto"/>
          <w:sz w:val="32"/>
          <w:szCs w:val="32"/>
        </w:rPr>
      </w:pPr>
      <w:bookmarkStart w:id="40" w:name="_Toc15377211"/>
      <w:r>
        <w:rPr>
          <w:rFonts w:hint="eastAsia" w:ascii="仿宋" w:hAnsi="仿宋" w:eastAsia="仿宋"/>
          <w:b/>
          <w:color w:val="auto"/>
          <w:sz w:val="32"/>
          <w:szCs w:val="32"/>
        </w:rPr>
        <w:t>（二）一般公共预算财政拨款支出决算结构情况</w:t>
      </w:r>
      <w:bookmarkEnd w:id="40"/>
    </w:p>
    <w:p w14:paraId="6EB4D29C">
      <w:pPr>
        <w:spacing w:line="360" w:lineRule="auto"/>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21年一般公共预算财政拨款支出2113.62万元，主要用于以下方面</w:t>
      </w:r>
      <w:r>
        <w:rPr>
          <w:rFonts w:hint="eastAsia" w:ascii="仿宋" w:hAnsi="仿宋" w:eastAsia="仿宋"/>
          <w:color w:val="auto"/>
          <w:sz w:val="32"/>
          <w:szCs w:val="32"/>
          <w:lang w:eastAsia="zh-CN"/>
        </w:rPr>
        <w:t>：</w:t>
      </w:r>
      <w:r>
        <w:rPr>
          <w:rFonts w:hint="eastAsia" w:ascii="仿宋" w:hAnsi="仿宋" w:eastAsia="仿宋"/>
          <w:b/>
          <w:color w:val="auto"/>
          <w:sz w:val="32"/>
          <w:szCs w:val="32"/>
        </w:rPr>
        <w:t>社会保障和就业支出（类）</w:t>
      </w:r>
      <w:r>
        <w:rPr>
          <w:rFonts w:hint="eastAsia" w:ascii="仿宋" w:hAnsi="仿宋" w:eastAsia="仿宋"/>
          <w:color w:val="auto"/>
          <w:sz w:val="32"/>
          <w:szCs w:val="32"/>
        </w:rPr>
        <w:t>支出315.5万元，占14.93</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卫生健康支出</w:t>
      </w:r>
      <w:r>
        <w:rPr>
          <w:rFonts w:hint="eastAsia" w:ascii="仿宋" w:hAnsi="仿宋" w:eastAsia="仿宋"/>
          <w:b/>
          <w:color w:val="auto"/>
          <w:sz w:val="32"/>
          <w:szCs w:val="32"/>
        </w:rPr>
        <w:t>（类）</w:t>
      </w:r>
      <w:r>
        <w:rPr>
          <w:rFonts w:hint="eastAsia" w:ascii="仿宋" w:hAnsi="仿宋" w:eastAsia="仿宋"/>
          <w:color w:val="auto"/>
          <w:sz w:val="32"/>
          <w:szCs w:val="32"/>
        </w:rPr>
        <w:t>1439.88万元，占68.12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农林水支出</w:t>
      </w:r>
      <w:r>
        <w:rPr>
          <w:rFonts w:hint="eastAsia" w:ascii="仿宋" w:hAnsi="仿宋" w:eastAsia="仿宋"/>
          <w:b/>
          <w:color w:val="auto"/>
          <w:sz w:val="32"/>
          <w:szCs w:val="32"/>
        </w:rPr>
        <w:t>（类）</w:t>
      </w:r>
      <w:r>
        <w:rPr>
          <w:rFonts w:hint="eastAsia" w:ascii="仿宋" w:hAnsi="仿宋" w:eastAsia="仿宋"/>
          <w:color w:val="auto"/>
          <w:sz w:val="32"/>
          <w:szCs w:val="32"/>
        </w:rPr>
        <w:t>328.06万元，占15.52</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住房保障支出</w:t>
      </w:r>
      <w:r>
        <w:rPr>
          <w:rFonts w:hint="eastAsia" w:ascii="仿宋" w:hAnsi="仿宋" w:eastAsia="仿宋"/>
          <w:b/>
          <w:color w:val="auto"/>
          <w:sz w:val="32"/>
          <w:szCs w:val="32"/>
        </w:rPr>
        <w:t>（类）</w:t>
      </w:r>
      <w:r>
        <w:rPr>
          <w:rFonts w:hint="eastAsia" w:ascii="仿宋" w:hAnsi="仿宋" w:eastAsia="仿宋"/>
          <w:color w:val="auto"/>
          <w:sz w:val="32"/>
          <w:szCs w:val="32"/>
        </w:rPr>
        <w:t>24.9万元，占1.18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b/>
          <w:bCs/>
          <w:color w:val="auto"/>
          <w:sz w:val="32"/>
          <w:szCs w:val="32"/>
        </w:rPr>
        <w:t>其他支出</w:t>
      </w:r>
      <w:r>
        <w:rPr>
          <w:rFonts w:hint="eastAsia" w:ascii="仿宋" w:hAnsi="仿宋" w:eastAsia="仿宋"/>
          <w:b/>
          <w:bCs/>
          <w:color w:val="auto"/>
          <w:sz w:val="32"/>
          <w:szCs w:val="32"/>
          <w:lang w:eastAsia="zh-CN"/>
        </w:rPr>
        <w:t>（类）</w:t>
      </w:r>
      <w:r>
        <w:rPr>
          <w:rFonts w:hint="eastAsia" w:ascii="仿宋" w:hAnsi="仿宋" w:eastAsia="仿宋"/>
          <w:color w:val="auto"/>
          <w:sz w:val="32"/>
          <w:szCs w:val="32"/>
        </w:rPr>
        <w:t>5.3万元，占0.25%。</w:t>
      </w:r>
    </w:p>
    <w:p w14:paraId="2C095290">
      <w:pPr>
        <w:spacing w:line="360" w:lineRule="auto"/>
        <w:ind w:firstLine="640"/>
        <w:rPr>
          <w:rFonts w:ascii="仿宋" w:hAnsi="仿宋" w:eastAsia="仿宋"/>
          <w:color w:val="auto"/>
          <w:sz w:val="32"/>
          <w:szCs w:val="32"/>
        </w:rPr>
      </w:pPr>
      <w:r>
        <w:rPr>
          <w:rFonts w:hint="eastAsia" w:ascii="仿宋" w:hAnsi="仿宋" w:eastAsia="仿宋"/>
          <w:b/>
          <w:color w:val="auto"/>
          <w:sz w:val="32"/>
          <w:szCs w:val="32"/>
        </w:rPr>
        <w:drawing>
          <wp:inline distT="0" distB="0" distL="114300" distR="114300">
            <wp:extent cx="4889500" cy="3802380"/>
            <wp:effectExtent l="4445" t="4445" r="20955" b="222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E03724">
      <w:pPr>
        <w:spacing w:line="360" w:lineRule="auto"/>
        <w:ind w:firstLine="1600" w:firstLineChars="500"/>
        <w:rPr>
          <w:rFonts w:ascii="仿宋" w:hAnsi="仿宋" w:eastAsia="仿宋"/>
          <w:color w:val="auto"/>
          <w:sz w:val="32"/>
          <w:szCs w:val="32"/>
        </w:rPr>
      </w:pPr>
      <w:r>
        <w:rPr>
          <w:rFonts w:hint="eastAsia" w:ascii="仿宋" w:hAnsi="仿宋" w:eastAsia="仿宋"/>
          <w:color w:val="auto"/>
          <w:sz w:val="32"/>
          <w:szCs w:val="32"/>
        </w:rPr>
        <w:t>图6：一般公共预算财政拨款支出决算结构</w:t>
      </w:r>
    </w:p>
    <w:p w14:paraId="4485CFF2">
      <w:pPr>
        <w:spacing w:line="360" w:lineRule="auto"/>
        <w:ind w:firstLine="640" w:firstLineChars="200"/>
        <w:rPr>
          <w:rFonts w:ascii="仿宋" w:hAnsi="仿宋" w:eastAsia="仿宋"/>
          <w:color w:val="auto"/>
          <w:sz w:val="32"/>
          <w:szCs w:val="32"/>
        </w:rPr>
      </w:pPr>
    </w:p>
    <w:p w14:paraId="4E16FCCD">
      <w:pPr>
        <w:spacing w:line="360" w:lineRule="auto"/>
        <w:ind w:firstLine="643" w:firstLineChars="200"/>
        <w:outlineLvl w:val="2"/>
        <w:rPr>
          <w:rFonts w:ascii="仿宋" w:hAnsi="仿宋" w:eastAsia="仿宋"/>
          <w:b/>
          <w:color w:val="auto"/>
          <w:sz w:val="32"/>
          <w:szCs w:val="32"/>
        </w:rPr>
      </w:pPr>
      <w:bookmarkStart w:id="41" w:name="_Toc15377212"/>
      <w:r>
        <w:rPr>
          <w:rFonts w:hint="eastAsia" w:ascii="仿宋" w:hAnsi="仿宋" w:eastAsia="仿宋"/>
          <w:b/>
          <w:color w:val="auto"/>
          <w:sz w:val="32"/>
          <w:szCs w:val="32"/>
        </w:rPr>
        <w:t>（三）一般公共预算财政拨款支出决算具体情况</w:t>
      </w:r>
      <w:bookmarkEnd w:id="41"/>
    </w:p>
    <w:p w14:paraId="00FA914E">
      <w:pPr>
        <w:spacing w:line="360" w:lineRule="auto"/>
        <w:ind w:firstLine="643" w:firstLineChars="200"/>
        <w:outlineLvl w:val="2"/>
        <w:rPr>
          <w:rFonts w:ascii="仿宋" w:hAnsi="仿宋" w:eastAsia="仿宋"/>
          <w:color w:val="auto"/>
          <w:sz w:val="32"/>
          <w:szCs w:val="32"/>
        </w:rPr>
      </w:pPr>
      <w:bookmarkStart w:id="42" w:name="_Toc15378460"/>
      <w:bookmarkStart w:id="43" w:name="_Toc15377213"/>
      <w:bookmarkStart w:id="44" w:name="_Toc15377444"/>
      <w:r>
        <w:rPr>
          <w:rFonts w:hint="eastAsia" w:ascii="仿宋" w:hAnsi="仿宋" w:eastAsia="仿宋"/>
          <w:b/>
          <w:color w:val="auto"/>
          <w:sz w:val="32"/>
          <w:szCs w:val="32"/>
        </w:rPr>
        <w:t>2021年一般公共预算支出决算数为2113.62万元</w:t>
      </w:r>
      <w:r>
        <w:rPr>
          <w:rFonts w:hint="eastAsia" w:ascii="仿宋" w:hAnsi="仿宋" w:eastAsia="仿宋"/>
          <w:color w:val="auto"/>
          <w:sz w:val="32"/>
          <w:szCs w:val="32"/>
        </w:rPr>
        <w:t>，</w:t>
      </w:r>
      <w:r>
        <w:rPr>
          <w:rStyle w:val="15"/>
          <w:rFonts w:hint="eastAsia" w:ascii="仿宋" w:hAnsi="仿宋" w:eastAsia="仿宋"/>
          <w:bCs/>
          <w:color w:val="auto"/>
          <w:sz w:val="32"/>
          <w:szCs w:val="32"/>
        </w:rPr>
        <w:t>完成预算100</w:t>
      </w:r>
      <w:r>
        <w:rPr>
          <w:rStyle w:val="15"/>
          <w:rFonts w:ascii="仿宋" w:hAnsi="仿宋" w:eastAsia="仿宋"/>
          <w:bCs/>
          <w:color w:val="auto"/>
          <w:sz w:val="32"/>
          <w:szCs w:val="32"/>
        </w:rPr>
        <w:t>%</w:t>
      </w:r>
      <w:r>
        <w:rPr>
          <w:rStyle w:val="15"/>
          <w:rFonts w:hint="eastAsia" w:ascii="仿宋" w:hAnsi="仿宋" w:eastAsia="仿宋"/>
          <w:bCs/>
          <w:color w:val="auto"/>
          <w:sz w:val="32"/>
          <w:szCs w:val="32"/>
        </w:rPr>
        <w:t>。其中：</w:t>
      </w:r>
      <w:bookmarkEnd w:id="42"/>
      <w:bookmarkEnd w:id="43"/>
      <w:bookmarkEnd w:id="44"/>
    </w:p>
    <w:p w14:paraId="4E57723D">
      <w:pPr>
        <w:spacing w:line="360" w:lineRule="auto"/>
        <w:ind w:firstLine="643" w:firstLineChars="200"/>
        <w:rPr>
          <w:rFonts w:ascii="仿宋" w:hAnsi="仿宋" w:eastAsia="仿宋"/>
          <w:b/>
          <w:color w:val="auto"/>
          <w:sz w:val="32"/>
          <w:szCs w:val="32"/>
        </w:rPr>
      </w:pPr>
      <w:r>
        <w:rPr>
          <w:rStyle w:val="15"/>
          <w:rFonts w:ascii="仿宋" w:hAnsi="仿宋" w:eastAsia="仿宋"/>
          <w:bCs/>
          <w:color w:val="auto"/>
          <w:sz w:val="32"/>
          <w:szCs w:val="32"/>
        </w:rPr>
        <w:t>1.</w:t>
      </w:r>
      <w:r>
        <w:rPr>
          <w:rStyle w:val="15"/>
          <w:rFonts w:hint="eastAsia" w:ascii="仿宋" w:hAnsi="仿宋" w:eastAsia="仿宋"/>
          <w:bCs/>
          <w:color w:val="auto"/>
          <w:sz w:val="32"/>
          <w:szCs w:val="32"/>
        </w:rPr>
        <w:t>社会保障和就业（类）人力资源和社会保障管理事务（款）一般行政管理事务（项）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支出决算为0.1万元，完成预算100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347049C5">
      <w:pPr>
        <w:spacing w:line="360" w:lineRule="auto"/>
        <w:ind w:firstLine="643" w:firstLineChars="200"/>
        <w:rPr>
          <w:rFonts w:ascii="仿宋" w:hAnsi="仿宋" w:eastAsia="仿宋"/>
          <w:b/>
          <w:color w:val="auto"/>
          <w:sz w:val="32"/>
          <w:szCs w:val="32"/>
        </w:rPr>
      </w:pPr>
      <w:r>
        <w:rPr>
          <w:rStyle w:val="15"/>
          <w:rFonts w:ascii="仿宋" w:hAnsi="仿宋" w:eastAsia="仿宋"/>
          <w:bCs/>
          <w:color w:val="auto"/>
          <w:sz w:val="32"/>
          <w:szCs w:val="32"/>
        </w:rPr>
        <w:t>2.</w:t>
      </w:r>
      <w:r>
        <w:rPr>
          <w:rStyle w:val="15"/>
          <w:rFonts w:hint="eastAsia" w:ascii="仿宋" w:hAnsi="仿宋" w:eastAsia="仿宋"/>
          <w:bCs/>
          <w:color w:val="auto"/>
          <w:sz w:val="32"/>
          <w:szCs w:val="32"/>
        </w:rPr>
        <w:t>社会保障和就业（类）人力资源和社会保障管理事务（款）其他人力资源和社会保障管理事务支出（项）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支出决算为17.76万元，完成预算100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0F034AD5">
      <w:pPr>
        <w:spacing w:line="360" w:lineRule="auto"/>
        <w:ind w:firstLine="643" w:firstLineChars="200"/>
        <w:rPr>
          <w:rFonts w:ascii="仿宋" w:hAnsi="仿宋" w:eastAsia="仿宋"/>
          <w:b/>
          <w:color w:val="auto"/>
          <w:sz w:val="32"/>
          <w:szCs w:val="32"/>
        </w:rPr>
      </w:pPr>
      <w:r>
        <w:rPr>
          <w:rStyle w:val="15"/>
          <w:rFonts w:ascii="仿宋" w:hAnsi="仿宋" w:eastAsia="仿宋"/>
          <w:bCs/>
          <w:color w:val="auto"/>
          <w:sz w:val="32"/>
          <w:szCs w:val="32"/>
        </w:rPr>
        <w:t>3.</w:t>
      </w:r>
      <w:r>
        <w:rPr>
          <w:rStyle w:val="15"/>
          <w:rFonts w:hint="eastAsia" w:ascii="仿宋" w:hAnsi="仿宋" w:eastAsia="仿宋"/>
          <w:bCs/>
          <w:color w:val="auto"/>
          <w:sz w:val="32"/>
          <w:szCs w:val="32"/>
        </w:rPr>
        <w:t>社会保障和就业（类）行政事业单位养老支出（款）机关事业单位基本养老保险缴费支出（项）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支出决算为23.1万元，完成预算100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67D6A345">
      <w:pPr>
        <w:spacing w:line="360" w:lineRule="auto"/>
        <w:ind w:firstLine="643" w:firstLineChars="200"/>
        <w:rPr>
          <w:rStyle w:val="15"/>
          <w:rFonts w:ascii="仿宋" w:hAnsi="仿宋" w:eastAsia="仿宋"/>
          <w:b w:val="0"/>
          <w:bCs/>
          <w:color w:val="auto"/>
          <w:sz w:val="32"/>
          <w:szCs w:val="32"/>
        </w:rPr>
      </w:pPr>
      <w:r>
        <w:rPr>
          <w:rStyle w:val="15"/>
          <w:rFonts w:ascii="仿宋" w:hAnsi="仿宋" w:eastAsia="仿宋"/>
          <w:bCs/>
          <w:color w:val="auto"/>
          <w:sz w:val="32"/>
          <w:szCs w:val="32"/>
        </w:rPr>
        <w:t>4.</w:t>
      </w:r>
      <w:r>
        <w:rPr>
          <w:rStyle w:val="15"/>
          <w:rFonts w:hint="eastAsia" w:ascii="仿宋" w:hAnsi="仿宋" w:eastAsia="仿宋"/>
          <w:bCs/>
          <w:color w:val="auto"/>
          <w:sz w:val="32"/>
          <w:szCs w:val="32"/>
        </w:rPr>
        <w:t>社会保障和就业（类）财政代缴社会保险费支出（款）财政代缴其他社会保险费支出（项）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支出决算为274.54万元，完成预算100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490545B2">
      <w:pPr>
        <w:spacing w:line="360" w:lineRule="auto"/>
        <w:ind w:firstLine="643" w:firstLineChars="200"/>
        <w:rPr>
          <w:rFonts w:eastAsia="仿宋"/>
          <w:color w:val="auto"/>
        </w:rPr>
      </w:pPr>
      <w:r>
        <w:rPr>
          <w:rStyle w:val="15"/>
          <w:rFonts w:hint="eastAsia" w:ascii="仿宋" w:hAnsi="仿宋" w:eastAsia="仿宋"/>
          <w:color w:val="auto"/>
          <w:sz w:val="32"/>
          <w:szCs w:val="32"/>
        </w:rPr>
        <w:t>5.</w:t>
      </w:r>
      <w:r>
        <w:rPr>
          <w:rStyle w:val="15"/>
          <w:rFonts w:hint="eastAsia" w:ascii="仿宋" w:hAnsi="仿宋" w:eastAsia="仿宋"/>
          <w:bCs/>
          <w:color w:val="auto"/>
          <w:sz w:val="32"/>
          <w:szCs w:val="32"/>
        </w:rPr>
        <w:t>卫生健康支出（类）卫生健康管理事务（款）一般行政管理事务（项）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支出决算为0.1万元，完成预算100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231003CE">
      <w:pPr>
        <w:spacing w:line="360" w:lineRule="auto"/>
        <w:ind w:firstLine="643" w:firstLineChars="200"/>
        <w:rPr>
          <w:rFonts w:ascii="仿宋" w:hAnsi="仿宋" w:eastAsia="仿宋"/>
          <w:b/>
          <w:color w:val="auto"/>
          <w:sz w:val="32"/>
          <w:szCs w:val="32"/>
        </w:rPr>
      </w:pPr>
      <w:r>
        <w:rPr>
          <w:rStyle w:val="15"/>
          <w:rFonts w:hint="eastAsia" w:ascii="仿宋" w:hAnsi="仿宋" w:eastAsia="仿宋"/>
          <w:bCs/>
          <w:color w:val="auto"/>
          <w:sz w:val="32"/>
          <w:szCs w:val="32"/>
        </w:rPr>
        <w:t>6</w:t>
      </w:r>
      <w:r>
        <w:rPr>
          <w:rStyle w:val="15"/>
          <w:rFonts w:ascii="仿宋" w:hAnsi="仿宋" w:eastAsia="仿宋"/>
          <w:bCs/>
          <w:color w:val="auto"/>
          <w:sz w:val="32"/>
          <w:szCs w:val="32"/>
        </w:rPr>
        <w:t>.</w:t>
      </w:r>
      <w:r>
        <w:rPr>
          <w:rStyle w:val="15"/>
          <w:rFonts w:hint="eastAsia" w:ascii="仿宋" w:hAnsi="仿宋" w:eastAsia="仿宋"/>
          <w:bCs/>
          <w:color w:val="auto"/>
          <w:sz w:val="32"/>
          <w:szCs w:val="32"/>
        </w:rPr>
        <w:t>卫生健康支出（类）卫生健康管理事务（款）其他卫生健康管理事务支出（项）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支出决算为1.15万元，完成预算100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6A8FBA88">
      <w:pPr>
        <w:spacing w:line="360" w:lineRule="auto"/>
        <w:ind w:firstLine="643" w:firstLineChars="200"/>
        <w:rPr>
          <w:rFonts w:ascii="仿宋" w:hAnsi="仿宋" w:eastAsia="仿宋"/>
          <w:b/>
          <w:color w:val="auto"/>
          <w:sz w:val="32"/>
          <w:szCs w:val="32"/>
        </w:rPr>
      </w:pPr>
      <w:r>
        <w:rPr>
          <w:rStyle w:val="15"/>
          <w:rFonts w:hint="eastAsia" w:ascii="仿宋" w:hAnsi="仿宋" w:eastAsia="仿宋"/>
          <w:bCs/>
          <w:color w:val="auto"/>
          <w:sz w:val="32"/>
          <w:szCs w:val="32"/>
        </w:rPr>
        <w:t>7</w:t>
      </w:r>
      <w:r>
        <w:rPr>
          <w:rStyle w:val="15"/>
          <w:rFonts w:ascii="仿宋" w:hAnsi="仿宋" w:eastAsia="仿宋"/>
          <w:bCs/>
          <w:color w:val="auto"/>
          <w:sz w:val="32"/>
          <w:szCs w:val="32"/>
        </w:rPr>
        <w:t>.</w:t>
      </w:r>
      <w:r>
        <w:rPr>
          <w:rStyle w:val="15"/>
          <w:rFonts w:hint="eastAsia" w:ascii="仿宋" w:hAnsi="仿宋" w:eastAsia="仿宋"/>
          <w:bCs/>
          <w:color w:val="auto"/>
          <w:sz w:val="32"/>
          <w:szCs w:val="32"/>
        </w:rPr>
        <w:t>卫生健康支出（类）行政事业单位医疗（款）行政单位医疗（项）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支出决算为14.89万元，完成预算100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52DE0055">
      <w:pPr>
        <w:spacing w:line="360" w:lineRule="auto"/>
        <w:ind w:firstLine="643" w:firstLineChars="200"/>
        <w:rPr>
          <w:rStyle w:val="15"/>
          <w:rFonts w:ascii="仿宋" w:hAnsi="仿宋" w:eastAsia="仿宋"/>
          <w:b w:val="0"/>
          <w:bCs/>
          <w:color w:val="auto"/>
          <w:sz w:val="32"/>
          <w:szCs w:val="32"/>
        </w:rPr>
      </w:pPr>
      <w:r>
        <w:rPr>
          <w:rFonts w:hint="eastAsia" w:ascii="仿宋" w:hAnsi="仿宋" w:eastAsia="仿宋"/>
          <w:b/>
          <w:color w:val="auto"/>
          <w:sz w:val="32"/>
          <w:szCs w:val="32"/>
        </w:rPr>
        <w:t>8.</w:t>
      </w:r>
      <w:r>
        <w:rPr>
          <w:rStyle w:val="15"/>
          <w:rFonts w:hint="eastAsia" w:ascii="仿宋" w:hAnsi="仿宋" w:eastAsia="仿宋"/>
          <w:bCs/>
          <w:color w:val="auto"/>
          <w:sz w:val="32"/>
          <w:szCs w:val="32"/>
        </w:rPr>
        <w:t>卫生健康支出（类）行政事业单位医疗（款）公务员医疗补助（项）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支出决算为1.53万元，完成预算100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1ED4364A">
      <w:pPr>
        <w:spacing w:line="360" w:lineRule="auto"/>
        <w:ind w:firstLine="643" w:firstLineChars="200"/>
        <w:rPr>
          <w:rStyle w:val="15"/>
          <w:rFonts w:ascii="仿宋" w:hAnsi="仿宋" w:eastAsia="仿宋"/>
          <w:b w:val="0"/>
          <w:bCs/>
          <w:color w:val="auto"/>
          <w:sz w:val="32"/>
          <w:szCs w:val="32"/>
        </w:rPr>
      </w:pPr>
      <w:r>
        <w:rPr>
          <w:rStyle w:val="15"/>
          <w:rFonts w:hint="eastAsia" w:ascii="仿宋" w:hAnsi="仿宋" w:eastAsia="仿宋"/>
          <w:color w:val="auto"/>
          <w:sz w:val="32"/>
          <w:szCs w:val="32"/>
        </w:rPr>
        <w:t>9.</w:t>
      </w:r>
      <w:r>
        <w:rPr>
          <w:rStyle w:val="15"/>
          <w:rFonts w:hint="eastAsia" w:ascii="仿宋" w:hAnsi="仿宋" w:eastAsia="仿宋"/>
          <w:bCs/>
          <w:color w:val="auto"/>
          <w:sz w:val="32"/>
          <w:szCs w:val="32"/>
        </w:rPr>
        <w:t>卫生健康支出（类）医疗救助（款）城乡医疗救助（项）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rPr>
        <w:t>支出决算为926.57万元，完成预算100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196863AD">
      <w:pPr>
        <w:spacing w:line="360" w:lineRule="auto"/>
        <w:ind w:firstLine="643" w:firstLineChars="200"/>
        <w:rPr>
          <w:rStyle w:val="15"/>
          <w:rFonts w:ascii="仿宋" w:hAnsi="仿宋" w:eastAsia="仿宋"/>
          <w:b w:val="0"/>
          <w:bCs/>
          <w:color w:val="auto"/>
          <w:sz w:val="32"/>
          <w:szCs w:val="32"/>
        </w:rPr>
      </w:pPr>
      <w:r>
        <w:rPr>
          <w:rStyle w:val="15"/>
          <w:rFonts w:hint="eastAsia" w:ascii="仿宋" w:hAnsi="仿宋" w:eastAsia="仿宋"/>
          <w:color w:val="auto"/>
          <w:sz w:val="32"/>
          <w:szCs w:val="32"/>
        </w:rPr>
        <w:t>10.</w:t>
      </w:r>
      <w:r>
        <w:rPr>
          <w:rStyle w:val="15"/>
          <w:rFonts w:hint="eastAsia" w:ascii="仿宋" w:hAnsi="仿宋" w:eastAsia="仿宋"/>
          <w:bCs/>
          <w:color w:val="auto"/>
          <w:sz w:val="32"/>
          <w:szCs w:val="32"/>
        </w:rPr>
        <w:t>卫生健康支出（类）医疗保障管理事务（款）行政运行（项）：</w:t>
      </w:r>
      <w:r>
        <w:rPr>
          <w:rStyle w:val="15"/>
          <w:rFonts w:hint="eastAsia" w:ascii="仿宋" w:hAnsi="仿宋" w:eastAsia="仿宋"/>
          <w:b w:val="0"/>
          <w:bCs/>
          <w:color w:val="auto"/>
          <w:sz w:val="32"/>
          <w:szCs w:val="32"/>
        </w:rPr>
        <w:t>支出决算为237.82万元，完成预算100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36C01BDC">
      <w:pPr>
        <w:pStyle w:val="2"/>
        <w:spacing w:before="93" w:line="360" w:lineRule="auto"/>
        <w:ind w:firstLine="640"/>
        <w:rPr>
          <w:rStyle w:val="15"/>
          <w:rFonts w:ascii="仿宋" w:hAnsi="仿宋" w:eastAsia="仿宋"/>
          <w:b w:val="0"/>
          <w:bCs/>
          <w:color w:val="auto"/>
          <w:sz w:val="32"/>
          <w:szCs w:val="32"/>
        </w:rPr>
      </w:pPr>
      <w:r>
        <w:rPr>
          <w:rStyle w:val="15"/>
          <w:rFonts w:hint="eastAsia" w:ascii="仿宋" w:hAnsi="仿宋" w:eastAsia="仿宋"/>
          <w:color w:val="auto"/>
          <w:sz w:val="32"/>
          <w:szCs w:val="32"/>
        </w:rPr>
        <w:t>11.</w:t>
      </w:r>
      <w:r>
        <w:rPr>
          <w:rStyle w:val="15"/>
          <w:rFonts w:hint="eastAsia" w:ascii="仿宋" w:hAnsi="仿宋" w:eastAsia="仿宋"/>
          <w:bCs/>
          <w:color w:val="auto"/>
          <w:sz w:val="32"/>
          <w:szCs w:val="32"/>
        </w:rPr>
        <w:t>卫生健康支出（类）医疗保障管理事务（款）其他医疗保障管理事务支出（项）：</w:t>
      </w:r>
      <w:r>
        <w:rPr>
          <w:rStyle w:val="15"/>
          <w:rFonts w:hint="eastAsia" w:ascii="仿宋" w:hAnsi="仿宋" w:eastAsia="仿宋"/>
          <w:b w:val="0"/>
          <w:bCs/>
          <w:color w:val="auto"/>
          <w:sz w:val="32"/>
          <w:szCs w:val="32"/>
        </w:rPr>
        <w:t>支出决算为257.82万元，完成预算100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5465E355">
      <w:pPr>
        <w:pStyle w:val="2"/>
        <w:spacing w:before="93" w:line="360" w:lineRule="auto"/>
        <w:ind w:firstLine="640"/>
        <w:rPr>
          <w:rStyle w:val="15"/>
          <w:rFonts w:ascii="仿宋" w:hAnsi="仿宋" w:eastAsia="仿宋"/>
          <w:b w:val="0"/>
          <w:bCs/>
          <w:color w:val="auto"/>
          <w:sz w:val="32"/>
          <w:szCs w:val="32"/>
        </w:rPr>
      </w:pPr>
      <w:r>
        <w:rPr>
          <w:rStyle w:val="15"/>
          <w:rFonts w:hint="eastAsia" w:ascii="仿宋" w:hAnsi="仿宋" w:eastAsia="仿宋"/>
          <w:color w:val="auto"/>
          <w:sz w:val="32"/>
          <w:szCs w:val="32"/>
        </w:rPr>
        <w:t>12.</w:t>
      </w:r>
      <w:r>
        <w:rPr>
          <w:rStyle w:val="15"/>
          <w:rFonts w:hint="eastAsia" w:ascii="仿宋" w:hAnsi="仿宋" w:eastAsia="仿宋"/>
          <w:bCs/>
          <w:color w:val="auto"/>
          <w:sz w:val="32"/>
          <w:szCs w:val="32"/>
        </w:rPr>
        <w:t>农林水支出（类）扶贫（款）其他扶贫支出（项）：</w:t>
      </w:r>
      <w:r>
        <w:rPr>
          <w:rStyle w:val="15"/>
          <w:rFonts w:hint="eastAsia" w:ascii="仿宋" w:hAnsi="仿宋" w:eastAsia="仿宋"/>
          <w:b w:val="0"/>
          <w:bCs/>
          <w:color w:val="auto"/>
          <w:sz w:val="32"/>
          <w:szCs w:val="32"/>
        </w:rPr>
        <w:t>支出决算为328.06万元，完成预算100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p>
    <w:p w14:paraId="6DECE96D">
      <w:pPr>
        <w:spacing w:line="360" w:lineRule="auto"/>
        <w:ind w:firstLine="643" w:firstLineChars="200"/>
        <w:rPr>
          <w:rStyle w:val="15"/>
          <w:rFonts w:ascii="仿宋" w:hAnsi="仿宋" w:eastAsia="仿宋"/>
          <w:b w:val="0"/>
          <w:bCs/>
          <w:color w:val="auto"/>
          <w:sz w:val="32"/>
          <w:szCs w:val="32"/>
        </w:rPr>
      </w:pPr>
      <w:r>
        <w:rPr>
          <w:rStyle w:val="15"/>
          <w:rFonts w:hint="eastAsia" w:ascii="仿宋" w:hAnsi="仿宋" w:eastAsia="仿宋"/>
          <w:color w:val="auto"/>
          <w:sz w:val="32"/>
          <w:szCs w:val="32"/>
        </w:rPr>
        <w:t>13.</w:t>
      </w:r>
      <w:r>
        <w:rPr>
          <w:rStyle w:val="15"/>
          <w:rFonts w:hint="eastAsia" w:ascii="仿宋" w:hAnsi="仿宋" w:eastAsia="仿宋"/>
          <w:bCs/>
          <w:color w:val="auto"/>
          <w:sz w:val="32"/>
          <w:szCs w:val="32"/>
        </w:rPr>
        <w:t>住房保障支出（类）住房改革支出（款）住房公积金（项）</w:t>
      </w:r>
      <w:r>
        <w:rPr>
          <w:rStyle w:val="15"/>
          <w:rFonts w:hint="eastAsia" w:ascii="仿宋" w:hAnsi="仿宋" w:eastAsia="仿宋"/>
          <w:bCs/>
          <w:color w:val="auto"/>
          <w:sz w:val="32"/>
          <w:szCs w:val="32"/>
          <w:lang w:eastAsia="zh-CN"/>
        </w:rPr>
        <w:t>：</w:t>
      </w:r>
      <w:r>
        <w:rPr>
          <w:rStyle w:val="15"/>
          <w:rFonts w:hint="eastAsia" w:ascii="仿宋" w:hAnsi="仿宋" w:eastAsia="仿宋"/>
          <w:b w:val="0"/>
          <w:color w:val="auto"/>
          <w:sz w:val="32"/>
          <w:szCs w:val="32"/>
        </w:rPr>
        <w:t>支出决算数为24.9万元，</w:t>
      </w:r>
      <w:r>
        <w:rPr>
          <w:rStyle w:val="15"/>
          <w:rFonts w:hint="eastAsia" w:ascii="仿宋" w:hAnsi="仿宋" w:eastAsia="仿宋"/>
          <w:b w:val="0"/>
          <w:bCs/>
          <w:color w:val="auto"/>
          <w:sz w:val="32"/>
          <w:szCs w:val="32"/>
        </w:rPr>
        <w:t>完成预算100%。</w:t>
      </w:r>
    </w:p>
    <w:p w14:paraId="24C18CF8">
      <w:pPr>
        <w:spacing w:line="360" w:lineRule="auto"/>
        <w:ind w:firstLine="643" w:firstLineChars="200"/>
        <w:rPr>
          <w:rStyle w:val="15"/>
          <w:rFonts w:ascii="仿宋" w:hAnsi="仿宋" w:eastAsia="仿宋"/>
          <w:b w:val="0"/>
          <w:bCs/>
          <w:color w:val="auto"/>
          <w:sz w:val="32"/>
          <w:szCs w:val="32"/>
        </w:rPr>
      </w:pPr>
      <w:r>
        <w:rPr>
          <w:rStyle w:val="15"/>
          <w:rFonts w:hint="eastAsia" w:ascii="仿宋" w:hAnsi="仿宋" w:eastAsia="仿宋"/>
          <w:color w:val="auto"/>
          <w:sz w:val="32"/>
          <w:szCs w:val="32"/>
        </w:rPr>
        <w:t>14.</w:t>
      </w:r>
      <w:r>
        <w:rPr>
          <w:rStyle w:val="15"/>
          <w:rFonts w:hint="eastAsia" w:ascii="仿宋" w:hAnsi="仿宋" w:eastAsia="仿宋"/>
          <w:bCs/>
          <w:color w:val="auto"/>
          <w:sz w:val="32"/>
          <w:szCs w:val="32"/>
        </w:rPr>
        <w:t>其他支出（类）其他支出（款）其他支出（项）</w:t>
      </w:r>
      <w:r>
        <w:rPr>
          <w:rStyle w:val="15"/>
          <w:rFonts w:hint="eastAsia" w:ascii="仿宋" w:hAnsi="仿宋" w:eastAsia="仿宋"/>
          <w:bCs/>
          <w:color w:val="auto"/>
          <w:sz w:val="32"/>
          <w:szCs w:val="32"/>
          <w:lang w:eastAsia="zh-CN"/>
        </w:rPr>
        <w:t>：</w:t>
      </w:r>
      <w:r>
        <w:rPr>
          <w:rStyle w:val="15"/>
          <w:rFonts w:hint="eastAsia" w:ascii="仿宋" w:hAnsi="仿宋" w:eastAsia="仿宋"/>
          <w:b w:val="0"/>
          <w:color w:val="auto"/>
          <w:sz w:val="32"/>
          <w:szCs w:val="32"/>
        </w:rPr>
        <w:t>支出决算数为5.3万元，</w:t>
      </w:r>
      <w:r>
        <w:rPr>
          <w:rStyle w:val="15"/>
          <w:rFonts w:hint="eastAsia" w:ascii="仿宋" w:hAnsi="仿宋" w:eastAsia="仿宋"/>
          <w:b w:val="0"/>
          <w:bCs/>
          <w:color w:val="auto"/>
          <w:sz w:val="32"/>
          <w:szCs w:val="32"/>
        </w:rPr>
        <w:t>完成预算100%，决算数与预算数基本持平。</w:t>
      </w:r>
    </w:p>
    <w:p w14:paraId="39366206">
      <w:pPr>
        <w:pStyle w:val="2"/>
        <w:spacing w:before="93" w:line="360" w:lineRule="auto"/>
        <w:rPr>
          <w:color w:val="auto"/>
        </w:rPr>
      </w:pPr>
    </w:p>
    <w:p w14:paraId="58752E0E">
      <w:pPr>
        <w:tabs>
          <w:tab w:val="right" w:pos="8306"/>
        </w:tabs>
        <w:spacing w:line="360" w:lineRule="auto"/>
        <w:ind w:firstLine="640"/>
        <w:outlineLvl w:val="1"/>
        <w:rPr>
          <w:rStyle w:val="26"/>
          <w:color w:val="auto"/>
        </w:rPr>
      </w:pPr>
      <w:bookmarkStart w:id="45" w:name="_Toc15377214"/>
      <w:bookmarkStart w:id="46" w:name="_Toc15396608"/>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26"/>
          <w:rFonts w:hint="eastAsia" w:ascii="黑体" w:hAnsi="黑体" w:eastAsia="黑体"/>
          <w:b w:val="0"/>
          <w:color w:val="auto"/>
        </w:rPr>
        <w:t>般公共预算财政拨款基本支出决算情况说明</w:t>
      </w:r>
      <w:bookmarkEnd w:id="45"/>
      <w:bookmarkEnd w:id="46"/>
      <w:r>
        <w:rPr>
          <w:rStyle w:val="26"/>
          <w:rFonts w:ascii="黑体" w:hAnsi="黑体" w:eastAsia="黑体"/>
          <w:b w:val="0"/>
          <w:color w:val="auto"/>
        </w:rPr>
        <w:tab/>
      </w:r>
    </w:p>
    <w:p w14:paraId="4F2076A6">
      <w:pPr>
        <w:spacing w:line="360" w:lineRule="auto"/>
        <w:ind w:firstLine="645"/>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21年一般公共预算财政拨款基本支出302.23万元，其中：</w:t>
      </w:r>
    </w:p>
    <w:p w14:paraId="3F15A5D3">
      <w:pPr>
        <w:spacing w:line="360" w:lineRule="auto"/>
        <w:ind w:firstLine="645"/>
        <w:rPr>
          <w:rFonts w:hint="eastAsia" w:ascii="仿宋" w:hAnsi="仿宋" w:eastAsia="仿宋"/>
          <w:color w:val="auto"/>
          <w:sz w:val="32"/>
          <w:szCs w:val="32"/>
          <w:lang w:eastAsia="zh-CN"/>
        </w:rPr>
      </w:pPr>
      <w:r>
        <w:rPr>
          <w:rFonts w:hint="eastAsia" w:ascii="仿宋" w:hAnsi="仿宋" w:eastAsia="仿宋"/>
          <w:color w:val="auto"/>
          <w:sz w:val="32"/>
          <w:szCs w:val="32"/>
        </w:rPr>
        <w:t>人员经费272.79万元，主要包括：基本工资、津贴补贴、奖金、机关事业单位基本养老保险缴费、职工基本医疗保险缴费、公务员医疗补助缴费、住房公积金、其他工资福利支出、奖励金等。</w:t>
      </w:r>
    </w:p>
    <w:p w14:paraId="1D889ECD">
      <w:pPr>
        <w:spacing w:line="360" w:lineRule="auto"/>
        <w:ind w:firstLine="645"/>
        <w:rPr>
          <w:rFonts w:ascii="仿宋" w:hAnsi="仿宋" w:eastAsia="仿宋"/>
          <w:color w:val="auto"/>
          <w:sz w:val="32"/>
          <w:szCs w:val="32"/>
        </w:rPr>
      </w:pPr>
      <w:r>
        <w:rPr>
          <w:rFonts w:hint="eastAsia" w:ascii="仿宋" w:hAnsi="仿宋" w:eastAsia="仿宋"/>
          <w:color w:val="auto"/>
          <w:sz w:val="32"/>
          <w:szCs w:val="32"/>
        </w:rPr>
        <w:t>公用经费29.44万元，主要包括：办公费、印刷费、手续费、水费、电费、邮电费、差旅费、培训费、公务接待费、劳务费、工会经费、福利费、其他交通费、其他商品和服务支出等。</w:t>
      </w:r>
    </w:p>
    <w:p w14:paraId="5D47FFEF">
      <w:pPr>
        <w:spacing w:line="360" w:lineRule="auto"/>
        <w:ind w:firstLine="640"/>
        <w:rPr>
          <w:rFonts w:ascii="仿宋" w:hAnsi="仿宋" w:eastAsia="仿宋"/>
          <w:b/>
          <w:color w:val="auto"/>
          <w:sz w:val="32"/>
          <w:szCs w:val="32"/>
        </w:rPr>
      </w:pPr>
    </w:p>
    <w:p w14:paraId="1A1E1B49">
      <w:pPr>
        <w:spacing w:line="360" w:lineRule="auto"/>
        <w:ind w:firstLine="640"/>
        <w:outlineLvl w:val="1"/>
        <w:rPr>
          <w:rStyle w:val="26"/>
          <w:rFonts w:ascii="黑体" w:hAnsi="黑体" w:eastAsia="黑体"/>
          <w:b w:val="0"/>
          <w:color w:val="auto"/>
        </w:rPr>
      </w:pPr>
      <w:bookmarkStart w:id="47" w:name="_Toc15377215"/>
      <w:bookmarkStart w:id="48" w:name="_Toc15396609"/>
      <w:r>
        <w:rPr>
          <w:rFonts w:hint="eastAsia" w:ascii="黑体" w:eastAsia="黑体"/>
          <w:color w:val="auto"/>
          <w:sz w:val="32"/>
          <w:szCs w:val="32"/>
        </w:rPr>
        <w:t>七、</w:t>
      </w:r>
      <w:r>
        <w:rPr>
          <w:rStyle w:val="26"/>
          <w:rFonts w:hint="eastAsia" w:ascii="黑体" w:hAnsi="黑体" w:eastAsia="黑体"/>
          <w:color w:val="auto"/>
        </w:rPr>
        <w:t>“</w:t>
      </w:r>
      <w:r>
        <w:rPr>
          <w:rStyle w:val="26"/>
          <w:rFonts w:hint="eastAsia" w:ascii="黑体" w:hAnsi="黑体" w:eastAsia="黑体"/>
          <w:b w:val="0"/>
          <w:color w:val="auto"/>
        </w:rPr>
        <w:t>三公”经费财政拨款支出决算情况说明</w:t>
      </w:r>
      <w:bookmarkEnd w:id="47"/>
      <w:bookmarkEnd w:id="48"/>
    </w:p>
    <w:p w14:paraId="17381C6A">
      <w:pPr>
        <w:spacing w:line="360" w:lineRule="auto"/>
        <w:ind w:firstLine="640"/>
        <w:outlineLvl w:val="2"/>
        <w:rPr>
          <w:rFonts w:ascii="仿宋" w:hAnsi="仿宋" w:eastAsia="仿宋"/>
          <w:b/>
          <w:color w:val="auto"/>
          <w:sz w:val="32"/>
          <w:szCs w:val="32"/>
        </w:rPr>
      </w:pPr>
      <w:bookmarkStart w:id="49" w:name="_Toc15377216"/>
      <w:r>
        <w:rPr>
          <w:rFonts w:hint="eastAsia" w:ascii="仿宋" w:hAnsi="仿宋" w:eastAsia="仿宋"/>
          <w:b/>
          <w:color w:val="auto"/>
          <w:sz w:val="32"/>
          <w:szCs w:val="32"/>
        </w:rPr>
        <w:t>（一）“三公”经费财政拨款支出决算总体情况说明</w:t>
      </w:r>
      <w:bookmarkEnd w:id="49"/>
    </w:p>
    <w:p w14:paraId="6A2D0F33">
      <w:pPr>
        <w:spacing w:line="360" w:lineRule="auto"/>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21年“三公”经费财政拨款支出决算为0.25万元，完成预算100</w:t>
      </w:r>
      <w:r>
        <w:rPr>
          <w:rFonts w:ascii="仿宋" w:hAnsi="仿宋" w:eastAsia="仿宋"/>
          <w:color w:val="auto"/>
          <w:sz w:val="32"/>
          <w:szCs w:val="32"/>
        </w:rPr>
        <w:t>%</w:t>
      </w:r>
      <w:r>
        <w:rPr>
          <w:rFonts w:hint="eastAsia" w:ascii="仿宋" w:hAnsi="仿宋" w:eastAsia="仿宋"/>
          <w:color w:val="auto"/>
          <w:sz w:val="32"/>
          <w:szCs w:val="32"/>
        </w:rPr>
        <w:t>。</w:t>
      </w:r>
    </w:p>
    <w:p w14:paraId="61B0D151">
      <w:pPr>
        <w:spacing w:line="360" w:lineRule="auto"/>
        <w:ind w:firstLine="640"/>
        <w:outlineLvl w:val="2"/>
        <w:rPr>
          <w:rFonts w:ascii="仿宋" w:hAnsi="仿宋" w:eastAsia="仿宋"/>
          <w:b/>
          <w:color w:val="auto"/>
          <w:sz w:val="32"/>
          <w:szCs w:val="32"/>
        </w:rPr>
      </w:pPr>
      <w:bookmarkStart w:id="50" w:name="_Toc15377217"/>
      <w:r>
        <w:rPr>
          <w:rFonts w:hint="eastAsia" w:ascii="仿宋" w:hAnsi="仿宋" w:eastAsia="仿宋"/>
          <w:b/>
          <w:color w:val="auto"/>
          <w:sz w:val="32"/>
          <w:szCs w:val="32"/>
        </w:rPr>
        <w:t>（二）“三公”经费财政拨款支出决算具体情况说明</w:t>
      </w:r>
      <w:bookmarkEnd w:id="50"/>
    </w:p>
    <w:p w14:paraId="7806033C">
      <w:pPr>
        <w:spacing w:line="360" w:lineRule="auto"/>
        <w:ind w:firstLine="640"/>
        <w:rPr>
          <w:rFonts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21年“三公”经费财政拨款支出决算中，因公出国（境）费支出决算0万元；公务用车购置及运行维护费支出决算0万元；公务接待费支出决算0.25万元，占100</w:t>
      </w:r>
      <w:r>
        <w:rPr>
          <w:rFonts w:ascii="仿宋" w:hAnsi="仿宋" w:eastAsia="仿宋"/>
          <w:color w:val="auto"/>
          <w:sz w:val="32"/>
          <w:szCs w:val="32"/>
        </w:rPr>
        <w:t>%</w:t>
      </w:r>
      <w:r>
        <w:rPr>
          <w:rFonts w:hint="eastAsia" w:ascii="仿宋" w:hAnsi="仿宋" w:eastAsia="仿宋"/>
          <w:color w:val="auto"/>
          <w:sz w:val="32"/>
          <w:szCs w:val="32"/>
        </w:rPr>
        <w:t>。具体情况如下：</w:t>
      </w:r>
    </w:p>
    <w:p w14:paraId="03CBA15E">
      <w:pPr>
        <w:pStyle w:val="2"/>
        <w:spacing w:before="93" w:line="360" w:lineRule="auto"/>
        <w:rPr>
          <w:color w:val="auto"/>
        </w:rPr>
      </w:pPr>
      <w:r>
        <w:rPr>
          <w:rFonts w:hint="eastAsia" w:ascii="仿宋" w:hAnsi="仿宋" w:eastAsia="仿宋"/>
          <w:color w:val="auto"/>
          <w:sz w:val="32"/>
          <w:szCs w:val="32"/>
        </w:rPr>
        <w:object>
          <v:shape id="_x0000_i1027" o:spt="75" type="#_x0000_t75" style="height:236.5pt;width:406pt;" o:ole="t" filled="f" o:preferrelative="t" stroked="f" coordsize="21600,21600" o:gfxdata="UEsDBAoAAAAAAIdO4kAAAAAAAAAAAAAAAAAEAAAAZHJzL1BLAwQUAAAACACHTuJArKlqxNMAAAAF&#10;AQAADwAAAGRycy9kb3ducmV2LnhtbE2PwU7DMBBE70j8g7WVuFE7BEUhxOkBURAHDgQ+wI23SZp4&#10;HcVuG/6ehQu9jDSa1czbcrO4UZxwDr0nDclagUBqvO2p1fD1ub3NQYRoyJrRE2r4xgCb6vqqNIX1&#10;Z/rAUx1bwSUUCqOhi3EqpAxNh86EtZ+QONv72ZnIdm6lnc2Zy90o75TKpDM98UJnJnzqsBnqo9Nw&#10;GFKsk/wwLW/48DK8W9o+q1etb1aJegQRcYn/x/CLz+hQMdPOH8kGMWrgR+KfcpZlKdudhjS/VyCr&#10;Ul7SVz9QSwMEFAAAAAgAh07iQCVg41kLAQAAhQIAAA4AAABkcnMvZTJvRG9jLnhtbK2SwWrDMBBE&#10;74X+g9h7I8c4IZjYuYRAT720H7CVVrbAlsRKqdu/r5q4Je0phN5md+FpZtB29z4O4o04Wu8aWC4K&#10;EOSU19Z1Dbw8Hx42IGJCp3Hwjhr4oAi79v5uO4WaSt/7QROLDHGxnkIDfUqhljKqnkaMCx/I5aPx&#10;PGLKI3dSM06ZPg6yLIq1nDzrwF5RjHm7Px9hJvI1QG+MVbT36jiSS2cq04ApR4q9DRHak1tjSKUn&#10;YyIlMTRQVdUKRPoW+alNucqb11xDtS5WINst1h1j6K2a/eA1fv4EHNG67OAHtceE4sj2BpTqkVNm&#10;qfqkZlPqZtL/tiy4troBftTLr+7kr8SXc9aXv6f9BFBLAwQKAAAAAACHTuJAAAAAAAAAAAAAAAAA&#10;DwAAAGRycy9lbWJlZGRpbmdzL1BLAwQUAAAACACHTuJA/zzm478gAAAyJgAAHQAAAGRycy9lbWJl&#10;ZGRpbmdzL1dvcmtib29rMS54bHN4fVoFWJRLF6Y7FgHpkJLuBukSBAFBGqR76ZCuJaSWbgHpDulS&#10;QFpEursb6RL+Re+9Xrn3v/M8u7PPcs6Zb96Zfedw3lGUg4VDgbprQQpLIj8+/PGGDOmNbAwV7W1s&#10;HVgUIWY4kC+Qfph9EdOGZoOGguKDgYIC/N1M39aW2dXaKi2qVRaWDRC477cPsC8zDw2OtXqTsSTJ&#10;qN7ctWNFNCEvZqKtmd4RitjKc7AyTXuOb8KTofVtxZrmdkB4/vmKx/BIMSh4rNHvOUZnqi9HSxVQ&#10;9SBl9WIjkYNqV1bHHRF+Huawfmo+JnQDVqLSh1GSl/E8mfZzgMj7QKll0WgdZXoyInnzcIbFol5C&#10;3pO1FmhpA35SMuQJQN2DXqVzjBU+u7Ehb3E5G36hJh2gOMzLQ6qAKUL5gpyGKhq3Y9yK9+G+mm8y&#10;aVlEXFbxpqRUKnM0UAM9jMzIlL/TmboQZoYyuRZljUYoe5j2yQmPQ9MVRo6vn9V2DeTh0UW/nb+0&#10;MyP5cqoo7yZO6ByuI7Im08a8OKSM7qrK5Jgt7PNYfOHto2WT1G0uqNUU8ZYWu4ZjBq3r6/pLmN/h&#10;dVT5qK0BgdcYAi/W3+E1tLE3vsPXM1pUoZ0VIHkmM/PoUKgi5iWT+lN63BHcODAtjJPp5PAIhZ2f&#10;tVmjuFWdGEtrwcQxPq85kbIvuOnbtfCAt1SE9DbFma4okUYhHAhalJRWF6WgEm52gOYG/jDMWLa8&#10;SQWcgY7PKTswYKCrpGtRN2oMPyXL+paSTvx1XEZONW7HxAE1zme4L5mpdbROrcWNW2hqYcIVaLYS&#10;3VB4r5JexS8SbqgxYZGA/Wq7tyTX0UVs0fhwMopb9QFLZGXwOonCRIQ5y4zZsyrAXPEZZq2D5omG&#10;camazlEL3GI3ebQE4U+RwymNJip6hW5qxIqEqAr1CCZyaRFJySyr743oQ+3ydPdZTTsVZhvwHnxy&#10;jdmrIWvcXR+fdg/zDo2YDCtH9D/Qpm0gW8wXPC4tNcWOlaLauXpkZyrFTFufHfB5u/b55Tb4SsxO&#10;5oCFrdDOayVYfIrsq+3EI1Jo85irY8Ps+d/XYeOjfsV3CP7ekLXA/m0dnBwcbax/7HRwv+wnVhyp&#10;M8hOr3weI1U4HO1cvvu5E+S3vCOX/AUumSy6SvOTC4+x44y7S8K+Pe+Z4TQml58GL0s4s34yAClg&#10;LTfhUqWttp3Umvwgc9iTh5BJtg4Js3Z0F93drhMFL/uAnKKKZZEPTuvVzoVG/pfHbGNsBGEvdIKL&#10;BPQ50KJDxw6eIpOwUq+QHvUgZoGblxZAap8XP3TPHYx+IcMMDW/AvfJleaUoekp9bfU+15oj+lFD&#10;H1FsdJXUhc6NT3cgQHPYJF14r4W8fJsNJOJC33JzfElc8f2T+JOeCmEUvEEHWqmrPf8i2h5a2WEq&#10;58QVO/ybPvwb1Xx83VnmftUfaP07d8BC0HK1+sEa/25w9y3EwFHfwMr4PrusZytxoUEgT4G87jjn&#10;l90Pc7Y73I3BA7LtIoBOCMOUf54FEipmc9LR48B9e3UCPWY0xLiTXs5RvbYmfrwl+vytB0NrCygl&#10;9wZ5zvlDkk3L/GfHU7Nw148iU41onVlwcA1tCVNMHHWNaWRpfuQvS1U6BT5nSPppeLmyGjvZKErU&#10;ZqFZrJlQUONyaUpSzmeExvUiFvF6tSsrYyvGqVBWcrHLR2ObxzmTOxIYivIaLx8PJNSeM3NxSVWP&#10;e2f7qCKYLvdcsCGdFqPNnp+8O91GShOZG9Z2fV8ZIbGoFsEhE3TJ+tSHuM559DjFsPH15USTjV56&#10;I3O9lpOwh42mreXBkKquYkDitsgMjyOvwK7s9xh+I4yGVteKOpP1HXlhi8OUBG/ou0377yhj/ETP&#10;xcbe0sHM2NjxPtI21Kp6dhCSAcNDQeH/w/aHyw+0w2P7gNN3fAN/iQl3hkUtnNxZTvwJ2Q/BzDdj&#10;gEs+nLEtOz+6Ku7aU9oou7tCyYgS7PLJwTSQkqksvYoCsVwhmT9PI1oZppoVVFzL9/3k6GaJg/rL&#10;UcNC7wh42NT22O3kW3sll/M6PdRzsGJj6ss5HtTO1HwRh4REBIuw2E6LPTvL2s9cD12xMMw7aMwv&#10;Q8yZLQmRUa9IA+nk6Ba+BDcHTkkHw3c8Wdunn6x7e6rSFKqmPmdQ4imUhbNvYLRg/D7mugpnjPfF&#10;pQR+v4FFnqpuRVEWfzUvdJp5/JpzrQ0zYOaVHVFBtjfG6imyr/dqlXVKVbicxPfojnzRSWpY70aX&#10;uQ2BPT4dpnZ0Qc0azYcPGid0nlQorh3TaBWv45wcdNoglxCVhKynkGWIuNLaqtBuSr0y/Fzq/g06&#10;p8owCI+fAk+XdOFhbO+mW+CLYx7XhQfoEwusumfAM30zUia6jBX3VZvwS0pUvdXjN6dTLsNe0PUl&#10;grns8muxic1qlYFltlCg1tR36+riMglcyahZX5HTJfqAG3SD13QvcXRy3xv5SWAlny4RK1S6clLN&#10;czlUV+VS85p126LvC/lbsbVyBys0ieIOO9QJFw9RC7wqWaKuIe2qfNQJ5hF5bJqZj/G1x5YVv1Rg&#10;u2IUC+j2MGjLJ6WlVf42aLv0uMpIBXFmBx340O4pNxmMNLJB3wBAiSS4DNGw+Ujkc/S4kMQr4jJX&#10;cfT5Nh5gbaWzhGhIMWd99qfOSWRLm+SMd6OdrteKlzqgW4aPKc+wrV6Yh+3z8EqyOZNJzCx1ZS5E&#10;ae0Hs14RWrM/AyqG6HRT5J1mBvtzwtk+mDxg0fkO+/+39F1WckcIZsbWxveykihJR7x1yE5+TPCT&#10;rv8y+2H8YyPvagxEEnHhtFB+Ew5bU4jZWZN+b1EzJV+pswHU4jJXivwSxrHcyUE6+QXoIL6LhYys&#10;pMgiE4yKCKdiQQ2m9e6Pf6ecfYMq6E6DLWA3sVuIKDLbTPV2/4m31/6F++nK0Ko78kkEK15ADskH&#10;58wtd150dZmh/OV5wj1P28GzAAnzYFo5u650/UW9Oa/bZjkzuU7eVtKJPANUp2v1XqsiZSxoNEo7&#10;X2NekKlhJzbVIkMk/SPprgWezLhwi2qNp4CnniySyHXNQqQxUO4D3hcnq7WR17v1Z0IgOmW6ERGR&#10;C5GLzviQzsCYZLHgpA3lPZJHU9/034FJML892XTHQUbG5PdSvb2I25XDrVLFV6rvHCufHvYG6egD&#10;FLiPUwUJ42LGtsPdHPKOy6BVSpcuS7zezzN+N4dCgVE3/9JxPDlhvX9KCD8GtUpG0uJeMmfS30Z0&#10;w6PGu8858gE0njHj7Qn/oXYcRKvpit77LRzXo3luamOMqQlh9XwNpUV1dnNU66Guv4HsUA9Kw5QZ&#10;0Hm9iOmRodRZ2oFzVsv4FG0qi6IiurFTAV0nY9y2BZOoC8E8rA+MMtXTrR6NwC5aH/Y9ClmpVFdE&#10;qjc5yQjW+kaCA0EwFezZJscSH5/SCNxIE/iFVxxcXk5ilqU/+aYr7O5hf7vZ8z39Oakgb/3ti70+&#10;9hlpcyPClsu9ow8tN5+ujnp4yki9NjtRsW+vItOFbndReQCng36DoWWkt9+Ov4VKpzdf32TCtrQP&#10;dgdgPvUDuaCTufNowFgO+1YkLWN5c4TqhwUb+xoc7NrOJlTAN3GLj4CmO5wPgA5gAN5B73FphxPg&#10;qIAqIqmsMwRe0Chsj30P7aMqVwLW4iJn+EzMUUFIY8jXKMs9ZtmSkdM8ArPHdvU7nRPvXvu/U3mH&#10;lKfutkWQ8mpHfZZErLiONNqHo7VzqFG8SUci9RFBdJSqDGqWZ7SIrgmzH9iCgTuotllHSqdob5GS&#10;CJkIRgnx4lHuS/yyjAKJkL5VAPUI2jl0dEXoyqtOWOxxvAfsJPq9TV7BINtJ7fVyXcpNNVGhGXPh&#10;7PefpOyf0jCnIwazYU8axgDDoj+DSMCc3BVkb5BjaQ+BrJt+ZOzuQfn7YMTYUvkza78Sx3RmuFoR&#10;PnnZUBil57kzUX0MiRonAomDbG2axiITTM0KMm6FruscTTG7ER/aQxyOdlhCTvhnvBXfuZslz30s&#10;Z3ipNSIA8sr7enOrmzm+u1pb1odKhxD3Mqj1+lPJwHzP1PJZoiI/mOMNZoCQL6qZyCIpGr2A59mn&#10;VSfG0MWsqR5WX1Ao7xA3qemhIcWyaBg7b/O4xyrVA9C2jCsBtq3lSLvCPMrzvJ5HqEdapiW5wMR6&#10;VyQqvOVRKT4MHoSkrJSSDvlCx7JJqctOgccZVvMBAWxJ8gbDou+4yFREh84skZL9A3QntfQHncvr&#10;8mcGXlS3weTHafhiRyOuF0bM5/sj47dWIysRFwquFrw1VXt8ZG3ipsNagpLf1hj+DuZhEpCh1DIh&#10;72VCwhQBu3UUa28/TSZllntisFJw6JZKlmnmt9x6IIuyxeCLTFoD/a9mOtePH673c00wWcLKy+dk&#10;FLjMfEtJQadNgjIm8UardTlPNFIUEEuzwgpfIFEnf92yOJDFSIBXGSSRiqgdqlCKgByV6B5LRaLH&#10;9OEZrHx1oBmwGh0Q4M1Uz93d+yGcmGpWgZ000o68v4qIkn7oQk3xXJsh9Xn1xUVrb7T8o1l/XsFT&#10;KcdeGwraCqmiXBj8B9BlrhavOcVhbKjlHmmNzCsb0huNezDlW9KSSXOGKg0qPWMbWNTsleO/1CKA&#10;XdaqMEHKx4p+hxVBMfqqP0NztmqHkC+oWufMkRKXT5wT78mwMu4o1yy9ST+rDaxchaBeDI96vzja&#10;7tDOQb0jixzQvdRJbj2gUk7kY985X8MeAaGfqDVbkqQ8m26cfs5kR/6swBqqIGhKIzkg87K/fjqn&#10;Lu5JGx8J2tuiI/9Z+9G2r65epSNRYx/0Ej+wlg/qACJJm/rSlOnsfb9m7H74kRH9+m91HPMFABGS&#10;IEnKQ0Gh/zw+HBxfQ/LOu0RyVNs6clod9ybik3e5dmsQLkcIyXqJQNJQzzOqbPiSEYpH0IXsIRyG&#10;PRWI0wUmIjIgIIG6CtUIqM2C+lRy9tAXo5y8RrNmVng4O+n5Fd7pDN483oDT0iZNxLAMyfQ3vnW+&#10;dcGzGcMrfq3xiKBS52kMsa4zzYYKjTGu6e0Lzy4Bs03hpslJsw1NfKdmr/GTJ4056ROZXtZXKfMT&#10;KFnY4y12ZtNRCPRN5TlkUoODo8p0OyRT7cC6TbJJUg+OA399Hr/ZhQwcUnjnWjKKzEwt9r5VTfMJ&#10;J0FP9z4idIF22hG3m+5QzYYODPOVlP2TxYwcSwmt6X3YWK2pWm/uw6zxD9dLWJOu8o2HaQxqvSmr&#10;h0y7Th21wpOJ358MVoreaDcGxnmcxecmGHhQ4FMiB2p2KZeZjzycjeEcGNN6Okjk3qFyBBt9+rqu&#10;P9uLIg2NAuH1IsNgEaqeLKvEYznOxmkt2Pnlp9zo3ez8lc24kGizTr7eCCjOAy7fRUJ9pMDGHp+2&#10;MaztO893zljePvloSuLsD5iQhmN4yB9YLz1AzP+WLMOf2sBQNL53cmeHkhOlzM//e/xc5i24sL60&#10;+U0ryhAjCIssybLvnF/fqDRucZ5C50WHHd+OrYlpyZxoumRDTboBuKF2oThcuXjwMxe5TXiOaQSh&#10;ZU2rpnVURapoDIg/Lp5jSz3HXyjU8Rm7umRyAl8VtWWZZqRejhlX/O4k8WVW5aiG2ZJKmNFxmWqC&#10;HjW87Bge/9iQjBi6c+m4i8MRs5qh4vswydeBRDEAN/IuJ41trYKMUqQIKxsSp6xujCaMHTPHq7Ue&#10;rGMJ0qols/LY7tcOX4SQGh4HhmxLcft+dUkTErP7+lCAre5BMPFIWgJPkfy5mjmnpcl7/diKLU+3&#10;yuWTXUOiqRPCvW5ZP2wN6LyJoFNvrlO6gjK1QcQOz4uWsZerDNaCyQw1enoV37cKd7rgq4ZLa88O&#10;FwnfuhxlODJTIqqlUbthP+7e+Wjag/zGunXVoLHZSMtqYT06x01obkWlBGSh4RtSoVvCXSg1XBW2&#10;Fj1rBDc5bb4mAchkX99moM5XTDqqHjCYBfIkpKltFX39NuKrhp41ZsaZ/LJD3Tkq6xQUYUN9CmI2&#10;oz6Fvz1aneq4LvvUAriNm8Cz6Jc9ZBlJ9tgd1hwu3XU63IIB8e1YXr5hYV+sdJ7HvDx4ReeVOxzA&#10;IGtv5t5XjYh1TODrYBt8I3WDtcV/TXsYVD7o0oDYMu6k/x5H7pN3FJUg2M/0OVPzfuSpDtFI9LQ+&#10;p9n1jRZy2rMSo/jWRNbszxRQwlLpGoG8AvNqwb70shVpmbMuUuIPYV7yyGwoCq6nBDtJBp0rzVD7&#10;8UkvGdCuI9HC8ElTWOKbXtQZvsPcGlEJUIIGUFVe0CIZHSuBu7eynuHmdD0QxpF5QCnL/330FRQt&#10;Bf7yU0PGxlrDTIWuQq3VBlUuSyoWDesuKZWny5g2lbka4O54E1ERrBm+jMpL2rwLMQ9sOiMdBsGZ&#10;Vp6jzHe5CfCawEzXM6vxZt/enUiEYj+t/AAyzIC8hXJNqCcvJZ+vD9LM5GenZGvHpO2WlG4Tu4pP&#10;+wdVOwP4nhzn1yI2cr8WcheUya8+ELd4h7e2gNOsebbR/WTTx9MqbQcarqXW35S8xftJZytmM8F5&#10;1GzowVYQe52LRr4Y3Nc3UITQddOFIY/IFb1ZCfemRRFZgheQ7BGQn+CKI+uv0S6iEotx9VIHRBSv&#10;q4cyarlWd2mKqGJXlnsE1HDkUlrZc/sRcUwktidWHIilVsvVKwbK13kwKYpIGnxh2NoiHOlprKO0&#10;H9q0Jl1aeiYOPnGVEO1+/4D8bALFEWCA6lID113OkYXU/UivDY5ahPOrs2B9uxGYq5gPhx46h7W2&#10;fbAYXy3JrduWeIxLNAy/wQS8yD2X/Ij7KzwUCfABy8J58RtyeUBfCVL+E1pusQITUfNuTcw3Su99&#10;quB7qnCkQ8LLOWANW+wCcobDwAjgGFMiZ5MM7T1atgCghFTc1SoNFQNwLWCL4oQI0DYq+SavjEIn&#10;Ae+NEW1w1RYBiInuYCItE+6jBxUUgelKbczyjm+nGLEMMsVxG7yvGUp9KU7NKlfAGsJq2mOihYFg&#10;oy8dSabTsfQKmSIoyNLo6t/E6eQdQCjUA2earwImcIWmO5pTqCNSlh7KYlHj9LetT2sHWejOkMo8&#10;O+NH219S4BWj6l/CIIbOgZY3Wgw6c5OwX41ReOoBeE7ah/p8ZZBoJMGbvIwEk/mbESklVEpbMtRr&#10;SSjx/MyzUK3L883hzeVaRxPJaTI+5qZ6cas2P1D2x+MPkV3PvU+WD58bEnCG2BM0vRSkM4z/kGNt&#10;tjwgnHKzvbcykLf8GHMAUkO4bHzOuVEb7J6fYUuNe+is31ToK5Ym5M3ackYbL1JCmOCzna5SXAG3&#10;tVoPpxuXAsff4n3W8f5qef5m7XrWBQ5vELAafT7blJ3NNS7JGVgXjaIblzrCfnPMKBVKw+DVUBBW&#10;hMQTL+7v07foEh3z0sKh4t1kKkPFSOv3+eYjxIHH3q8IRGvn4OiMMfRuTvgkXA4HXAzqNhQSyQPm&#10;oWWWSLwve453Qo+CTFnmPS3dWgufkRirP769uLrYnP6c/YzEpyRDwSLsI3Emo9dlh7+K0pDB4c3m&#10;RZD3oI+bikzug9fr5Jv7xz1dy8It6LDGh3PCiRnPyC6nUUOwxIrZsJLEWAdpr1OFbpDEOOqPePUV&#10;cpVUeyi3iI3A/I+HEUpPcREKAKiUDQ6PAFBAFboA5fetVu37L4ItFkpTxdCr+4siPpPU3RYAZKv7&#10;oy16A/xy2FG48t3SvB4GocyrL6xAH9NHvcfUffvEiILd6Vl1ENls0vXu4PlNeufZnsLcbWpP7w70&#10;RxSHAlXCAPO4eAJV1QhiyaT1nnhz+LIBeltwof0gYpIOQBS0szKfFyNwG/ntpREwatwiJsv6eoNA&#10;QI8GixOMgr3u4vV9aRObhuIFUrwdrYQyJSoddRRIJvi4OjYeN8r4OmgeBgv348mEsa0tF3sPuQ8K&#10;V4EDiRrlEfqeDP1IthRoMIfiKPx67im7d4FZXTLcdixIEUv75eNXlQ/9Uctx9mhxylGgOfLzoV7m&#10;0+Fkd/oXRV0gM7DgWigvt452p4I6XqBwobjgaw3aM2SaaPX65C4tWBh90ewtz43XK5VaK84h9kNx&#10;UdfwH6SpzyIWKNiDPINWUS9VXkP7aLdVyRLVEQOq2W4Wc9NT3/GryjnS89FaxNkoolkjvRrHlu+e&#10;11vQK2lvT3IdpiPL38R/qZ0XKXMFm08LRcwhLXqinReFw+Tl3BrY5M3NzG4nEoUfKhi2F06Mhps4&#10;mbpkWVS7OLsI9FdqAG8fbBFcelYUdQU6LfJ0BiqwHIh7A6xPF/qxvFlt3U479Ags45O/7Yf5Rhdl&#10;oprCj2ig3CAIjw2BSGDIourhyntuJ0KUu71ura4Yfi/8tmS49uBDqo/OvyqQDmb69sZGLxztzYGm&#10;PxJHJ0jlt10EBwSp/LJ+nlNwVMqmGgYtYG/AovVMwCU//ZyGM4usPEK+RdFIPlGYE1pVZFUcLtTP&#10;uVlYtqAOaE1fXfRY97LtPw2Zl3xC6ouHhGrDgxZWVw7bhU2CSka6Y7NrABeNHOQE28rk0Qtdu7kW&#10;iEweNYdSXs5gPEEBZ5VwhUYo2g0CRvh1myp35YuTh/E6fFzVvtSpNMSXX+J4/soIsQL8EGiAg7rP&#10;u+aul5S8oORQYiYKWZgxHh/pJxF07CHZNBdUY5AKkil9GnPQmTBq3JN8r1JmE3oGtSM5LkG9/rKt&#10;pVW8vEwjxZzlBuLRjmz6vC3ugvn9rVanE03G6DxvntAU05Ox26zSQ23jpGTBwskNLenj+Q3E35Fs&#10;q/n6mgaC4gzkhfmrwmhgY2N5l32HR/X9IWRc+3O5bx2jK8XIIgFmM2RFNFJch9RP5Grkeuc5nqr0&#10;Ro8Kejquu1ULEfS3sEqsWkEvKyGgWa9mV17BzM2/BQJ9O6iKcaY0GBeIKIv7totUt9sWh+thKX3C&#10;4TnpLlKP1LnMJIj5IuNpqlGlqOjb30qTKXZPkNNkXVD1PZxBMtYnX1kURlMbL2xDVCNBn+IUgbGI&#10;kvGyio1ULLXIsePR/hRwxtIG3otByJV8FqlMHQv/rMCRSZfQ4dXixn6k7PAxMFneJ+GDNBAWd7Za&#10;AGTddNwYXd0rO+5Fm0Roz5rCjMR1/FZpN0Xlo33NZ37iW/8NT3IVsqRdyRbnubCeA2agDOLqI7XY&#10;gHDis4Cj97IbFkTqeJcdk1ZCSWdE65F03lD/vxqGAIFUz97Y6n5h153XuekW8rd5SHEX9S8b5jvL&#10;kugBiGLxo3IOWGuRd8HFmnRkodiRN/L0SXx2+5UGO1pjt6VZVIlxpAExMuliLWXew6iRaJZcly03&#10;osnPSclPxKbbuUXpwMNVfdZPprh5FPa1im0bXOPWocFVgP+aYOwUM1WUjofyV/YgAboY88FNFUWR&#10;dAEuyTw+YUNKf+5moCKw91CqM51UUV6wY44+2L0RwY4X1HRhY1O4/WXhSVKW+AAHw4pKVJqTFRg3&#10;zN8ja+ID4EQSAYFvwN5JqG/fRTaouMSECV1SG5T44s3MqvYHO8akLm0FsjfUGf0XIsPD622tUYNa&#10;VX0y/AHU77Zvqdi7Pq3Evxbi0pOxP2Qqcvn/WP5RWfw3OFcP3uHvQmBsgMBJCOkhlcWfZneV9T/3&#10;8p/oWrSzonXu+zf7D3raDYWzSaXpdmaMl7hDGTJ4mxkgymml1KZ3Z2pkOCZoo6UHfNh/3Dc9W78/&#10;gkljYciqaMRHi8Z8yT2C0IKxj8mSEWx9UBMKjR4mU86wv19DNqERLzdSBUtnh2yUoU+qW00z/sqG&#10;LhQWYVOF7SReMlcTc4zEOtwtZn2A//uJj/1iwemcyNTVY8UgO/DKbbOhajXG/LurPbaDOCT5cPkN&#10;Yb4eV6pO7tFuhIerz4JF9YJea+MGdinoOuQmHpec9yd/YxRo4/OMduMP1ULrSEbLS4wYIT/8bEcX&#10;ZSXHj4fffG63+h/yzh+yzd+Eh3+DNT/1BKoaAic1hBwof8L6D49fIsQPfEGRrShtrACJfb9bwClw&#10;yA0Qldsc/LVoA7F4swa95mm31OAHngVJ0QPOHYwrkzwL0iOqPZxJt7zMWHgk+06XMXTCL3ntFqh+&#10;2A0Yj/dl2mPwk93q8yM49XulBac+UrwgtsR/gSKQMxHGSSlH1m2cd2bXGdvFm++z9ga2wEnJSuXa&#10;SOR7B4513qMaHeSlYzS+C+Hps2auqrM17hg5YQqVtj4JgmC7jGzR3rPAeeXea8b8BmW91S283ymR&#10;H1uW1gEy43BIqfpOVdQStwE6GgMd9VRe2xo76NzRYkmsvE0bK1rgfswpWaF2Hnd5O6c8DsYVL1DG&#10;UJhcDi3cLIaWG+3m+wxUjEgYZmuOKtGVp66Agpu/5AtTh2CzZgbJ2o1gtNTTzoandC1SNhdZ3eBY&#10;jsJTDNkKOBz/m115myo0HwJTAUZJSZy32RI6olnlB9DEZWGeVjjfTFO7M45V5EXmXPgxld2lF2jz&#10;Xoofu7OwvnyfXDkOf6vLF6KY1f1WzZepCIc+YMpCckflS9pk5oqlWGsSHQID0UGENVJ9wtfSa0z1&#10;dU9by3dcYHTVbJfRcnTzJlIpMsXKzKXyXtIUL8EaQnXDMVtUFDM57leHH6MBPW3p6/5Wu5SpmPPH&#10;+f1CKbzih/0Xn9P8nKL5sFryqV/S+11kd2OH4A2zSSgiMEBZbBnIuXPQX03NXWYYo6vxgCUiwU89&#10;OTRy1c56SWTedZ175IsqXzURpxtFQHl7pHq5Czfbl5iPh0ppuMAIw1M+J3veu6pqE6mjpfdg7hy8&#10;yb57C1HgoWFwfsiNP6843F8lyEJBQUORQ96NyP51zX4G+Hcd7o6mfzYApMsm+kXavw96n7bvfH4O&#10;2v2Xz4+fwX8NdsdjPxvgj/5vtzh+H+/+PY47+5/jPYZ8+svtj1sd9yG6f03hl3cgZHv/5f3npYX7&#10;7vfV9V/uGBD5+Jf7X1r7f036TnD+2QCQThDuB0f/l8PvKB0Q/43U7z/offa/G+cnSngkf3P7x1lw&#10;P879rPJXHESIYgU5U/6RY96PcL+S+SvCKETqvYvwV13zv+b+c5PeOQMgL52fYP0lxf++Re6L8Xde&#10;PycP+s3vlzT/XyP/jno80o+H/lPL+33g+2rer4Gb/+72S9u7D9b91PNXACXIGQ4B6+8L9l8Pfaei&#10;/2wASNcOoe0/nP/S1O+e/N9/+XcH4c8GgHSCpPd9/zwWf5/7/YPxLsJP0IH/J8K9Y/I+FveF/l8B&#10;9/8xnV+hFOXgfzAXLhQuFA7EDunRnd//AFBLAwQKAAAAAACHTuJAAAAAAAAAAAAAAAAACwAAAGRy&#10;cy9jaGFydHMvUEsDBBQAAAAIAIdO4kDpa25MOwcAABYYAAAVAAAAZHJzL2NoYXJ0cy9jaGFydDEu&#10;eG1s7VhJjxtFFL4j8R+a1nBCHne33R63NXbkBaOISTKKk9zL3WW7NdVLqsuzISQkFAWiCDjkFiGR&#10;CBAHyCkHlgT+DE4mp/wF3qvqttt2PDMZCAkStmTX+uqt33tVm+f2A6btUp74UVjXzXVD12joRp4f&#10;Duv61SvdQlXXEkFCj7AopHX9gCb6ucbbb226NXdEuOjFxKUaEAmTmlvXR0LEtWIxcUc0IMl6FNMQ&#10;5gYRD4iALh8WPU72gHjAipZhVIqSiJ4SIGcgEBA/zPbz0+yPBgPfpZ3IHQc0FIoLThkRoIFk5MeJ&#10;3gDhPCKo6RhlbZewum7oRRxkJByqgcNRoX1RDfJoHHrUa0c8BDXm1gdurckE5SGQakehgNNSOYNT&#10;aSogfGccF9woiIG5vs98cSDZBQaBdnsUgRzaZXp97HOa1HXXLGeKgOaSKgLf5VESDcQ6UCwqLWTW&#10;QLIbxWrRSu0BwprlWiIOGFUCmYaF0han50oWuoSxPnF3UDe5xdOls3ncuKgM3CXNjw0yFtEVXzDa&#10;oYwK6qXHKhXHLBJNTgkuZOQgGgtpjtinbfRBHN4l/KAdsSizgKl2JpTjrO/t5wzj1iLuUT43IvZx&#10;XSL4ZTrA1qDRG1EqzHfWWmvmZhEH1HybgG9jOxZtsLyYZ1RocBT6C67YbTy788nkzoNn979GCrug&#10;P9wm/+CklBKMZcdCM+Uj3uZSRLoPsmNszjHrbUuZF6Xqj/t9RkudubUJkGpskloSMd/r+ozJDh/2&#10;2yzVQLlbNVsdad6FZSzU9gAUHMNGgRYmkzyNrvws0yiSGgtxKx0MqCu2ErQcSiy5gkYqyqJEqfnO&#10;KFEbGC6/YRLJoHBrZ5TIabVatrOsX1Tvv2ajrT5L0K89aOD/ov95MnRzAYH2Tddm/9M9qYVfak+q&#10;QwUByEFAwjFhWxISsJ9GecFYNxxjY8OyNkrwqThWetqBYg7mS5ZlObZdsmzTcKyq1OwiPWB/dpQK&#10;TO67I3TnfuQdbHONRwKDXUtit+vzRGyRRGwTDnkMBiGrikvwM2ARRBFlDHKLn6hxQOeIH+raHidx&#10;XU+ujwmnusbOh4DjpappwHYhOyr4NJ6f6ednSOgCKUB/wXVNddoC+lJicI9E9BDGIexILZY/wLdH&#10;B1dIv3dY1x2zXIbTcAIGL8McJrm6rhKcluAS5KYvRfLl77iuh1AMYGHA/R0oCsKoJ1u6tgPpDs6G&#10;dAJbSEKZj0XDSehRNvArmWDj4EKUov+GbQAdyTkMXxoMlPWsbBjAJQUhwJQFdMJ8HmriIKYDKFDq&#10;+ntBWGBCEaNkYYISNeEmCxNuIh0j0408JsVTCaqiYayb9p8/35zc+PT5o9vIBcI7qclZ9TNVKQ0L&#10;V3tgIwZuMlOxFE80wOTvLmynoYe+NLPJSgJwIJgW3FW5JzSUt2LQbUdpTdKniej6UgWAv6Nob4sO&#10;4YgPaRoUaY2DM9cI1IRY96Rhg2NtIi6SIC0Hcmt7lL9wfJtyFyseSSe3viWTVM8/nCdF9zE5YAxD&#10;Sxtz8LSP2u9X7NJG0yx0Kt12oTyo2AWn45gFiOtyu+yU7Wqr9fGs5LFftuQx8+WOnYv1RVjZS6UA&#10;1KgYlmlWDaNkWPYGOodbG2WzACSmZTvVMoCKU6na0neWQcWcHQWWAnGl6TIFwFCGlVnqDiPM2yoO&#10;ZDKdDoDhj0mv6AYq+f+34ep/cEINnB6cpnCgzK8c6m/hQC5+XzEOKGAiUJ5vQepIoSuFoSxEXjtG&#10;YNhDFB/DK8Y4nUqBKJEFs6rXHNuydc3F5D+AVAXNIPagEAiHmCCGkEMxn6PZV9ftzQp+5aJ81ixl&#10;6RGwIZc1K9kweMfKrCnvsiDd8bhSROHnxFuNY7JgdIlEdigXlm5XzTWrttZcK2P2Ov6KVVJoGy9c&#10;sSZ3v5nc+HFy89fJ3cfPH302uQ+J+POjh78gwdmNC+9d6mpmgsJwBjfduvf0zg9Hj78/evjT08cP&#10;Jl/eOvrjq6N7t5/+9vDJrW+PoWHN0XjyxXeT328sLYfzQeAXXvJSfUBqRF7CcbCklhaqpZVTCyya&#10;3jzVc0o78mjjAwqPDoRJ7clHFjkKROdupytUZ5yko5ULMgVg9TNPBKSesao6Uji0BoqLWlF3csxy&#10;0jtUGJ1Yi7wJGATcT9keYMHfY/AG08xehSSLsCb/MJHF/TRnZyl7OnBSsNXmnj9k0YZuw2RrBusq&#10;PHLPIxHcPaA7X4Gl1ev08Jfk5lWXFGe5zbze8sB28LuEwlO4nUfhKTgfh8Kv+O4CR6vbgioPwF+V&#10;K6FToatd85NLIUv9Jk29np/ELbgZ7iTNNCcPSaw8DsO3g7GMd90LJP/QBqSnD3xZHKzOZ6vekNBF&#10;8Y3jn8iZHbhAdJatZWbJcd5a1Wz4OGudLmcuBo6q5l90OV/hziorq2ezeQPKcgifmVmHCKJxeJep&#10;6/y8pzIdPqxejfE5OwcEYBgopqZ7JCxLS8nn/MZfUEsDBBQAAAAIAIdO4kBRJfeIygQAAM4mAAAV&#10;AAAAZHJzL2NoYXJ0cy9zdHlsZTEueG1s7VrhbuI4EH6VKA/QAF0oVKVStwjpJHpb7a20v03igO+c&#10;OGebpfTpb8ZOQkygtNuUArrmD56kjueb8TfjmdyE6jqcE6n/0itOvaeEpyBQQ3+udXYdBCqc04So&#10;i4SFUigR64tQJIGIYxbSIJJkydJZ0Gm1O8F6Fj+fhtRmERlN4RWxkAnR6kLIWTFHwmGWVi9ICEt9&#10;j0VDv9Nt+7c3sDzyxNQPpjk1I55+pzE88DT0W35gRDHjvCakcUxDXRPHIl0LE5YKCS8h10rOpvdc&#10;er8IH/rdAV5GzhfJg4isuNdttcwryTWIv8WxFV8W4qCc5vYmgHXnrzJLjGj8/VF66nnot3EW7x8q&#10;U/gNOqMS+LirZkg0nQm5ugPlT1hvlT1KxJen3nLoD7qdru+FJBv6MScafiYZWFqlM98jfAaAhDq3&#10;h+AsGoNda8YZDfCqGaddWME1Tr8QO8YBQ1Xnl2KRRmgFXKc1hl03WKViuMF2u9UsZTbCnaTES0QE&#10;O4lwLpZ/CtTm2y8qJYsoaGtkE5bSQgYqwfsO4N7gf+iCudtVvbSwloOOszXG5s/87waI52xh5Ec0&#10;qN3KRJMJmVJwzcPY60sLr5rHXxWu7Xp8pxA7Hg8rrRp6v1dHjpbl6B4dd6EPpfoHMPH7fNzQUZU7&#10;nN3xdYxXzVKlSVxLlQZ0LOVsq7czEhh6KqIVxBopNIZIT2XhmEmlJ0TpRyIhKLd9D3hII/HEQEPA&#10;upxlvjcX8nlThs9BFIc7vreUSNzq3wWR1Pf4Hylw22Wve9XzPW0G7X6n3/c9Wb0zrd4haQhTWZb3&#10;7OBewxgDPeid3S000KTOmcnqYfl4qwOi8FGw9HXumGcTCvOcMtQTeGPJhDaNML79juxhP71aqmwP&#10;Wl27q99OtzW/wATChaMcXY5etVuPDZ5O9wsEqZf3265o9DI8OSAlQBiE6xAZyW5nMXHaPNN09vla&#10;/+n0u1dFNiXT6DehItc7sx/Hp0qQStgeiIQktingjs39TKr6Ed5XgW0DyglZQWj11CqZCjiFhEyG&#10;HIhWsWcKZxJkqeom/8kkjSVJTtF1K+eAj/dcFyjE/AeZnvRhskhhUnOmAL/Ac8vZnq9ci0VimX4l&#10;W2jHbo/Dk/Hu4N1E3u5kg02auYnMemNxLweSit0iKbIynhzFgbe57XPXw8sE42rtqCwSuUeAsqS0&#10;+wiwL0BXsYTigpBHtTuaA/bQDutgCcckcUSc4xA/0n8p2Jr5rlc/g+ITh3T3gfx9TPo05yWHrA5i&#10;flwHtJRgbbmeHX9WmGoO4nEHrxrDFWUnl+AGhfi3Ca6O55xNxLmGj34Lr63gbmk9ILi2kAuh2HYw&#10;TBXbyUleDMsulpREVJ4rtIeOzHwDTTqjaXQoQmgiWgK9va1mzNcqZlyYivlptUCQ0YuVG0sVg8vR&#10;6SqSl7sUlYyqE28n7u9bbKhph/9TGra133/Y2EBTn1FTHovN3tQ0TCqteWyeGNmUKIqJc/7RARLF&#10;Wnstgdnxbp3djeSYq8i2C2F78u+pxWXQYRoRNbffRKiVGgmdt4ndnrqBzgGshO+gXdVPiZBbVF1k&#10;R3Vgd1JHp7m5q9lyylWpNfjw4c+Cnn10dLVcQjO/TlmfdUItaxjoUPuLGnbxyCbrD89u/wNQSwME&#10;FAAAAAgAh07iQGkzD84RAQAAXAMAABYAAABkcnMvY2hhcnRzL2NvbG9yczEueG1snZPRboMgGIVf&#10;xfAAgg6tmtqkuvRu2cWegCEoCUgDrFvffminm6s3lbv/P57vHEnYU1tQLbV5c1fJgi8le7+wJeic&#10;OxcQWtoxRWyoBDXaau5CqhXUnAvKYGPIp+hbGKMohrQjxo0U8IMhdxR9Zr2P4Noo4myoTTsxlPQU&#10;lEJFRA8CxVxXAnqlkoFANCWIEDjsSWFN+15LE1yILAE+ZVH1DOCdUKME4TUhr6oqyVccGUrxMV4R&#10;cHWs63RFOO3yFI+Cv8ALMYI4oXvf5e84NJMf6kU3t8Yp8meAweVXy2npySbPuH7l/Ibyl7Ud9UD8&#10;XHkZjzfEJxs8u8mzjH+a1g/8yYx6wDNXXsbP63+oYfx9TId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EQAAAGRycy9jaGFydHMvX3JlbHMvUEsDBBQAAAAIAIdO4kB1kHGC9wAAACECAAAgAAAA&#10;ZHJzL2NoYXJ0cy9fcmVscy9jaGFydDEueG1sLnJlbHOtkU1LxDAQhu+C/yHM3aRdQUQ23YMi7FVX&#10;PGfT6QdNMiUTZfvvTRHRLtWTxyTked55Z7s7eSfeMXJPQUMpCxAYLNV9aDW8HB6vbkFwMqE2jgJq&#10;mJBhV11ebJ/QmZQ/cdePLDIlsIYupfFOKbYdesOSRgz5paHoTcrH2KrR2MG0qDZFcaPiTwZUC6bY&#10;1xrivr4GcZjGbD5j+95GYmqStOQVNU1vZ2pZLqnKdiame3IUn9PkMNNMbDFpsPMdlzIHBLXu3vyH&#10;+0zLc4o/reUv1pU2P8d+IPvmMaSVUr/6/h5bSoX+iPW8YVavFIcj0ZADOT7NPajFYqsPUEsDBAoA&#10;AAAAAIdO4kAAAAAAAAAAAAAAAAAKAAAAZHJzL19yZWxzL1BLAwQUAAAACACHTuJAqxbNRrMAAAAi&#10;AQAAGQAAAGRycy9fcmVscy9lMm9Eb2MueG1sLnJlbHOFj80KwjAQhO+C7xD2btN6EJEmvYjQq9QH&#10;WNLtD7ZJyEaxb2/Qi4LgcXaYb3bK6jFP4k6BR2cVFFkOgqxx7Wh7BZfmtNmD4Ii2xclZUrAQQ6XX&#10;q/JME8YU4mH0LBLFsoIhRn+Qks1AM3LmPNnkdC7MGJMMvfRortiT3Ob5ToZPBugvpqhbBaFuCxDN&#10;4lPzf7brutHQ0ZnbTDb+qJBmwBATEENPUcFL8vtaZOlTkLqUX8v0E1BLAwQUAAAACACHTuJAlTps&#10;pz8BAACXAwAAEwAAAFtDb250ZW50X1R5cGVzXS54bWydk8tOwzAQRfdI/EPkLWrcdoEQatoFKUtA&#10;qHyAZU+aCL/kcdP075m4qZAQJS0ry497z9wZebHqjM5aCNg4W7BZPmUZWOlUY7cF+9g8Tx5YhlFY&#10;JbSzULADIFstb28Wm4MHzEhtsWB1jP6Rc5Q1GIG582DppnLBiEjbsOVeyE+xBT6fTu+5dDaCjZPY&#10;e7DlooRK7HTM1h0dHyvpNHYsezo+7FkFE97rRopIlfLWqh+UiauqRoJycmfIO0cfQCisAaLReVoZ&#10;/xUVQON1qCFMTspUDtaNxztKfIbQ35zPMuheaQqhUZC9iRBfhKHEXAXksqb9sMzyv63G26KC2NNs&#10;qSXJ91T0GNxpF/ASusFhEEd/mYTxoOFCEvZv/wFKujGGcnsboL2gid8xyoAlyd6hHXOHuSudvNZ8&#10;nVQnb56+1fILUEsBAhQAFAAAAAgAh07iQJU6bKc/AQAAlwMAABMAAAAAAAAAAQAgAAAA7TQAAFtD&#10;b250ZW50X1R5cGVzXS54bWxQSwECFAAKAAAAAACHTuJAAAAAAAAAAAAAAAAABgAAAAAAAAAAABAA&#10;AABZMQAAX3JlbHMvUEsBAhQAFAAAAAgAh07iQIoUZjzRAAAAlAEAAAsAAAAAAAAAAQAgAAAAfTEA&#10;AF9yZWxzLy5yZWxzUEsBAhQACgAAAAAAh07iQAAAAAAAAAAAAAAAAAQAAAAAAAAAAAAQAAAAAAAA&#10;AGRycy9QSwECFAAKAAAAAACHTuJAAAAAAAAAAAAAAAAACgAAAAAAAAAAABAAAADbMwAAZHJzL19y&#10;ZWxzL1BLAQIUABQAAAAIAIdO4kCrFs1GswAAACIBAAAZAAAAAAAAAAEAIAAAAAM0AABkcnMvX3Jl&#10;bHMvZTJvRG9jLnhtbC5yZWxzUEsBAhQACgAAAAAAh07iQAAAAAAAAAAAAAAAAAsAAAAAAAAAAAAQ&#10;AAAAgCMAAGRycy9jaGFydHMvUEsBAhQACgAAAAAAh07iQAAAAAAAAAAAAAAAABEAAAAAAAAAAAAQ&#10;AAAAdzIAAGRycy9jaGFydHMvX3JlbHMvUEsBAhQAFAAAAAgAh07iQHWQcYL3AAAAIQIAACAAAAAA&#10;AAAAAQAgAAAApjIAAGRycy9jaGFydHMvX3JlbHMvY2hhcnQxLnhtbC5yZWxzUEsBAhQAFAAAAAgA&#10;h07iQOlrbkw7BwAAFhgAABUAAAAAAAAAAQAgAAAAqSMAAGRycy9jaGFydHMvY2hhcnQxLnhtbFBL&#10;AQIUABQAAAAIAIdO4kBpMw/OEQEAAFwDAAAWAAAAAAAAAAEAIAAAABQwAABkcnMvY2hhcnRzL2Nv&#10;bG9yczEueG1sUEsBAhQAFAAAAAgAh07iQFEl94jKBAAAziYAABUAAAAAAAAAAQAgAAAAFysAAGRy&#10;cy9jaGFydHMvc3R5bGUxLnhtbFBLAQIUABQAAAAIAIdO4kCsqWrE0wAAAAUBAAAPAAAAAAAAAAEA&#10;IAAAACIAAABkcnMvZG93bnJldi54bWxQSwECFAAUAAAACACHTuJAJWDjWQsBAACFAgAADgAAAAAA&#10;AAABACAAAAAiAQAAZHJzL2Uyb0RvYy54bWxQSwECFAAKAAAAAACHTuJAAAAAAAAAAAAAAAAADwAA&#10;AAAAAAAAABAAAABZAgAAZHJzL2VtYmVkZGluZ3MvUEsBAhQAFAAAAAgAh07iQP885uO/IAAAMiYA&#10;AB0AAAAAAAAAAQAgAAAAhgIAAGRycy9lbWJlZGRpbmdzL1dvcmtib29rMS54bHN4UEsFBgAAAAAQ&#10;ABAA8AMAAF02AAAAAA==&#10;">
            <v:path/>
            <v:fill on="f" focussize="0,0"/>
            <v:stroke on="f"/>
            <v:imagedata r:id="rId18" o:title=""/>
            <o:lock v:ext="edit" aspectratio="f"/>
            <w10:wrap type="none"/>
            <w10:anchorlock/>
          </v:shape>
          <o:OLEObject Type="Embed" ProgID="Excel.Sheet.8" ShapeID="_x0000_i1027" DrawAspect="Content" ObjectID="_1468075727" r:id="rId17">
            <o:LockedField>false</o:LockedField>
          </o:OLEObject>
        </w:object>
      </w:r>
    </w:p>
    <w:p w14:paraId="4EA5A46D">
      <w:pPr>
        <w:spacing w:line="360" w:lineRule="auto"/>
        <w:ind w:firstLine="1609" w:firstLineChars="503"/>
        <w:rPr>
          <w:rFonts w:ascii="仿宋" w:hAnsi="仿宋" w:eastAsia="仿宋"/>
          <w:color w:val="auto"/>
          <w:sz w:val="32"/>
          <w:szCs w:val="32"/>
        </w:rPr>
      </w:pPr>
      <w:r>
        <w:rPr>
          <w:rFonts w:hint="eastAsia" w:ascii="仿宋" w:hAnsi="仿宋" w:eastAsia="仿宋"/>
          <w:color w:val="auto"/>
          <w:sz w:val="32"/>
          <w:szCs w:val="32"/>
        </w:rPr>
        <w:t>图7：“三公”经费财政拨款支出结构</w:t>
      </w:r>
    </w:p>
    <w:p w14:paraId="76707BFF">
      <w:pPr>
        <w:pStyle w:val="2"/>
        <w:spacing w:before="93" w:line="360" w:lineRule="auto"/>
        <w:rPr>
          <w:color w:val="auto"/>
        </w:rPr>
      </w:pPr>
    </w:p>
    <w:p w14:paraId="65CD7587">
      <w:pPr>
        <w:spacing w:line="360" w:lineRule="auto"/>
        <w:ind w:firstLine="640"/>
        <w:rPr>
          <w:rFonts w:ascii="仿宋_GB2312" w:eastAsia="仿宋_GB2312"/>
          <w:color w:val="auto"/>
          <w:sz w:val="32"/>
          <w:szCs w:val="32"/>
        </w:rPr>
      </w:pPr>
      <w:r>
        <w:rPr>
          <w:rFonts w:ascii="仿宋_GB2312" w:eastAsia="仿宋_GB2312"/>
          <w:b/>
          <w:color w:val="auto"/>
          <w:sz w:val="32"/>
          <w:szCs w:val="32"/>
        </w:rPr>
        <w:t>1.</w:t>
      </w:r>
      <w:r>
        <w:rPr>
          <w:rFonts w:hint="eastAsia" w:ascii="仿宋_GB2312" w:eastAsia="仿宋_GB2312"/>
          <w:b/>
          <w:color w:val="auto"/>
          <w:sz w:val="32"/>
          <w:szCs w:val="32"/>
        </w:rPr>
        <w:t>因公出国（境）经费支出</w:t>
      </w:r>
      <w:r>
        <w:rPr>
          <w:rFonts w:hint="eastAsia" w:ascii="仿宋_GB2312" w:eastAsia="仿宋_GB2312"/>
          <w:color w:val="auto"/>
          <w:sz w:val="32"/>
          <w:szCs w:val="32"/>
        </w:rPr>
        <w:t>0万元</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全年安排因公出国（境）团组0次，出国（境）0人。因公出国（境）支出决算与</w:t>
      </w:r>
      <w:r>
        <w:rPr>
          <w:rFonts w:ascii="仿宋_GB2312" w:eastAsia="仿宋_GB2312"/>
          <w:color w:val="auto"/>
          <w:sz w:val="32"/>
          <w:szCs w:val="32"/>
        </w:rPr>
        <w:t>20</w:t>
      </w:r>
      <w:r>
        <w:rPr>
          <w:rFonts w:hint="eastAsia" w:ascii="仿宋_GB2312" w:eastAsia="仿宋_GB2312"/>
          <w:color w:val="auto"/>
          <w:sz w:val="32"/>
          <w:szCs w:val="32"/>
        </w:rPr>
        <w:t>20年持平。</w:t>
      </w:r>
    </w:p>
    <w:p w14:paraId="0543EE07">
      <w:pPr>
        <w:spacing w:line="360" w:lineRule="auto"/>
        <w:ind w:firstLine="640"/>
        <w:rPr>
          <w:rFonts w:ascii="仿宋_GB2312" w:eastAsia="仿宋_GB2312"/>
          <w:b/>
          <w:color w:val="auto"/>
          <w:sz w:val="32"/>
          <w:szCs w:val="32"/>
        </w:rPr>
      </w:pPr>
      <w:r>
        <w:rPr>
          <w:rFonts w:ascii="仿宋_GB2312" w:eastAsia="仿宋_GB2312"/>
          <w:b/>
          <w:color w:val="auto"/>
          <w:sz w:val="32"/>
          <w:szCs w:val="32"/>
        </w:rPr>
        <w:t>2.</w:t>
      </w:r>
      <w:r>
        <w:rPr>
          <w:rFonts w:hint="eastAsia" w:ascii="仿宋_GB2312" w:eastAsia="仿宋_GB2312"/>
          <w:b/>
          <w:color w:val="auto"/>
          <w:sz w:val="32"/>
          <w:szCs w:val="32"/>
        </w:rPr>
        <w:t>公务用车购置及运行维护费支出</w:t>
      </w:r>
      <w:r>
        <w:rPr>
          <w:rFonts w:hint="eastAsia" w:ascii="仿宋_GB2312" w:eastAsia="仿宋_GB2312"/>
          <w:color w:val="auto"/>
          <w:sz w:val="32"/>
          <w:szCs w:val="32"/>
        </w:rPr>
        <w:t>0万元</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公务用车购置及运行维护费支出决算与</w:t>
      </w:r>
      <w:r>
        <w:rPr>
          <w:rFonts w:ascii="仿宋_GB2312" w:eastAsia="仿宋_GB2312"/>
          <w:color w:val="auto"/>
          <w:sz w:val="32"/>
          <w:szCs w:val="32"/>
        </w:rPr>
        <w:t>20</w:t>
      </w:r>
      <w:r>
        <w:rPr>
          <w:rFonts w:hint="eastAsia" w:ascii="仿宋_GB2312" w:eastAsia="仿宋_GB2312"/>
          <w:color w:val="auto"/>
          <w:sz w:val="32"/>
          <w:szCs w:val="32"/>
        </w:rPr>
        <w:t>20年持平。</w:t>
      </w:r>
    </w:p>
    <w:p w14:paraId="6B945A35">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其中：</w:t>
      </w:r>
      <w:r>
        <w:rPr>
          <w:rFonts w:hint="eastAsia" w:ascii="仿宋_GB2312" w:eastAsia="仿宋_GB2312"/>
          <w:b/>
          <w:color w:val="auto"/>
          <w:sz w:val="32"/>
          <w:szCs w:val="32"/>
        </w:rPr>
        <w:t>公务用车购置支出</w:t>
      </w:r>
      <w:r>
        <w:rPr>
          <w:rFonts w:hint="eastAsia" w:ascii="仿宋_GB2312" w:eastAsia="仿宋_GB2312"/>
          <w:color w:val="auto"/>
          <w:sz w:val="32"/>
          <w:szCs w:val="32"/>
        </w:rPr>
        <w:t>0万元。全年按规定更新购置公务用车0辆。截至</w:t>
      </w:r>
      <w:r>
        <w:rPr>
          <w:rFonts w:ascii="仿宋_GB2312" w:eastAsia="仿宋_GB2312"/>
          <w:color w:val="auto"/>
          <w:sz w:val="32"/>
          <w:szCs w:val="32"/>
        </w:rPr>
        <w:t>20</w:t>
      </w:r>
      <w:r>
        <w:rPr>
          <w:rFonts w:hint="eastAsia" w:ascii="仿宋_GB2312" w:eastAsia="仿宋_GB2312"/>
          <w:color w:val="auto"/>
          <w:sz w:val="32"/>
          <w:szCs w:val="32"/>
        </w:rPr>
        <w:t>21年</w:t>
      </w:r>
      <w:r>
        <w:rPr>
          <w:rFonts w:ascii="仿宋_GB2312" w:eastAsia="仿宋_GB2312"/>
          <w:color w:val="auto"/>
          <w:sz w:val="32"/>
          <w:szCs w:val="32"/>
        </w:rPr>
        <w:t>12</w:t>
      </w:r>
      <w:r>
        <w:rPr>
          <w:rFonts w:hint="eastAsia" w:ascii="仿宋_GB2312" w:eastAsia="仿宋_GB2312"/>
          <w:color w:val="auto"/>
          <w:sz w:val="32"/>
          <w:szCs w:val="32"/>
        </w:rPr>
        <w:t>月底，单位共有公务用车0辆。</w:t>
      </w:r>
    </w:p>
    <w:p w14:paraId="135E4D39">
      <w:pPr>
        <w:spacing w:line="360" w:lineRule="auto"/>
        <w:ind w:firstLine="640"/>
        <w:rPr>
          <w:rFonts w:ascii="仿宋_GB2312" w:eastAsia="仿宋_GB2312"/>
          <w:color w:val="auto"/>
          <w:sz w:val="32"/>
          <w:szCs w:val="32"/>
        </w:rPr>
      </w:pPr>
      <w:r>
        <w:rPr>
          <w:rFonts w:hint="eastAsia" w:ascii="仿宋_GB2312" w:eastAsia="仿宋_GB2312"/>
          <w:b/>
          <w:color w:val="auto"/>
          <w:sz w:val="32"/>
          <w:szCs w:val="32"/>
        </w:rPr>
        <w:t>公务用车运行维护费支出</w:t>
      </w:r>
      <w:r>
        <w:rPr>
          <w:rFonts w:hint="eastAsia" w:ascii="仿宋_GB2312" w:eastAsia="仿宋_GB2312"/>
          <w:color w:val="auto"/>
          <w:sz w:val="32"/>
          <w:szCs w:val="32"/>
        </w:rPr>
        <w:t>0万元。</w:t>
      </w:r>
    </w:p>
    <w:p w14:paraId="06372315">
      <w:pPr>
        <w:spacing w:line="360" w:lineRule="auto"/>
        <w:ind w:firstLine="640"/>
        <w:rPr>
          <w:rFonts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rPr>
        <w:t>0.25万元，</w:t>
      </w:r>
      <w:r>
        <w:rPr>
          <w:rStyle w:val="15"/>
          <w:rFonts w:hint="eastAsia" w:ascii="仿宋" w:hAnsi="仿宋" w:eastAsia="仿宋"/>
          <w:b w:val="0"/>
          <w:bCs/>
          <w:color w:val="auto"/>
          <w:sz w:val="32"/>
          <w:szCs w:val="32"/>
        </w:rPr>
        <w:t>完成预算100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20年减少0.03万元，下降10.71</w:t>
      </w:r>
      <w:r>
        <w:rPr>
          <w:rFonts w:ascii="仿宋_GB2312" w:eastAsia="仿宋_GB2312"/>
          <w:color w:val="auto"/>
          <w:sz w:val="32"/>
          <w:szCs w:val="32"/>
        </w:rPr>
        <w:t>%</w:t>
      </w:r>
      <w:r>
        <w:rPr>
          <w:rFonts w:hint="eastAsia" w:ascii="仿宋_GB2312" w:eastAsia="仿宋_GB2312"/>
          <w:color w:val="auto"/>
          <w:sz w:val="32"/>
          <w:szCs w:val="32"/>
        </w:rPr>
        <w:t>。主要原因是接待批次减少，陪同人次减少。其中：</w:t>
      </w:r>
    </w:p>
    <w:p w14:paraId="1EFD7369">
      <w:pPr>
        <w:spacing w:line="360" w:lineRule="auto"/>
        <w:ind w:firstLine="640"/>
        <w:rPr>
          <w:rFonts w:ascii="仿宋_GB2312" w:eastAsia="仿宋_GB2312"/>
          <w:color w:val="auto"/>
          <w:sz w:val="32"/>
          <w:szCs w:val="32"/>
        </w:rPr>
      </w:pPr>
      <w:r>
        <w:rPr>
          <w:rFonts w:hint="eastAsia" w:ascii="仿宋" w:hAnsi="仿宋" w:eastAsia="仿宋"/>
          <w:b/>
          <w:color w:val="auto"/>
          <w:sz w:val="32"/>
          <w:szCs w:val="32"/>
        </w:rPr>
        <w:t>国内公务接待支出</w:t>
      </w:r>
      <w:r>
        <w:rPr>
          <w:rFonts w:hint="eastAsia" w:ascii="仿宋" w:hAnsi="仿宋" w:eastAsia="仿宋"/>
          <w:color w:val="auto"/>
          <w:sz w:val="32"/>
          <w:szCs w:val="32"/>
        </w:rPr>
        <w:t>0.25</w:t>
      </w:r>
      <w:r>
        <w:rPr>
          <w:rFonts w:hint="eastAsia" w:ascii="仿宋_GB2312" w:eastAsia="仿宋_GB2312"/>
          <w:color w:val="auto"/>
          <w:sz w:val="32"/>
          <w:szCs w:val="32"/>
        </w:rPr>
        <w:t>万元，主要用于开展业务活动开支用餐费。国内公务接待1批次，38人次（不包括陪同人员），共计支出0.25万元，具体内容包括：接待市医保局及省级检查组赴盐边开展2021年度四川省医疗保障基金省级飞行检查，餐费支出0.25万元。</w:t>
      </w:r>
    </w:p>
    <w:p w14:paraId="70A8D557">
      <w:pPr>
        <w:spacing w:line="360" w:lineRule="auto"/>
        <w:ind w:firstLine="643" w:firstLineChars="200"/>
        <w:rPr>
          <w:rFonts w:ascii="仿宋_GB2312" w:eastAsia="仿宋_GB2312"/>
          <w:color w:val="auto"/>
          <w:sz w:val="32"/>
          <w:szCs w:val="32"/>
        </w:rPr>
      </w:pPr>
      <w:r>
        <w:rPr>
          <w:rFonts w:hint="eastAsia" w:ascii="仿宋" w:hAnsi="仿宋" w:eastAsia="仿宋"/>
          <w:b/>
          <w:color w:val="auto"/>
          <w:sz w:val="32"/>
          <w:szCs w:val="32"/>
        </w:rPr>
        <w:t>外事接待支出</w:t>
      </w:r>
      <w:r>
        <w:rPr>
          <w:rFonts w:hint="eastAsia" w:ascii="仿宋" w:hAnsi="仿宋" w:eastAsia="仿宋"/>
          <w:color w:val="auto"/>
          <w:sz w:val="32"/>
          <w:szCs w:val="32"/>
        </w:rPr>
        <w:t>0</w:t>
      </w:r>
      <w:r>
        <w:rPr>
          <w:rFonts w:hint="eastAsia" w:ascii="仿宋_GB2312" w:eastAsia="仿宋_GB2312"/>
          <w:color w:val="auto"/>
          <w:sz w:val="32"/>
          <w:szCs w:val="32"/>
        </w:rPr>
        <w:t>万元。</w:t>
      </w:r>
    </w:p>
    <w:p w14:paraId="7089C89A">
      <w:pPr>
        <w:spacing w:line="360" w:lineRule="auto"/>
        <w:ind w:firstLine="640"/>
        <w:outlineLvl w:val="1"/>
        <w:rPr>
          <w:rFonts w:ascii="黑体" w:eastAsia="黑体"/>
          <w:color w:val="auto"/>
          <w:sz w:val="32"/>
          <w:szCs w:val="32"/>
        </w:rPr>
      </w:pPr>
      <w:bookmarkStart w:id="51" w:name="_Toc15377218"/>
      <w:bookmarkStart w:id="52" w:name="_Toc15396610"/>
    </w:p>
    <w:p w14:paraId="6FB74536">
      <w:pPr>
        <w:spacing w:line="360" w:lineRule="auto"/>
        <w:ind w:firstLine="640"/>
        <w:outlineLvl w:val="1"/>
        <w:rPr>
          <w:rStyle w:val="26"/>
          <w:rFonts w:ascii="黑体" w:hAnsi="黑体" w:eastAsia="黑体"/>
          <w:color w:val="auto"/>
        </w:rPr>
      </w:pPr>
      <w:r>
        <w:rPr>
          <w:rFonts w:hint="eastAsia" w:ascii="黑体" w:eastAsia="黑体"/>
          <w:color w:val="auto"/>
          <w:sz w:val="32"/>
          <w:szCs w:val="32"/>
        </w:rPr>
        <w:t>八、</w:t>
      </w:r>
      <w:r>
        <w:rPr>
          <w:rStyle w:val="26"/>
          <w:rFonts w:hint="eastAsia" w:ascii="黑体" w:hAnsi="黑体" w:eastAsia="黑体"/>
          <w:b w:val="0"/>
          <w:color w:val="auto"/>
        </w:rPr>
        <w:t>政府性基金预算支出决算情况说明</w:t>
      </w:r>
      <w:bookmarkEnd w:id="51"/>
      <w:bookmarkEnd w:id="52"/>
    </w:p>
    <w:p w14:paraId="26AE2734">
      <w:pPr>
        <w:spacing w:line="360" w:lineRule="auto"/>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21年政府性基金预算财政拨款支出35.4万元。</w:t>
      </w:r>
    </w:p>
    <w:p w14:paraId="0DAB839A">
      <w:pPr>
        <w:spacing w:line="360" w:lineRule="auto"/>
        <w:ind w:firstLine="640"/>
        <w:rPr>
          <w:rFonts w:ascii="仿宋_GB2312" w:eastAsia="仿宋_GB2312"/>
          <w:color w:val="auto"/>
          <w:sz w:val="32"/>
          <w:szCs w:val="32"/>
        </w:rPr>
      </w:pPr>
    </w:p>
    <w:p w14:paraId="46B0295B">
      <w:pPr>
        <w:numPr>
          <w:ilvl w:val="0"/>
          <w:numId w:val="2"/>
        </w:numPr>
        <w:spacing w:line="360" w:lineRule="auto"/>
        <w:ind w:firstLine="640"/>
        <w:outlineLvl w:val="1"/>
        <w:rPr>
          <w:rStyle w:val="26"/>
          <w:rFonts w:ascii="黑体" w:hAnsi="黑体" w:eastAsia="黑体"/>
          <w:b w:val="0"/>
          <w:color w:val="auto"/>
        </w:rPr>
      </w:pPr>
      <w:bookmarkStart w:id="53" w:name="_Toc15377219"/>
      <w:bookmarkStart w:id="54" w:name="_Toc15396611"/>
      <w:r>
        <w:rPr>
          <w:rStyle w:val="26"/>
          <w:rFonts w:hint="eastAsia" w:ascii="黑体" w:hAnsi="黑体" w:eastAsia="黑体"/>
          <w:b w:val="0"/>
          <w:color w:val="auto"/>
        </w:rPr>
        <w:t>国有资本经营预算支出决算情况说明</w:t>
      </w:r>
      <w:bookmarkEnd w:id="53"/>
      <w:bookmarkEnd w:id="54"/>
    </w:p>
    <w:p w14:paraId="7AC50A01">
      <w:pPr>
        <w:spacing w:line="360" w:lineRule="auto"/>
        <w:ind w:firstLine="64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21年国有资本经营预算财政拨款支出0万元。</w:t>
      </w:r>
    </w:p>
    <w:p w14:paraId="6944873F">
      <w:pPr>
        <w:spacing w:line="360" w:lineRule="auto"/>
        <w:jc w:val="center"/>
        <w:rPr>
          <w:rFonts w:ascii="方正小标宋简体" w:hAnsi="方正小标宋简体" w:eastAsia="方正小标宋简体" w:cs="方正小标宋简体"/>
          <w:color w:val="auto"/>
          <w:sz w:val="44"/>
          <w:szCs w:val="44"/>
        </w:rPr>
      </w:pPr>
    </w:p>
    <w:p w14:paraId="504309FD">
      <w:pPr>
        <w:numPr>
          <w:ilvl w:val="0"/>
          <w:numId w:val="2"/>
        </w:numPr>
        <w:spacing w:line="360" w:lineRule="auto"/>
        <w:ind w:firstLine="640"/>
        <w:outlineLvl w:val="1"/>
        <w:rPr>
          <w:rStyle w:val="26"/>
          <w:rFonts w:ascii="黑体" w:hAnsi="黑体" w:eastAsia="黑体"/>
          <w:b w:val="0"/>
          <w:color w:val="auto"/>
        </w:rPr>
      </w:pPr>
      <w:bookmarkStart w:id="55" w:name="_Toc15396612"/>
      <w:bookmarkStart w:id="56" w:name="_Toc15377221"/>
      <w:r>
        <w:rPr>
          <w:rStyle w:val="26"/>
          <w:rFonts w:hint="eastAsia" w:ascii="黑体" w:hAnsi="黑体" w:eastAsia="黑体"/>
          <w:b w:val="0"/>
          <w:color w:val="auto"/>
        </w:rPr>
        <w:t>其他重要事项的情况说明</w:t>
      </w:r>
      <w:bookmarkEnd w:id="55"/>
      <w:bookmarkEnd w:id="56"/>
    </w:p>
    <w:p w14:paraId="0DC17193">
      <w:pPr>
        <w:spacing w:line="360" w:lineRule="auto"/>
        <w:ind w:firstLine="643" w:firstLineChars="200"/>
        <w:outlineLvl w:val="2"/>
        <w:rPr>
          <w:rFonts w:ascii="仿宋" w:hAnsi="仿宋" w:eastAsia="仿宋"/>
          <w:color w:val="auto"/>
          <w:sz w:val="32"/>
          <w:szCs w:val="32"/>
        </w:rPr>
      </w:pPr>
      <w:bookmarkStart w:id="57" w:name="_Toc15377222"/>
      <w:r>
        <w:rPr>
          <w:rFonts w:hint="eastAsia" w:ascii="仿宋" w:hAnsi="仿宋" w:eastAsia="仿宋"/>
          <w:b/>
          <w:color w:val="auto"/>
          <w:sz w:val="32"/>
          <w:szCs w:val="32"/>
        </w:rPr>
        <w:t>（一）机关运行经费支出情况</w:t>
      </w:r>
      <w:bookmarkEnd w:id="57"/>
    </w:p>
    <w:p w14:paraId="640BF46A">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21年，县医保局机关运行经费支出29.44万元，比</w:t>
      </w:r>
      <w:r>
        <w:rPr>
          <w:rFonts w:ascii="仿宋_GB2312" w:eastAsia="仿宋_GB2312"/>
          <w:color w:val="auto"/>
          <w:sz w:val="32"/>
          <w:szCs w:val="32"/>
        </w:rPr>
        <w:t>20</w:t>
      </w:r>
      <w:r>
        <w:rPr>
          <w:rFonts w:hint="eastAsia" w:ascii="仿宋_GB2312" w:eastAsia="仿宋_GB2312"/>
          <w:color w:val="auto"/>
          <w:sz w:val="32"/>
          <w:szCs w:val="32"/>
        </w:rPr>
        <w:t>20年增加5.31万元，增长22.01</w:t>
      </w:r>
      <w:r>
        <w:rPr>
          <w:rFonts w:ascii="仿宋_GB2312" w:eastAsia="仿宋_GB2312"/>
          <w:color w:val="auto"/>
          <w:sz w:val="32"/>
          <w:szCs w:val="32"/>
        </w:rPr>
        <w:t>%</w:t>
      </w:r>
      <w:r>
        <w:rPr>
          <w:rFonts w:hint="eastAsia" w:ascii="仿宋_GB2312" w:eastAsia="仿宋_GB2312"/>
          <w:color w:val="auto"/>
          <w:sz w:val="32"/>
          <w:szCs w:val="32"/>
        </w:rPr>
        <w:t>。主要原因是人员增加，相关费用增加。</w:t>
      </w:r>
    </w:p>
    <w:p w14:paraId="176E2686">
      <w:pPr>
        <w:autoSpaceDE w:val="0"/>
        <w:autoSpaceDN w:val="0"/>
        <w:adjustRightInd w:val="0"/>
        <w:spacing w:line="360" w:lineRule="auto"/>
        <w:ind w:firstLine="643" w:firstLineChars="200"/>
        <w:jc w:val="left"/>
        <w:outlineLvl w:val="2"/>
        <w:rPr>
          <w:rFonts w:ascii="仿宋" w:hAnsi="仿宋" w:eastAsia="仿宋"/>
          <w:b/>
          <w:color w:val="auto"/>
          <w:sz w:val="32"/>
          <w:szCs w:val="32"/>
        </w:rPr>
      </w:pPr>
      <w:bookmarkStart w:id="58" w:name="_Toc15377223"/>
      <w:r>
        <w:rPr>
          <w:rFonts w:hint="eastAsia" w:ascii="仿宋" w:hAnsi="仿宋" w:eastAsia="仿宋"/>
          <w:b/>
          <w:color w:val="auto"/>
          <w:sz w:val="32"/>
          <w:szCs w:val="32"/>
        </w:rPr>
        <w:t>（二）政府采购支出情况</w:t>
      </w:r>
      <w:bookmarkEnd w:id="58"/>
    </w:p>
    <w:p w14:paraId="1E1CCECB">
      <w:pPr>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21年，县医保局政府采购支出总额10.33万元，其中：政府采购货物支出10.33万元、政府采购工程支出0万元、政府采购服务支出0万元。主要用于购买日常办公设备以及医疗保障基金监管所需办公设备。授予中小企业合同金额10.33万元，占政府采购支出总额的100</w:t>
      </w:r>
      <w:r>
        <w:rPr>
          <w:rFonts w:ascii="仿宋_GB2312" w:eastAsia="仿宋_GB2312"/>
          <w:color w:val="auto"/>
          <w:sz w:val="32"/>
          <w:szCs w:val="32"/>
        </w:rPr>
        <w:t>%</w:t>
      </w:r>
      <w:r>
        <w:rPr>
          <w:rFonts w:hint="eastAsia" w:ascii="仿宋_GB2312" w:eastAsia="仿宋_GB2312"/>
          <w:color w:val="auto"/>
          <w:sz w:val="32"/>
          <w:szCs w:val="32"/>
        </w:rPr>
        <w:t>。</w:t>
      </w:r>
    </w:p>
    <w:p w14:paraId="156CC5BD">
      <w:pPr>
        <w:autoSpaceDE w:val="0"/>
        <w:autoSpaceDN w:val="0"/>
        <w:adjustRightInd w:val="0"/>
        <w:spacing w:line="360" w:lineRule="auto"/>
        <w:ind w:firstLine="643" w:firstLineChars="200"/>
        <w:jc w:val="left"/>
        <w:outlineLvl w:val="2"/>
        <w:rPr>
          <w:rFonts w:ascii="仿宋" w:hAnsi="仿宋" w:eastAsia="仿宋"/>
          <w:b/>
          <w:color w:val="auto"/>
          <w:sz w:val="32"/>
          <w:szCs w:val="32"/>
        </w:rPr>
      </w:pPr>
      <w:bookmarkStart w:id="59" w:name="_Toc15377224"/>
      <w:r>
        <w:rPr>
          <w:rFonts w:hint="eastAsia" w:ascii="仿宋" w:hAnsi="仿宋" w:eastAsia="仿宋"/>
          <w:b/>
          <w:color w:val="auto"/>
          <w:sz w:val="32"/>
          <w:szCs w:val="32"/>
        </w:rPr>
        <w:t>（三）国有资产占有使用情况</w:t>
      </w:r>
      <w:bookmarkEnd w:id="59"/>
    </w:p>
    <w:p w14:paraId="45A5EAFB">
      <w:pPr>
        <w:autoSpaceDE w:val="0"/>
        <w:autoSpaceDN w:val="0"/>
        <w:adjustRightInd w:val="0"/>
        <w:spacing w:line="360" w:lineRule="auto"/>
        <w:ind w:firstLine="640" w:firstLineChars="200"/>
        <w:jc w:val="left"/>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rPr>
        <w:t>21年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日，县医保局共有车辆0辆，单价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p>
    <w:p w14:paraId="0E928DB4">
      <w:pPr>
        <w:autoSpaceDE w:val="0"/>
        <w:autoSpaceDN w:val="0"/>
        <w:adjustRightInd w:val="0"/>
        <w:spacing w:line="360" w:lineRule="auto"/>
        <w:ind w:firstLine="643" w:firstLineChars="200"/>
        <w:jc w:val="left"/>
        <w:outlineLvl w:val="2"/>
        <w:rPr>
          <w:rFonts w:ascii="仿宋" w:hAnsi="仿宋" w:eastAsia="仿宋"/>
          <w:b/>
          <w:color w:val="auto"/>
          <w:sz w:val="32"/>
          <w:szCs w:val="32"/>
        </w:rPr>
      </w:pPr>
      <w:r>
        <w:rPr>
          <w:rFonts w:hint="eastAsia" w:ascii="仿宋" w:hAnsi="仿宋" w:eastAsia="仿宋"/>
          <w:b/>
          <w:color w:val="auto"/>
          <w:sz w:val="32"/>
          <w:szCs w:val="32"/>
        </w:rPr>
        <w:t>（四）预算绩效管理情况</w:t>
      </w:r>
    </w:p>
    <w:p w14:paraId="577208B9">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预算绩效管理要求，本部门在2021年度预算编制阶段，组织对城乡残疾人医疗保险资助金项目、困难群众社会保险个人缴费代缴资金（医疗保险部分）项目、医疗救助资金项目、基层医疗机构业务网络通信费项目等9个项目开展了预算事前绩效评估，对9个项目编制了绩效目标，预算执行过程中，选取9个项目开展绩效监控，年终执行完毕后，对9个项目开展了绩效自评。同时，本部门对2021年部门整体开展绩效自评，《盐边县医疗保障局2021年部门整体绩效评价报告》见附件（第四部分）。</w:t>
      </w:r>
    </w:p>
    <w:p w14:paraId="48B08412">
      <w:pPr>
        <w:widowControl/>
        <w:spacing w:line="360" w:lineRule="auto"/>
        <w:jc w:val="left"/>
        <w:rPr>
          <w:rFonts w:ascii="仿宋_GB2312" w:eastAsia="仿宋_GB2312"/>
          <w:b/>
          <w:color w:val="auto"/>
          <w:sz w:val="32"/>
          <w:szCs w:val="32"/>
        </w:rPr>
      </w:pPr>
      <w:r>
        <w:rPr>
          <w:rFonts w:ascii="仿宋_GB2312" w:eastAsia="仿宋_GB2312"/>
          <w:b/>
          <w:color w:val="auto"/>
          <w:sz w:val="32"/>
          <w:szCs w:val="32"/>
        </w:rPr>
        <w:br w:type="page"/>
      </w:r>
    </w:p>
    <w:p w14:paraId="2AA43A29">
      <w:pPr>
        <w:numPr>
          <w:ilvl w:val="0"/>
          <w:numId w:val="3"/>
        </w:numPr>
        <w:spacing w:line="360" w:lineRule="auto"/>
        <w:ind w:firstLine="660" w:firstLineChars="150"/>
        <w:jc w:val="center"/>
        <w:outlineLvl w:val="0"/>
        <w:rPr>
          <w:rStyle w:val="25"/>
          <w:rFonts w:ascii="黑体" w:hAnsi="黑体" w:eastAsia="黑体"/>
          <w:b w:val="0"/>
          <w:color w:val="auto"/>
        </w:rPr>
      </w:pPr>
      <w:bookmarkStart w:id="60" w:name="_Toc15377225"/>
      <w:bookmarkStart w:id="61" w:name="_Toc15396613"/>
      <w:r>
        <w:rPr>
          <w:rFonts w:hint="eastAsia" w:ascii="黑体" w:hAnsi="黑体" w:eastAsia="黑体"/>
          <w:color w:val="auto"/>
          <w:sz w:val="44"/>
          <w:szCs w:val="44"/>
        </w:rPr>
        <w:t>名</w:t>
      </w:r>
      <w:r>
        <w:rPr>
          <w:rStyle w:val="25"/>
          <w:rFonts w:hint="eastAsia" w:ascii="黑体" w:hAnsi="黑体" w:eastAsia="黑体"/>
          <w:b w:val="0"/>
          <w:color w:val="auto"/>
        </w:rPr>
        <w:t>词解释</w:t>
      </w:r>
      <w:bookmarkEnd w:id="60"/>
      <w:bookmarkEnd w:id="61"/>
    </w:p>
    <w:p w14:paraId="73A5A2C9">
      <w:pPr>
        <w:spacing w:line="360" w:lineRule="auto"/>
        <w:jc w:val="left"/>
        <w:rPr>
          <w:rFonts w:ascii="宋体"/>
          <w:b/>
          <w:color w:val="auto"/>
          <w:sz w:val="44"/>
          <w:szCs w:val="44"/>
        </w:rPr>
      </w:pPr>
    </w:p>
    <w:p w14:paraId="066B6127">
      <w:pPr>
        <w:pStyle w:val="23"/>
        <w:spacing w:line="360"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2742C8B">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14:paraId="1C4539A6">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使用非财政拨款结余：指事业单位使用以前年度积累的非财政拨款结余弥补当年收支差额的金额。</w:t>
      </w:r>
    </w:p>
    <w:p w14:paraId="480C1A6C">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14:paraId="694F9D69">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年末结转和结余：指单位按有关规定结转到下年或以后年度继续使用的资金。</w:t>
      </w:r>
    </w:p>
    <w:p w14:paraId="5B3C033A">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.社会保障和就业支出（类）人力资源和社会保障管理事务（款）一般行政管理事务（项）：指反映行政单位（包括实行公务员管理的事业单位）未单独设置项级科目的其他项目支出。</w:t>
      </w:r>
    </w:p>
    <w:p w14:paraId="21DDD309">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.社会保障和就业支出（类）人力资源和社会保障管理事务（款）其他人力资源和社会保障管理事务支出（项）：指其他用于人力资源和社会保障管理事务方面的支出。</w:t>
      </w:r>
    </w:p>
    <w:p w14:paraId="232F0FD5">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.社会保障和就业（类）行政事业单位养老支出（款）机关事业单位基本养老保险缴费支出（项）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指反映机关事业单位实施养老保险制度由单位缴纳的基本养老保险费支出。</w:t>
      </w:r>
    </w:p>
    <w:p w14:paraId="2D1E4B48">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.社会保障和就业支出（类）财政代缴社会保险费支出（款）财政代缴其他社会保险费支出（项）：指反映在政策规定范围内，财政为生活困难人员缴纳的其他社会保险费支出。</w:t>
      </w:r>
    </w:p>
    <w:p w14:paraId="16D8C933">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.卫生健康支出（类）卫生健康管理事务（款）一般行政管理事务（项）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指反映行政单位（包括实行公务员管理的事业单位）未单独设置项级科目的其他项目支出。</w:t>
      </w:r>
    </w:p>
    <w:p w14:paraId="1085A849">
      <w:pPr>
        <w:pStyle w:val="23"/>
        <w:spacing w:line="360" w:lineRule="auto"/>
        <w:ind w:firstLine="640" w:firstLineChars="200"/>
        <w:rPr>
          <w:rFonts w:hAnsi="仿宋"/>
          <w:b/>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.卫生健康支出（类）卫生健康管理事务（款）其他卫生健康管理事务支出（项）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指反映其他用于卫生健康管理事务方面的支出。</w:t>
      </w:r>
    </w:p>
    <w:p w14:paraId="21586F9C">
      <w:pPr>
        <w:spacing w:line="360" w:lineRule="auto"/>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.卫生健康支出（类）行政事业单位医疗（款）行政单位医疗（项）</w:t>
      </w:r>
      <w:r>
        <w:rPr>
          <w:rFonts w:hint="eastAsia" w:ascii="仿宋_GB2312" w:hAnsi="Calibri" w:eastAsia="仿宋_GB2312" w:cs="仿宋"/>
          <w:color w:val="auto"/>
          <w:kern w:val="0"/>
          <w:sz w:val="32"/>
          <w:szCs w:val="32"/>
          <w:lang w:eastAsia="zh-CN"/>
        </w:rPr>
        <w:t>：</w:t>
      </w:r>
      <w:r>
        <w:rPr>
          <w:rFonts w:hint="eastAsia" w:ascii="仿宋_GB2312" w:hAnsi="Calibri" w:eastAsia="仿宋_GB2312" w:cs="仿宋"/>
          <w:color w:val="auto"/>
          <w:kern w:val="0"/>
          <w:sz w:val="32"/>
          <w:szCs w:val="32"/>
        </w:rPr>
        <w:t>指反映财政部门安排的行政单位（包括实行公务员管理的事业单位）基本医疗保险缴费经费，未参加医疗保险的行政单位的公费医疗经费，按国家规定享受离休人员、红军老战士待遇人员的医疗经费。</w:t>
      </w:r>
    </w:p>
    <w:p w14:paraId="4F6EABEF">
      <w:pPr>
        <w:spacing w:line="360" w:lineRule="auto"/>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3</w:t>
      </w:r>
      <w:r>
        <w:rPr>
          <w:rFonts w:hint="eastAsia" w:ascii="仿宋_GB2312" w:hAnsi="Calibri" w:eastAsia="仿宋_GB2312" w:cs="仿宋"/>
          <w:color w:val="auto"/>
          <w:kern w:val="0"/>
          <w:sz w:val="32"/>
          <w:szCs w:val="32"/>
        </w:rPr>
        <w:t>.卫生健康支出（类）行政事业单位医疗（款）公务员医疗补助（项）</w:t>
      </w:r>
      <w:r>
        <w:rPr>
          <w:rFonts w:hint="eastAsia" w:ascii="仿宋_GB2312" w:hAnsi="Calibri" w:eastAsia="仿宋_GB2312" w:cs="仿宋"/>
          <w:color w:val="auto"/>
          <w:kern w:val="0"/>
          <w:sz w:val="32"/>
          <w:szCs w:val="32"/>
          <w:lang w:eastAsia="zh-CN"/>
        </w:rPr>
        <w:t>：</w:t>
      </w:r>
      <w:r>
        <w:rPr>
          <w:rFonts w:hint="eastAsia" w:ascii="仿宋_GB2312" w:hAnsi="Calibri" w:eastAsia="仿宋_GB2312" w:cs="仿宋"/>
          <w:color w:val="auto"/>
          <w:kern w:val="0"/>
          <w:sz w:val="32"/>
          <w:szCs w:val="32"/>
        </w:rPr>
        <w:t>指反映财政部门安排的公务员医疗补助经费。</w:t>
      </w:r>
    </w:p>
    <w:p w14:paraId="3B7F4E35">
      <w:pPr>
        <w:spacing w:line="360" w:lineRule="auto"/>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4</w:t>
      </w:r>
      <w:r>
        <w:rPr>
          <w:rFonts w:hint="eastAsia" w:ascii="仿宋_GB2312" w:hAnsi="Calibri" w:eastAsia="仿宋_GB2312" w:cs="仿宋"/>
          <w:color w:val="auto"/>
          <w:kern w:val="0"/>
          <w:sz w:val="32"/>
          <w:szCs w:val="32"/>
        </w:rPr>
        <w:t>.卫生健康支出（类）医疗救助（款）城乡医疗救助（项）</w:t>
      </w:r>
      <w:r>
        <w:rPr>
          <w:rFonts w:hint="eastAsia" w:ascii="仿宋_GB2312" w:hAnsi="Calibri" w:eastAsia="仿宋_GB2312" w:cs="仿宋"/>
          <w:color w:val="auto"/>
          <w:kern w:val="0"/>
          <w:sz w:val="32"/>
          <w:szCs w:val="32"/>
          <w:lang w:eastAsia="zh-CN"/>
        </w:rPr>
        <w:t>：</w:t>
      </w:r>
      <w:r>
        <w:rPr>
          <w:rFonts w:hint="eastAsia" w:ascii="仿宋_GB2312" w:eastAsia="仿宋_GB2312"/>
          <w:color w:val="auto"/>
          <w:sz w:val="32"/>
          <w:szCs w:val="32"/>
        </w:rPr>
        <w:t>指反映财政用于城乡困难群众医疗救助的支出</w:t>
      </w:r>
      <w:r>
        <w:rPr>
          <w:rFonts w:hint="eastAsia" w:ascii="仿宋_GB2312" w:hAnsi="Calibri" w:eastAsia="仿宋_GB2312" w:cs="仿宋"/>
          <w:color w:val="auto"/>
          <w:kern w:val="0"/>
          <w:sz w:val="32"/>
          <w:szCs w:val="32"/>
        </w:rPr>
        <w:t>。</w:t>
      </w:r>
    </w:p>
    <w:p w14:paraId="20454780">
      <w:pPr>
        <w:spacing w:line="360" w:lineRule="auto"/>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5</w:t>
      </w:r>
      <w:r>
        <w:rPr>
          <w:rFonts w:hint="eastAsia" w:ascii="仿宋_GB2312" w:hAnsi="Calibri" w:eastAsia="仿宋_GB2312" w:cs="仿宋"/>
          <w:color w:val="auto"/>
          <w:kern w:val="0"/>
          <w:sz w:val="32"/>
          <w:szCs w:val="32"/>
        </w:rPr>
        <w:t>.卫生健康支出（类）医疗保障管理事务（款）行政运行（项）：</w:t>
      </w:r>
      <w:r>
        <w:rPr>
          <w:rFonts w:hint="eastAsia" w:ascii="仿宋_GB2312" w:eastAsia="仿宋_GB2312"/>
          <w:color w:val="auto"/>
          <w:sz w:val="32"/>
          <w:szCs w:val="32"/>
        </w:rPr>
        <w:t>指反映行政单位（包括实行公务员管理的事业单位）的基本支出。</w:t>
      </w:r>
    </w:p>
    <w:p w14:paraId="4775EA77">
      <w:pPr>
        <w:spacing w:line="360" w:lineRule="auto"/>
        <w:ind w:firstLine="640" w:firstLineChars="200"/>
        <w:rPr>
          <w:rFonts w:ascii="仿宋_GB2312" w:eastAsia="仿宋_GB2312"/>
          <w:color w:val="auto"/>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.卫生健康支出（类）医疗保障管理事务（款）其他医疗保障管理事务支出（项）：</w:t>
      </w:r>
      <w:r>
        <w:rPr>
          <w:rFonts w:hint="eastAsia" w:ascii="仿宋_GB2312" w:eastAsia="仿宋_GB2312"/>
          <w:color w:val="auto"/>
          <w:sz w:val="32"/>
          <w:szCs w:val="32"/>
        </w:rPr>
        <w:t>指反映其他用于医疗保障管理事务方面的支出。</w:t>
      </w:r>
    </w:p>
    <w:p w14:paraId="14473524">
      <w:pPr>
        <w:pStyle w:val="2"/>
        <w:spacing w:before="93" w:line="360" w:lineRule="auto"/>
        <w:ind w:firstLine="640"/>
        <w:rPr>
          <w:rFonts w:hAnsi="Calibri" w:cs="仿宋"/>
          <w:color w:val="auto"/>
          <w:sz w:val="32"/>
          <w:szCs w:val="32"/>
        </w:rPr>
      </w:pPr>
      <w:r>
        <w:rPr>
          <w:rFonts w:hint="eastAsia" w:hAnsi="Calibri" w:cs="仿宋"/>
          <w:color w:val="auto"/>
          <w:sz w:val="32"/>
          <w:szCs w:val="32"/>
          <w:lang w:val="en-US" w:eastAsia="zh-CN"/>
        </w:rPr>
        <w:t>17</w:t>
      </w:r>
      <w:r>
        <w:rPr>
          <w:rFonts w:hint="eastAsia" w:hAnsi="Calibri" w:cs="仿宋"/>
          <w:color w:val="auto"/>
          <w:sz w:val="32"/>
          <w:szCs w:val="32"/>
        </w:rPr>
        <w:t>.农林水支出（类）扶贫（款）其他扶贫支出（项）：指其他用于扶贫方面的支出。</w:t>
      </w:r>
    </w:p>
    <w:p w14:paraId="55A11FFB">
      <w:pPr>
        <w:spacing w:line="360" w:lineRule="auto"/>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18</w:t>
      </w:r>
      <w:r>
        <w:rPr>
          <w:rFonts w:hint="eastAsia" w:ascii="仿宋_GB2312" w:hAnsi="Calibri" w:eastAsia="仿宋_GB2312" w:cs="仿宋"/>
          <w:color w:val="auto"/>
          <w:kern w:val="0"/>
          <w:sz w:val="32"/>
          <w:szCs w:val="32"/>
        </w:rPr>
        <w:t>.住房保障支出（类）住房改革支出（款）住房公积金（项）</w:t>
      </w:r>
      <w:r>
        <w:rPr>
          <w:rFonts w:hint="eastAsia" w:ascii="仿宋_GB2312" w:hAnsi="Calibri" w:eastAsia="仿宋_GB2312" w:cs="仿宋"/>
          <w:color w:val="auto"/>
          <w:kern w:val="0"/>
          <w:sz w:val="32"/>
          <w:szCs w:val="32"/>
          <w:lang w:eastAsia="zh-CN"/>
        </w:rPr>
        <w:t>：</w:t>
      </w:r>
      <w:r>
        <w:rPr>
          <w:rFonts w:hint="eastAsia" w:ascii="仿宋_GB2312" w:eastAsia="仿宋_GB2312"/>
          <w:color w:val="auto"/>
          <w:sz w:val="32"/>
          <w:szCs w:val="32"/>
        </w:rPr>
        <w:t>指反映行政事业单位按人力资源和社会保障部、财政部规定的基本工资和津贴补贴以及规定比例为职工缴纳的住房公积金。</w:t>
      </w:r>
    </w:p>
    <w:p w14:paraId="5C2892BB">
      <w:pPr>
        <w:pStyle w:val="23"/>
        <w:spacing w:line="360" w:lineRule="auto"/>
        <w:ind w:firstLine="640" w:firstLineChars="200"/>
        <w:rPr>
          <w:rFonts w:hAnsi="仿宋"/>
          <w:b/>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.其他支出（类）其他支出（款）其他支出（项）</w:t>
      </w:r>
      <w:r>
        <w:rPr>
          <w:rFonts w:hint="eastAsia" w:ascii="仿宋_GB2312" w:eastAsia="仿宋_GB2312"/>
          <w:color w:val="auto"/>
          <w:sz w:val="32"/>
          <w:szCs w:val="32"/>
          <w:lang w:eastAsia="zh-CN"/>
        </w:rPr>
        <w:t>：</w:t>
      </w:r>
      <w:r>
        <w:rPr>
          <w:rFonts w:hint="eastAsia" w:ascii="仿宋_GB2312" w:eastAsia="仿宋_GB2312"/>
          <w:color w:val="auto"/>
          <w:sz w:val="32"/>
          <w:szCs w:val="32"/>
        </w:rPr>
        <w:t>指反映其他不能划分到具体功能科目中的支出项目。</w:t>
      </w:r>
    </w:p>
    <w:p w14:paraId="1717ADF0">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7A380DDA">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p>
    <w:p w14:paraId="3AC90B5F">
      <w:pPr>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14:paraId="0C10C99F">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6594F4">
      <w:pPr>
        <w:pStyle w:val="23"/>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9E2D05">
      <w:pPr>
        <w:spacing w:line="360" w:lineRule="auto"/>
        <w:jc w:val="center"/>
        <w:outlineLvl w:val="0"/>
        <w:rPr>
          <w:rStyle w:val="25"/>
          <w:rFonts w:ascii="黑体" w:hAnsi="黑体" w:eastAsia="黑体"/>
          <w:b w:val="0"/>
          <w:color w:val="auto"/>
        </w:rPr>
      </w:pPr>
      <w:bookmarkStart w:id="62" w:name="_Toc15377226"/>
      <w:r>
        <w:rPr>
          <w:rFonts w:ascii="宋体"/>
          <w:b/>
          <w:color w:val="auto"/>
          <w:sz w:val="44"/>
          <w:szCs w:val="44"/>
        </w:rPr>
        <w:br w:type="page"/>
      </w:r>
      <w:bookmarkStart w:id="63" w:name="_Toc15396614"/>
      <w:r>
        <w:rPr>
          <w:rFonts w:hint="eastAsia" w:ascii="黑体" w:hAnsi="黑体" w:eastAsia="黑体"/>
          <w:color w:val="auto"/>
          <w:sz w:val="44"/>
          <w:szCs w:val="44"/>
        </w:rPr>
        <w:t>第</w:t>
      </w:r>
      <w:r>
        <w:rPr>
          <w:rStyle w:val="25"/>
          <w:rFonts w:hint="eastAsia" w:ascii="黑体" w:hAnsi="黑体" w:eastAsia="黑体"/>
          <w:b w:val="0"/>
          <w:color w:val="auto"/>
        </w:rPr>
        <w:t>四部分 附件</w:t>
      </w:r>
      <w:bookmarkEnd w:id="63"/>
    </w:p>
    <w:p w14:paraId="77A4070A">
      <w:pPr>
        <w:spacing w:line="360" w:lineRule="auto"/>
        <w:jc w:val="left"/>
        <w:outlineLvl w:val="0"/>
        <w:rPr>
          <w:rFonts w:ascii="方正小标宋简体" w:hAnsi="方正小标宋简体" w:eastAsia="方正小标宋简体" w:cs="方正小标宋简体"/>
          <w:color w:val="auto"/>
          <w:sz w:val="44"/>
          <w:szCs w:val="44"/>
        </w:rPr>
      </w:pPr>
      <w:r>
        <w:rPr>
          <w:rFonts w:hint="eastAsia" w:ascii="黑体" w:hAnsi="黑体" w:eastAsia="黑体" w:cs="黑体"/>
          <w:color w:val="auto"/>
          <w:sz w:val="32"/>
          <w:szCs w:val="32"/>
        </w:rPr>
        <w:t>附件</w:t>
      </w:r>
    </w:p>
    <w:p w14:paraId="1809E6D9">
      <w:pPr>
        <w:spacing w:line="360" w:lineRule="auto"/>
        <w:jc w:val="center"/>
        <w:rPr>
          <w:rFonts w:hint="eastAsia" w:ascii="方正小标宋简体" w:hAnsi="宋体" w:eastAsia="方正小标宋简体"/>
          <w:color w:val="auto"/>
          <w:kern w:val="0"/>
          <w:sz w:val="40"/>
          <w:szCs w:val="44"/>
        </w:rPr>
      </w:pPr>
      <w:r>
        <w:rPr>
          <w:rFonts w:hint="eastAsia" w:ascii="方正小标宋简体" w:hAnsi="宋体" w:eastAsia="方正小标宋简体"/>
          <w:color w:val="auto"/>
          <w:kern w:val="0"/>
          <w:sz w:val="40"/>
          <w:szCs w:val="44"/>
        </w:rPr>
        <w:t>2021年盐边县医疗保障局</w:t>
      </w:r>
    </w:p>
    <w:p w14:paraId="00F6E620">
      <w:pPr>
        <w:spacing w:line="360" w:lineRule="auto"/>
        <w:jc w:val="center"/>
        <w:rPr>
          <w:rFonts w:ascii="方正小标宋简体" w:hAnsi="宋体" w:eastAsia="方正小标宋简体"/>
          <w:color w:val="auto"/>
          <w:kern w:val="0"/>
          <w:sz w:val="40"/>
          <w:szCs w:val="44"/>
          <w:lang w:val="zh-CN"/>
        </w:rPr>
      </w:pPr>
      <w:r>
        <w:rPr>
          <w:rFonts w:hint="eastAsia" w:ascii="方正小标宋简体" w:hAnsi="宋体" w:eastAsia="方正小标宋简体"/>
          <w:color w:val="auto"/>
          <w:kern w:val="0"/>
          <w:sz w:val="40"/>
          <w:szCs w:val="44"/>
        </w:rPr>
        <w:t>整体绩效评价报告</w:t>
      </w:r>
    </w:p>
    <w:p w14:paraId="0006AACB">
      <w:pPr>
        <w:widowControl/>
        <w:adjustRightInd w:val="0"/>
        <w:snapToGrid w:val="0"/>
        <w:spacing w:line="360" w:lineRule="auto"/>
        <w:ind w:firstLine="480" w:firstLineChars="200"/>
        <w:contextualSpacing/>
        <w:jc w:val="left"/>
        <w:rPr>
          <w:rFonts w:ascii="黑体" w:hAnsi="宋体" w:eastAsia="黑体" w:cs="宋体"/>
          <w:color w:val="auto"/>
          <w:kern w:val="0"/>
          <w:sz w:val="24"/>
          <w:szCs w:val="32"/>
          <w:shd w:val="clear" w:color="auto" w:fill="FFFFFF"/>
        </w:rPr>
      </w:pPr>
    </w:p>
    <w:p w14:paraId="5B81737E">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lang w:val="zh-CN"/>
        </w:rPr>
      </w:pPr>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p>
    <w:p w14:paraId="5FA6B80E">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（一）机构组成。</w:t>
      </w:r>
    </w:p>
    <w:p w14:paraId="3EA8626E">
      <w:pPr>
        <w:widowControl/>
        <w:adjustRightInd w:val="0"/>
        <w:snapToGrid w:val="0"/>
        <w:spacing w:line="360" w:lineRule="auto"/>
        <w:ind w:firstLine="640" w:firstLineChars="200"/>
        <w:contextualSpacing/>
        <w:jc w:val="left"/>
        <w:rPr>
          <w:color w:val="auto"/>
          <w:lang w:val="zh-CN"/>
        </w:rPr>
      </w:pPr>
      <w:r>
        <w:rPr>
          <w:rFonts w:hint="eastAsia" w:ascii="仿宋_GB2312" w:hAnsi="宋体" w:eastAsia="仿宋_GB2312" w:cs="仿宋_GB2312"/>
          <w:color w:val="auto"/>
          <w:kern w:val="0"/>
          <w:sz w:val="32"/>
          <w:szCs w:val="32"/>
          <w:shd w:val="clear" w:color="auto" w:fill="FFFFFF"/>
          <w:lang w:val="zh-CN"/>
        </w:rPr>
        <w:t>盐边县医疗保障局（简称县医保局）是盐边县人民政府工作部门，为正科级，下属二级单位盐边县医疗保障事务中心为参照公务员法管理的事业单位。县医保局内设办公室和业务与政策法规股</w:t>
      </w:r>
      <w:r>
        <w:rPr>
          <w:rFonts w:hint="eastAsia" w:ascii="仿宋_GB2312" w:hAnsi="宋体" w:eastAsia="仿宋_GB2312" w:cs="仿宋_GB2312"/>
          <w:color w:val="auto"/>
          <w:kern w:val="0"/>
          <w:sz w:val="32"/>
          <w:szCs w:val="32"/>
          <w:shd w:val="clear" w:color="auto" w:fill="FFFFFF"/>
        </w:rPr>
        <w:t>2个机构。</w:t>
      </w:r>
    </w:p>
    <w:p w14:paraId="6B9F1571">
      <w:pPr>
        <w:widowControl/>
        <w:numPr>
          <w:ilvl w:val="0"/>
          <w:numId w:val="4"/>
        </w:numPr>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机构职能。</w:t>
      </w:r>
    </w:p>
    <w:p w14:paraId="3D230767">
      <w:pPr>
        <w:widowControl/>
        <w:adjustRightInd w:val="0"/>
        <w:snapToGrid w:val="0"/>
        <w:spacing w:line="360" w:lineRule="auto"/>
        <w:ind w:firstLine="640" w:firstLineChars="200"/>
        <w:jc w:val="left"/>
        <w:rPr>
          <w:rFonts w:ascii="仿宋_GB2312" w:hAnsi="宋体" w:eastAsia="仿宋_GB2312" w:cs="仿宋_GB2312"/>
          <w:color w:val="auto"/>
          <w:kern w:val="0"/>
          <w:sz w:val="32"/>
          <w:szCs w:val="32"/>
          <w:shd w:val="clear" w:color="auto" w:fill="FFFFFF"/>
        </w:rPr>
      </w:pPr>
      <w:r>
        <w:rPr>
          <w:rFonts w:hint="eastAsia" w:ascii="仿宋_GB2312" w:hAnsi="宋体" w:eastAsia="仿宋_GB2312" w:cs="仿宋_GB2312"/>
          <w:color w:val="auto"/>
          <w:kern w:val="0"/>
          <w:sz w:val="32"/>
          <w:szCs w:val="32"/>
          <w:shd w:val="clear" w:color="auto" w:fill="FFFFFF"/>
        </w:rPr>
        <w:t>1</w:t>
      </w:r>
      <w:r>
        <w:rPr>
          <w:rFonts w:hint="eastAsia" w:ascii="仿宋_GB2312" w:hAnsi="宋体" w:eastAsia="仿宋_GB2312" w:cs="仿宋_GB2312"/>
          <w:color w:val="auto"/>
          <w:kern w:val="0"/>
          <w:sz w:val="32"/>
          <w:szCs w:val="32"/>
          <w:shd w:val="clear" w:color="auto" w:fill="FFFFFF"/>
          <w:lang w:val="en-US" w:eastAsia="zh-CN"/>
        </w:rPr>
        <w:t>.</w:t>
      </w:r>
      <w:r>
        <w:rPr>
          <w:rFonts w:hint="eastAsia" w:ascii="仿宋_GB2312" w:hAnsi="宋体" w:eastAsia="仿宋_GB2312" w:cs="仿宋_GB2312"/>
          <w:color w:val="auto"/>
          <w:kern w:val="0"/>
          <w:sz w:val="32"/>
          <w:szCs w:val="32"/>
          <w:shd w:val="clear" w:color="auto" w:fill="FFFFFF"/>
        </w:rPr>
        <w:t>办公室。负责文电、会务、档案、保密机要、机关安全、综治、维稳、信访、绩效管理、信息、政务公开、后勤保障等机关日常运转工作。承担史志编纂、财务资产、人事和离退休管理等工作。拟订医疗保障工作规划、年度工作计划和总结。承担机关和直属单位的机构编制、人事管理、教育培训、队伍建设、规范性文件合法性审查、财务、国有资产管理和对外合作交流等工作。负责机关和直属单位的党群工作。</w:t>
      </w:r>
    </w:p>
    <w:p w14:paraId="121D3855">
      <w:pPr>
        <w:widowControl/>
        <w:adjustRightInd w:val="0"/>
        <w:snapToGrid w:val="0"/>
        <w:spacing w:line="360" w:lineRule="auto"/>
        <w:ind w:firstLine="640" w:firstLineChars="200"/>
        <w:contextualSpacing/>
        <w:jc w:val="left"/>
        <w:rPr>
          <w:color w:val="auto"/>
          <w:lang w:val="zh-CN"/>
        </w:rPr>
      </w:pPr>
      <w:r>
        <w:rPr>
          <w:rFonts w:hint="eastAsia" w:ascii="仿宋_GB2312" w:hAnsi="宋体" w:eastAsia="仿宋_GB2312" w:cs="仿宋_GB2312"/>
          <w:color w:val="auto"/>
          <w:kern w:val="0"/>
          <w:sz w:val="32"/>
          <w:szCs w:val="32"/>
          <w:shd w:val="clear" w:color="auto" w:fill="FFFFFF"/>
        </w:rPr>
        <w:t>2</w:t>
      </w:r>
      <w:r>
        <w:rPr>
          <w:rFonts w:hint="eastAsia" w:ascii="仿宋_GB2312" w:hAnsi="宋体" w:eastAsia="仿宋_GB2312" w:cs="仿宋_GB2312"/>
          <w:color w:val="auto"/>
          <w:kern w:val="0"/>
          <w:sz w:val="32"/>
          <w:szCs w:val="32"/>
          <w:shd w:val="clear" w:color="auto" w:fill="FFFFFF"/>
          <w:lang w:val="en-US" w:eastAsia="zh-CN"/>
        </w:rPr>
        <w:t>.</w:t>
      </w:r>
      <w:r>
        <w:rPr>
          <w:rFonts w:hint="eastAsia" w:ascii="仿宋_GB2312" w:hAnsi="宋体" w:eastAsia="仿宋_GB2312" w:cs="仿宋_GB2312"/>
          <w:color w:val="auto"/>
          <w:kern w:val="0"/>
          <w:sz w:val="32"/>
          <w:szCs w:val="32"/>
          <w:shd w:val="clear" w:color="auto" w:fill="FFFFFF"/>
        </w:rPr>
        <w:t>业务与政策法规股。组织实施医疗保障筹资和待遇政策、统筹城乡待遇标准、长期护理保险政策、基本医疗保险、大病保险、补充医疗保险、公务员医疗补助、医疗救助政策、异地就医等管理办法和结算政策、全市城乡统一的药品、医用耗材价格和医疗服务项目、医疗服务设施收费等政策、医疗保障基金监督管理制度、监督管理纳入医疗保障支付范围的医疗服务行为和医疗费用、规范医保经办业务、依法查处医疗保障领域违法违规行为。负责行政复议、行政诉讼、医疗保障各项统计报表与数据分析、上级和县级审计等部门对全县医疗保障系统的审计、检查相关工作。统筹推进多层次医疗保障体系建设和医保支付方式改革。建立健全医疗保障关系转移接续制度、价格信息监测制度、基金安全防控机制、相关信息发布和披露制度、医疗保障信用评价体系。指导管理全县医疗保障经办服务、医疗保障定点医药机构管理工作，组织执行全市经办服务规程，规范经办服务窗口建设，督促做好县级医疗保障经办机构内控管理和风险防范等工作。制定完善县级离休干部、六级以上革命伤残军人的医疗保障政策和特殊人群医疗照顾政策。与医疗保障相关部门在医疗、医保、医药、基金征缴等方面加强制度、政策衔接，建立沟通协商机制，协同推进改革，提高医疗资源使用效率和医疗保障水平。</w:t>
      </w:r>
    </w:p>
    <w:p w14:paraId="28A5FFA9">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（三）人员概况。</w:t>
      </w:r>
    </w:p>
    <w:p w14:paraId="0FAB5177">
      <w:pPr>
        <w:pStyle w:val="2"/>
        <w:spacing w:before="93" w:line="360" w:lineRule="auto"/>
        <w:ind w:firstLine="640" w:firstLineChars="200"/>
        <w:rPr>
          <w:color w:val="auto"/>
          <w:lang w:val="zh-CN"/>
        </w:rPr>
      </w:pPr>
      <w:r>
        <w:rPr>
          <w:rFonts w:hint="eastAsia" w:hAnsi="宋体" w:cs="仿宋_GB2312"/>
          <w:color w:val="auto"/>
          <w:sz w:val="32"/>
          <w:szCs w:val="32"/>
          <w:shd w:val="clear" w:color="auto" w:fill="FFFFFF"/>
        </w:rPr>
        <w:t>县医保局2021年行政编制3名，参公编制17名。2021年12月末，在职在编19人。</w:t>
      </w:r>
    </w:p>
    <w:p w14:paraId="1645F777">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二、部门财政资金收支情况</w:t>
      </w:r>
    </w:p>
    <w:p w14:paraId="195C2716">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（一）部门财政资金收入情况。</w:t>
      </w:r>
    </w:p>
    <w:p w14:paraId="4A737EFB">
      <w:pPr>
        <w:widowControl/>
        <w:adjustRightInd w:val="0"/>
        <w:snapToGrid w:val="0"/>
        <w:spacing w:line="360" w:lineRule="auto"/>
        <w:ind w:firstLine="640" w:firstLineChars="200"/>
        <w:contextualSpacing/>
        <w:jc w:val="left"/>
        <w:rPr>
          <w:color w:val="auto"/>
          <w:lang w:val="zh-CN"/>
        </w:rPr>
      </w:pPr>
      <w:r>
        <w:rPr>
          <w:rFonts w:hint="eastAsia" w:ascii="仿宋_GB2312" w:hAnsi="仿宋_GB2312" w:eastAsia="仿宋_GB2312" w:cs="仿宋_GB2312"/>
          <w:color w:val="auto"/>
          <w:sz w:val="32"/>
          <w:szCs w:val="32"/>
        </w:rPr>
        <w:t>2021年财政收入2136.91万元，其中财政拨款收入2129.91万元，其他收入7万元。基本收入302.23万元，其中人员经费收入272.79万元，公用经费收入29.44万元；项目收入1853.79万元。</w:t>
      </w:r>
    </w:p>
    <w:p w14:paraId="7AEE1A03">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（二）部门财政资金支出情况。</w:t>
      </w:r>
    </w:p>
    <w:p w14:paraId="19B1F1C0">
      <w:pPr>
        <w:widowControl/>
        <w:adjustRightInd w:val="0"/>
        <w:snapToGrid w:val="0"/>
        <w:spacing w:line="360" w:lineRule="auto"/>
        <w:ind w:firstLine="640" w:firstLineChars="200"/>
        <w:contextualSpacing/>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2021年财政支出共2156.02万元。基本支出302.23万元，其中人员经费支出272.79万元，公用经费支出29.44万元；项目支出1853.79万元。</w:t>
      </w:r>
    </w:p>
    <w:p w14:paraId="306FC570">
      <w:pPr>
        <w:widowControl/>
        <w:adjustRightInd w:val="0"/>
        <w:snapToGrid w:val="0"/>
        <w:spacing w:line="360" w:lineRule="auto"/>
        <w:ind w:firstLine="640" w:firstLineChars="200"/>
        <w:contextualSpacing/>
        <w:jc w:val="left"/>
        <w:rPr>
          <w:rFonts w:eastAsia="仿宋_GB2312"/>
          <w:color w:val="auto"/>
          <w:sz w:val="32"/>
          <w:szCs w:val="32"/>
        </w:rPr>
      </w:pPr>
      <w:r>
        <w:rPr>
          <w:rFonts w:eastAsia="仿宋_GB2312"/>
          <w:color w:val="auto"/>
          <w:sz w:val="32"/>
          <w:szCs w:val="32"/>
        </w:rPr>
        <w:t>（</w:t>
      </w:r>
      <w:r>
        <w:rPr>
          <w:rFonts w:hint="eastAsia" w:eastAsia="仿宋_GB2312"/>
          <w:color w:val="auto"/>
          <w:sz w:val="32"/>
          <w:szCs w:val="32"/>
        </w:rPr>
        <w:t>三</w:t>
      </w:r>
      <w:r>
        <w:rPr>
          <w:rFonts w:eastAsia="仿宋_GB2312"/>
          <w:color w:val="auto"/>
          <w:sz w:val="32"/>
          <w:szCs w:val="32"/>
        </w:rPr>
        <w:t>）财政资金</w:t>
      </w:r>
      <w:r>
        <w:rPr>
          <w:rFonts w:hint="eastAsia" w:eastAsia="仿宋_GB2312"/>
          <w:color w:val="auto"/>
          <w:sz w:val="32"/>
          <w:szCs w:val="32"/>
        </w:rPr>
        <w:t>结转结余</w:t>
      </w:r>
      <w:r>
        <w:rPr>
          <w:rFonts w:eastAsia="仿宋_GB2312"/>
          <w:color w:val="auto"/>
          <w:sz w:val="32"/>
          <w:szCs w:val="32"/>
        </w:rPr>
        <w:t>情况。</w:t>
      </w:r>
    </w:p>
    <w:p w14:paraId="2E618A6B">
      <w:pPr>
        <w:widowControl/>
        <w:adjustRightInd w:val="0"/>
        <w:snapToGrid w:val="0"/>
        <w:spacing w:line="360" w:lineRule="auto"/>
        <w:ind w:firstLine="640" w:firstLineChars="200"/>
        <w:contextualSpacing/>
        <w:jc w:val="left"/>
        <w:rPr>
          <w:rFonts w:eastAsia="仿宋_GB2312"/>
          <w:color w:val="auto"/>
          <w:sz w:val="32"/>
          <w:szCs w:val="32"/>
        </w:rPr>
      </w:pPr>
      <w:r>
        <w:rPr>
          <w:rFonts w:hint="eastAsia" w:ascii="仿宋_GB2312" w:hAnsi="仿宋_GB2312" w:eastAsia="仿宋_GB2312" w:cs="仿宋_GB2312"/>
          <w:color w:val="auto"/>
          <w:sz w:val="32"/>
          <w:szCs w:val="32"/>
        </w:rPr>
        <w:t>结转结余资金19.11万元。其中财政应返还额度17.76万元，存量资金化解财政暂付款1.35万元。</w:t>
      </w:r>
    </w:p>
    <w:p w14:paraId="53A10D82">
      <w:pPr>
        <w:pStyle w:val="2"/>
        <w:spacing w:before="93" w:line="360" w:lineRule="auto"/>
        <w:rPr>
          <w:color w:val="auto"/>
          <w:lang w:val="zh-CN"/>
        </w:rPr>
      </w:pPr>
    </w:p>
    <w:p w14:paraId="30AA1F44">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三、部门整体预算绩效管理情况</w:t>
      </w:r>
    </w:p>
    <w:p w14:paraId="32D70E8A">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（一）部门预算绩效管理。</w:t>
      </w:r>
    </w:p>
    <w:p w14:paraId="1747D999">
      <w:pPr>
        <w:widowControl/>
        <w:adjustRightInd w:val="0"/>
        <w:snapToGrid w:val="0"/>
        <w:spacing w:line="360" w:lineRule="auto"/>
        <w:ind w:firstLine="640" w:firstLineChars="200"/>
        <w:contextualSpacing/>
        <w:jc w:val="left"/>
        <w:rPr>
          <w:rFonts w:eastAsia="仿宋_GB2312"/>
          <w:color w:val="auto"/>
          <w:sz w:val="32"/>
          <w:szCs w:val="32"/>
        </w:rPr>
      </w:pPr>
      <w:r>
        <w:rPr>
          <w:rFonts w:hint="eastAsia" w:eastAsia="仿宋_GB2312"/>
          <w:color w:val="auto"/>
          <w:sz w:val="32"/>
          <w:szCs w:val="32"/>
        </w:rPr>
        <w:t>部门预算总体目标包括按时发放工资，保障机关正常运行；完成城乡居民医疗保险和职工医疗保险征收工作；加大医保基金监管力度，保障医保基金安全；深入实施药品集中采购制度；完成其他医疗保障事务及县委、县政府交办的其他任务。</w:t>
      </w:r>
    </w:p>
    <w:p w14:paraId="455537D7">
      <w:pPr>
        <w:widowControl/>
        <w:adjustRightInd w:val="0"/>
        <w:snapToGrid w:val="0"/>
        <w:spacing w:line="360" w:lineRule="auto"/>
        <w:ind w:firstLine="640" w:firstLineChars="200"/>
        <w:contextualSpacing/>
        <w:jc w:val="left"/>
        <w:rPr>
          <w:rFonts w:eastAsia="仿宋_GB2312"/>
          <w:color w:val="auto"/>
          <w:sz w:val="32"/>
          <w:szCs w:val="32"/>
        </w:rPr>
      </w:pPr>
      <w:r>
        <w:rPr>
          <w:rFonts w:hint="eastAsia" w:eastAsia="仿宋_GB2312"/>
          <w:color w:val="auto"/>
          <w:sz w:val="32"/>
          <w:szCs w:val="32"/>
        </w:rPr>
        <w:t>实际完成情况：每月按时发放职工工资及相关待遇；资助困难群众参加城乡居民医疗保险，完成16.5万人城乡居民医疗保险征收工作，每月做好职工医疗保险征收工作，保障参保人员正常享受医疗待遇；持续做好对困难群众的医疗救助工作，减轻其医疗负担；持续扩大异地就医联网结算范围，方便参保人员异地就医；进一步加大医保基金监管力度，保障医保基金安全；积极推进省版医保系统上线工作，全省医保信息实现互通；及时完成其他医疗保障工作。</w:t>
      </w:r>
    </w:p>
    <w:p w14:paraId="1D8E67AD">
      <w:pPr>
        <w:widowControl/>
        <w:adjustRightInd w:val="0"/>
        <w:snapToGrid w:val="0"/>
        <w:spacing w:line="360" w:lineRule="auto"/>
        <w:ind w:firstLine="640" w:firstLineChars="200"/>
        <w:contextualSpacing/>
        <w:jc w:val="left"/>
        <w:rPr>
          <w:rFonts w:eastAsia="仿宋_GB2312"/>
          <w:color w:val="auto"/>
          <w:sz w:val="32"/>
          <w:szCs w:val="32"/>
        </w:rPr>
      </w:pPr>
      <w:r>
        <w:rPr>
          <w:rFonts w:hint="eastAsia" w:eastAsia="仿宋_GB2312"/>
          <w:color w:val="auto"/>
          <w:sz w:val="32"/>
          <w:szCs w:val="32"/>
        </w:rPr>
        <w:t>具体完成绩效指标见部门预算整体绩效自评表。支出控制在预算指标内，预算完成情况良好，严格按照财政相关规定，对财政各项资金加强监督管理，确保资金及时、足额到位，专款专用；定期按规定对财政拨付的专项资金进行自检自查，做好资金使用效益管理工作，充分发挥各项资金的使用效益；在项目实施过程中，严格按照专项资金管理办法和各项财务管理制度执行，项目审批流程齐全、附件资料完整，资金拨付合法合规，会计核算及时，资金使用无截留、挤占、挪用、虚列支出等情况。</w:t>
      </w:r>
    </w:p>
    <w:p w14:paraId="4462C8EB">
      <w:pPr>
        <w:widowControl/>
        <w:adjustRightInd w:val="0"/>
        <w:snapToGrid w:val="0"/>
        <w:spacing w:line="360" w:lineRule="auto"/>
        <w:ind w:firstLine="640" w:firstLineChars="200"/>
        <w:contextualSpacing/>
        <w:jc w:val="left"/>
        <w:rPr>
          <w:rFonts w:eastAsia="仿宋_GB2312"/>
          <w:color w:val="auto"/>
          <w:sz w:val="32"/>
          <w:szCs w:val="32"/>
        </w:rPr>
      </w:pPr>
      <w:r>
        <w:rPr>
          <w:rFonts w:eastAsia="仿宋_GB2312"/>
          <w:color w:val="auto"/>
          <w:sz w:val="32"/>
          <w:szCs w:val="32"/>
        </w:rPr>
        <w:t>（二）结果应用情况。</w:t>
      </w:r>
    </w:p>
    <w:p w14:paraId="3B61CB0B">
      <w:pPr>
        <w:widowControl/>
        <w:adjustRightInd w:val="0"/>
        <w:snapToGrid w:val="0"/>
        <w:spacing w:line="360" w:lineRule="auto"/>
        <w:ind w:firstLine="640" w:firstLineChars="200"/>
        <w:contextualSpacing/>
        <w:jc w:val="left"/>
        <w:rPr>
          <w:rFonts w:ascii="仿宋_GB2312" w:hAnsi="宋体" w:eastAsia="仿宋_GB2312" w:cs="宋体"/>
          <w:color w:val="auto"/>
          <w:kern w:val="0"/>
          <w:sz w:val="32"/>
          <w:szCs w:val="32"/>
          <w:shd w:val="clear" w:color="auto" w:fill="FFFFFF"/>
          <w:lang w:val="zh-CN"/>
        </w:rPr>
      </w:pPr>
      <w:r>
        <w:rPr>
          <w:rFonts w:hint="eastAsia" w:eastAsia="仿宋_GB2312"/>
          <w:color w:val="auto"/>
          <w:sz w:val="32"/>
          <w:szCs w:val="32"/>
        </w:rPr>
        <w:t>年初预算制定部门预算整体绩效目标，项目绩效目标。具体实施过程中对照绩效目标，是否完成年初制定的绩效指标。项目完成后对项目开展自评工作，并按要求在政府网站公开。评价结果的运用是判断评价工作能否取得成效的主要依据，也是保证这项工作持续、深入发展的基本前提。财政绩效评价还是加强财政支出管理、合理配置公共资源、优化财政支出结构、提高资金使用效益的重要手段。</w:t>
      </w:r>
    </w:p>
    <w:p w14:paraId="4365676C">
      <w:pPr>
        <w:widowControl/>
        <w:numPr>
          <w:ilvl w:val="0"/>
          <w:numId w:val="5"/>
        </w:numPr>
        <w:adjustRightInd w:val="0"/>
        <w:snapToGrid w:val="0"/>
        <w:spacing w:line="360" w:lineRule="auto"/>
        <w:ind w:firstLine="640"/>
        <w:contextualSpacing/>
        <w:jc w:val="left"/>
        <w:rPr>
          <w:rFonts w:eastAsia="仿宋_GB2312"/>
          <w:color w:val="auto"/>
          <w:sz w:val="32"/>
          <w:szCs w:val="32"/>
        </w:rPr>
      </w:pPr>
      <w:r>
        <w:rPr>
          <w:rFonts w:hint="eastAsia" w:ascii="仿宋_GB2312" w:hAnsi="宋体" w:eastAsia="仿宋_GB2312" w:cs="宋体"/>
          <w:color w:val="auto"/>
          <w:kern w:val="0"/>
          <w:sz w:val="32"/>
          <w:szCs w:val="32"/>
          <w:shd w:val="clear" w:color="auto" w:fill="FFFFFF"/>
          <w:lang w:val="zh-CN"/>
        </w:rPr>
        <w:t>自评质量</w:t>
      </w:r>
    </w:p>
    <w:p w14:paraId="7B982D0B">
      <w:pPr>
        <w:widowControl/>
        <w:adjustRightInd w:val="0"/>
        <w:snapToGrid w:val="0"/>
        <w:spacing w:line="360" w:lineRule="auto"/>
        <w:ind w:firstLine="640" w:firstLineChars="200"/>
        <w:contextualSpacing/>
        <w:jc w:val="left"/>
        <w:rPr>
          <w:color w:val="auto"/>
        </w:rPr>
      </w:pPr>
      <w:r>
        <w:rPr>
          <w:rFonts w:hint="eastAsia" w:eastAsia="仿宋_GB2312"/>
          <w:color w:val="auto"/>
          <w:sz w:val="32"/>
          <w:szCs w:val="32"/>
        </w:rPr>
        <w:t>为进一步加强资金预算绩效管理，提高资金使用效益，我单位对各个项目及整体预算都开展了绩效自评。针对不同的项目，结合实施情况和绩效指标逐个自评，通过自评，</w:t>
      </w:r>
      <w:r>
        <w:rPr>
          <w:rFonts w:hint="eastAsia" w:eastAsia="仿宋_GB2312"/>
          <w:color w:val="auto"/>
          <w:sz w:val="32"/>
          <w:szCs w:val="32"/>
          <w:lang w:eastAsia="zh-CN"/>
        </w:rPr>
        <w:t>更好地监督</w:t>
      </w:r>
      <w:r>
        <w:rPr>
          <w:rFonts w:hint="eastAsia" w:eastAsia="仿宋_GB2312"/>
          <w:color w:val="auto"/>
          <w:sz w:val="32"/>
          <w:szCs w:val="32"/>
        </w:rPr>
        <w:t>完成情况。自评情况较准确，</w:t>
      </w:r>
      <w:r>
        <w:rPr>
          <w:rFonts w:hint="eastAsia" w:eastAsia="仿宋_GB2312"/>
          <w:color w:val="auto"/>
          <w:sz w:val="32"/>
          <w:szCs w:val="32"/>
          <w:lang w:eastAsia="zh-CN"/>
        </w:rPr>
        <w:t>有效地提高了</w:t>
      </w:r>
      <w:r>
        <w:rPr>
          <w:rFonts w:hint="eastAsia" w:eastAsia="仿宋_GB2312"/>
          <w:color w:val="auto"/>
          <w:sz w:val="32"/>
          <w:szCs w:val="32"/>
        </w:rPr>
        <w:t>资金使用效益。</w:t>
      </w:r>
    </w:p>
    <w:p w14:paraId="47350ED8">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p>
    <w:p w14:paraId="0B5F2034">
      <w:pPr>
        <w:widowControl/>
        <w:adjustRightInd w:val="0"/>
        <w:snapToGrid w:val="0"/>
        <w:spacing w:line="360" w:lineRule="auto"/>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四、评价结论及建议</w:t>
      </w:r>
    </w:p>
    <w:p w14:paraId="5FBD991D">
      <w:pPr>
        <w:widowControl/>
        <w:adjustRightInd w:val="0"/>
        <w:snapToGrid w:val="0"/>
        <w:spacing w:line="360" w:lineRule="auto"/>
        <w:ind w:firstLine="640" w:firstLineChars="200"/>
        <w:contextualSpacing/>
        <w:jc w:val="left"/>
        <w:rPr>
          <w:rFonts w:eastAsia="仿宋_GB2312"/>
          <w:color w:val="auto"/>
          <w:sz w:val="32"/>
          <w:szCs w:val="32"/>
        </w:rPr>
      </w:pPr>
      <w:r>
        <w:rPr>
          <w:rFonts w:eastAsia="仿宋_GB2312"/>
          <w:color w:val="auto"/>
          <w:sz w:val="32"/>
          <w:szCs w:val="32"/>
        </w:rPr>
        <w:t>（一）评价结论。</w:t>
      </w:r>
    </w:p>
    <w:p w14:paraId="6E1700BD">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部门预算编制规范、准确，各项经费足额纳入预算安排，确保了部门正常运转和专项工作的顺利开展，</w:t>
      </w:r>
      <w:r>
        <w:rPr>
          <w:rFonts w:hint="eastAsia" w:ascii="仿宋_GB2312" w:hAnsi="仿宋_GB2312" w:eastAsia="仿宋_GB2312" w:cs="仿宋_GB2312"/>
          <w:color w:val="auto"/>
          <w:sz w:val="32"/>
          <w:szCs w:val="32"/>
          <w:lang w:eastAsia="zh-CN"/>
        </w:rPr>
        <w:t>较好地完成</w:t>
      </w:r>
      <w:r>
        <w:rPr>
          <w:rFonts w:hint="eastAsia" w:ascii="仿宋_GB2312" w:hAnsi="仿宋_GB2312" w:eastAsia="仿宋_GB2312" w:cs="仿宋_GB2312"/>
          <w:color w:val="auto"/>
          <w:sz w:val="32"/>
          <w:szCs w:val="32"/>
        </w:rPr>
        <w:t>年初绩效目标任务。</w:t>
      </w:r>
    </w:p>
    <w:p w14:paraId="19DCBD48">
      <w:pPr>
        <w:widowControl/>
        <w:adjustRightInd w:val="0"/>
        <w:snapToGrid w:val="0"/>
        <w:spacing w:line="360" w:lineRule="auto"/>
        <w:ind w:firstLine="640" w:firstLineChars="200"/>
        <w:contextualSpacing/>
        <w:jc w:val="left"/>
        <w:rPr>
          <w:rFonts w:eastAsia="仿宋_GB2312"/>
          <w:color w:val="auto"/>
          <w:sz w:val="32"/>
          <w:szCs w:val="32"/>
        </w:rPr>
      </w:pPr>
      <w:r>
        <w:rPr>
          <w:rFonts w:eastAsia="仿宋_GB2312"/>
          <w:color w:val="auto"/>
          <w:sz w:val="32"/>
          <w:szCs w:val="32"/>
        </w:rPr>
        <w:t>（二）存在问题。</w:t>
      </w:r>
    </w:p>
    <w:p w14:paraId="7A446A25">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1.绩效目标管理体系还有待提高，确保绩效评价指标更精细化、准确化。</w:t>
      </w:r>
    </w:p>
    <w:p w14:paraId="0917123A">
      <w:pPr>
        <w:widowControl/>
        <w:spacing w:line="360" w:lineRule="auto"/>
        <w:ind w:firstLine="640" w:firstLineChars="200"/>
        <w:contextualSpacing/>
        <w:jc w:val="left"/>
        <w:rPr>
          <w:rFonts w:eastAsia="仿宋_GB2312"/>
          <w:color w:val="auto"/>
          <w:sz w:val="32"/>
          <w:szCs w:val="32"/>
        </w:rPr>
      </w:pPr>
      <w:r>
        <w:rPr>
          <w:rFonts w:hint="eastAsia" w:ascii="仿宋_GB2312" w:hAnsi="仿宋_GB2312" w:eastAsia="仿宋_GB2312" w:cs="仿宋_GB2312"/>
          <w:color w:val="auto"/>
          <w:sz w:val="32"/>
          <w:szCs w:val="32"/>
        </w:rPr>
        <w:t>2.部分项目资金预算执行进度有待提高，确保资金使用及时、有效。</w:t>
      </w:r>
    </w:p>
    <w:p w14:paraId="5D0ED913">
      <w:pPr>
        <w:widowControl/>
        <w:adjustRightInd w:val="0"/>
        <w:snapToGrid w:val="0"/>
        <w:spacing w:line="360" w:lineRule="auto"/>
        <w:ind w:firstLine="640" w:firstLineChars="200"/>
        <w:contextualSpacing/>
        <w:jc w:val="left"/>
        <w:rPr>
          <w:rFonts w:eastAsia="仿宋_GB2312"/>
          <w:color w:val="auto"/>
          <w:sz w:val="32"/>
          <w:szCs w:val="32"/>
        </w:rPr>
      </w:pPr>
      <w:r>
        <w:rPr>
          <w:rFonts w:eastAsia="仿宋_GB2312"/>
          <w:color w:val="auto"/>
          <w:sz w:val="32"/>
          <w:szCs w:val="32"/>
        </w:rPr>
        <w:t>（三）改进建议。</w:t>
      </w:r>
    </w:p>
    <w:p w14:paraId="6C7E439E">
      <w:pPr>
        <w:spacing w:line="360" w:lineRule="auto"/>
        <w:ind w:firstLine="640" w:firstLineChars="200"/>
        <w:rPr>
          <w:rFonts w:eastAsia="仿宋_GB2312"/>
          <w:color w:val="auto"/>
          <w:sz w:val="32"/>
          <w:szCs w:val="32"/>
        </w:rPr>
      </w:pPr>
      <w:r>
        <w:rPr>
          <w:rFonts w:eastAsia="仿宋_GB2312"/>
          <w:color w:val="auto"/>
          <w:sz w:val="32"/>
          <w:szCs w:val="32"/>
        </w:rPr>
        <w:t>1.建立预算绩效管理制度，进一步完善预算编报、执行、监督和评价工作流程，落实绩效管理主体职责。建立健全项目支出绩效指标体系，为编制预算绩效目标及开展预算绩效评价提供指导及依据。</w:t>
      </w:r>
    </w:p>
    <w:p w14:paraId="127F2C9A">
      <w:pPr>
        <w:spacing w:line="360" w:lineRule="auto"/>
        <w:ind w:firstLine="640" w:firstLineChars="200"/>
        <w:rPr>
          <w:rFonts w:eastAsia="仿宋_GB2312"/>
          <w:color w:val="auto"/>
          <w:sz w:val="32"/>
          <w:szCs w:val="32"/>
        </w:rPr>
      </w:pPr>
      <w:r>
        <w:rPr>
          <w:rFonts w:eastAsia="仿宋_GB2312"/>
          <w:color w:val="auto"/>
          <w:sz w:val="32"/>
          <w:szCs w:val="32"/>
        </w:rPr>
        <w:t>2.加强绩效目标管理，以绩效目标为导向，优化资源配置为目的，提高财政资金使用绩效。做到预算编制严谨、预算执行到位，进一步优化预算绩效指标体系，设置可量化可衡量的预算绩效指标，促使我单位预算绩效管理一体化</w:t>
      </w:r>
      <w:r>
        <w:rPr>
          <w:rFonts w:hint="eastAsia" w:eastAsia="仿宋_GB2312"/>
          <w:color w:val="auto"/>
          <w:sz w:val="32"/>
          <w:szCs w:val="32"/>
        </w:rPr>
        <w:t>。</w:t>
      </w:r>
    </w:p>
    <w:p w14:paraId="3A3B69DE">
      <w:pPr>
        <w:spacing w:line="360" w:lineRule="auto"/>
        <w:ind w:firstLine="640" w:firstLineChars="200"/>
        <w:rPr>
          <w:rFonts w:eastAsia="仿宋_GB2312"/>
          <w:color w:val="auto"/>
          <w:sz w:val="32"/>
          <w:szCs w:val="32"/>
        </w:rPr>
      </w:pPr>
      <w:r>
        <w:rPr>
          <w:rFonts w:eastAsia="仿宋_GB2312"/>
          <w:color w:val="auto"/>
          <w:sz w:val="32"/>
          <w:szCs w:val="32"/>
        </w:rPr>
        <w:t>3.加强</w:t>
      </w:r>
      <w:r>
        <w:rPr>
          <w:rFonts w:hint="eastAsia" w:eastAsia="仿宋_GB2312"/>
          <w:color w:val="auto"/>
          <w:sz w:val="32"/>
          <w:szCs w:val="32"/>
        </w:rPr>
        <w:t>预算</w:t>
      </w:r>
      <w:r>
        <w:rPr>
          <w:rFonts w:eastAsia="仿宋_GB2312"/>
          <w:color w:val="auto"/>
          <w:sz w:val="32"/>
          <w:szCs w:val="32"/>
        </w:rPr>
        <w:t>绩效</w:t>
      </w:r>
      <w:r>
        <w:rPr>
          <w:rFonts w:hint="eastAsia" w:eastAsia="仿宋_GB2312"/>
          <w:color w:val="auto"/>
          <w:sz w:val="32"/>
          <w:szCs w:val="32"/>
        </w:rPr>
        <w:t>管理</w:t>
      </w:r>
      <w:r>
        <w:rPr>
          <w:rFonts w:eastAsia="仿宋_GB2312"/>
          <w:color w:val="auto"/>
          <w:sz w:val="32"/>
          <w:szCs w:val="32"/>
        </w:rPr>
        <w:t>业务学习及培训，提高业务人员绩效管理意识，进一步加强预算绩效管理工作，优化项目支出绩效指标体系，完善预算绩效管理制度，推动我单位 2022年预算绩效管理工作常态化、规范化。</w:t>
      </w:r>
    </w:p>
    <w:p w14:paraId="0F1334BE">
      <w:pPr>
        <w:pStyle w:val="2"/>
        <w:spacing w:before="93" w:line="360" w:lineRule="auto"/>
        <w:rPr>
          <w:rFonts w:hAnsi="宋体" w:cs="宋体"/>
          <w:color w:val="auto"/>
          <w:sz w:val="32"/>
          <w:szCs w:val="32"/>
          <w:shd w:val="clear" w:color="auto" w:fill="FFFFFF"/>
          <w:lang w:val="zh-CN"/>
        </w:rPr>
      </w:pPr>
    </w:p>
    <w:p w14:paraId="34D521F4">
      <w:pPr>
        <w:pStyle w:val="2"/>
        <w:spacing w:before="93" w:line="360" w:lineRule="auto"/>
        <w:rPr>
          <w:rFonts w:hAnsi="宋体" w:cs="宋体"/>
          <w:color w:val="auto"/>
          <w:sz w:val="32"/>
          <w:szCs w:val="32"/>
          <w:shd w:val="clear" w:color="auto" w:fill="FFFFFF"/>
          <w:lang w:val="zh-CN"/>
        </w:rPr>
      </w:pPr>
    </w:p>
    <w:p w14:paraId="7C6E2CAB">
      <w:pPr>
        <w:pStyle w:val="2"/>
        <w:spacing w:before="93" w:line="360" w:lineRule="auto"/>
        <w:rPr>
          <w:rFonts w:hAnsi="宋体" w:cs="宋体"/>
          <w:color w:val="auto"/>
          <w:sz w:val="32"/>
          <w:szCs w:val="32"/>
          <w:shd w:val="clear" w:color="auto" w:fill="FFFFFF"/>
          <w:lang w:val="zh-CN"/>
        </w:rPr>
      </w:pPr>
    </w:p>
    <w:p w14:paraId="2F5C202E">
      <w:pPr>
        <w:pStyle w:val="2"/>
        <w:spacing w:before="93" w:line="360" w:lineRule="auto"/>
        <w:rPr>
          <w:rFonts w:hAnsi="宋体" w:cs="宋体"/>
          <w:color w:val="auto"/>
          <w:sz w:val="32"/>
          <w:szCs w:val="32"/>
          <w:shd w:val="clear" w:color="auto" w:fill="FFFFFF"/>
          <w:lang w:val="zh-CN"/>
        </w:rPr>
      </w:pPr>
    </w:p>
    <w:p w14:paraId="5BF73C40">
      <w:pPr>
        <w:pStyle w:val="2"/>
        <w:spacing w:before="93" w:line="360" w:lineRule="auto"/>
        <w:rPr>
          <w:rFonts w:hAnsi="宋体" w:cs="宋体"/>
          <w:color w:val="auto"/>
          <w:sz w:val="32"/>
          <w:szCs w:val="32"/>
          <w:shd w:val="clear" w:color="auto" w:fill="FFFFFF"/>
          <w:lang w:val="zh-CN"/>
        </w:rPr>
      </w:pPr>
    </w:p>
    <w:p w14:paraId="34C719C6">
      <w:pPr>
        <w:pStyle w:val="2"/>
        <w:spacing w:before="93" w:line="360" w:lineRule="auto"/>
        <w:rPr>
          <w:rFonts w:hAnsi="宋体" w:cs="宋体"/>
          <w:color w:val="auto"/>
          <w:sz w:val="32"/>
          <w:szCs w:val="32"/>
          <w:shd w:val="clear" w:color="auto" w:fill="FFFFFF"/>
          <w:lang w:val="zh-CN"/>
        </w:rPr>
      </w:pPr>
    </w:p>
    <w:p w14:paraId="49F82D3A">
      <w:pPr>
        <w:pStyle w:val="2"/>
        <w:spacing w:before="93" w:line="360" w:lineRule="auto"/>
        <w:rPr>
          <w:rFonts w:hAnsi="宋体" w:cs="宋体"/>
          <w:color w:val="auto"/>
          <w:sz w:val="32"/>
          <w:szCs w:val="32"/>
          <w:shd w:val="clear" w:color="auto" w:fill="FFFFFF"/>
          <w:lang w:val="zh-CN"/>
        </w:rPr>
      </w:pPr>
    </w:p>
    <w:p w14:paraId="2CDDDB5E">
      <w:pPr>
        <w:pStyle w:val="2"/>
        <w:spacing w:before="93" w:line="360" w:lineRule="auto"/>
        <w:rPr>
          <w:rFonts w:hAnsi="宋体" w:cs="宋体"/>
          <w:color w:val="auto"/>
          <w:sz w:val="32"/>
          <w:szCs w:val="32"/>
          <w:shd w:val="clear" w:color="auto" w:fill="FFFFFF"/>
          <w:lang w:val="zh-CN"/>
        </w:rPr>
      </w:pPr>
    </w:p>
    <w:p w14:paraId="1AB0EAB6">
      <w:pPr>
        <w:pStyle w:val="2"/>
        <w:spacing w:before="93" w:line="360" w:lineRule="auto"/>
        <w:rPr>
          <w:rFonts w:hAnsi="宋体" w:cs="宋体"/>
          <w:color w:val="auto"/>
          <w:sz w:val="32"/>
          <w:szCs w:val="32"/>
          <w:shd w:val="clear" w:color="auto" w:fill="FFFFFF"/>
          <w:lang w:val="zh-CN"/>
        </w:rPr>
      </w:pPr>
    </w:p>
    <w:p w14:paraId="74AD6F4C">
      <w:pPr>
        <w:pStyle w:val="2"/>
        <w:spacing w:before="93" w:line="360" w:lineRule="auto"/>
        <w:rPr>
          <w:rFonts w:hAnsi="宋体" w:cs="宋体"/>
          <w:color w:val="auto"/>
          <w:sz w:val="32"/>
          <w:szCs w:val="32"/>
          <w:shd w:val="clear" w:color="auto" w:fill="FFFFFF"/>
          <w:lang w:val="zh-CN"/>
        </w:rPr>
      </w:pPr>
    </w:p>
    <w:p w14:paraId="3FF2F6A1">
      <w:pPr>
        <w:spacing w:line="360" w:lineRule="auto"/>
        <w:jc w:val="center"/>
        <w:rPr>
          <w:rFonts w:ascii="方正小标宋简体" w:hAnsi="方正小标宋简体" w:eastAsia="方正小标宋简体" w:cs="方正小标宋简体"/>
          <w:color w:val="auto"/>
          <w:sz w:val="40"/>
          <w:szCs w:val="40"/>
          <w:lang w:val="zh-CN"/>
        </w:rPr>
      </w:pPr>
      <w:r>
        <w:rPr>
          <w:rFonts w:hint="eastAsia" w:ascii="方正小标宋简体" w:hAnsi="方正小标宋简体" w:eastAsia="方正小标宋简体" w:cs="方正小标宋简体"/>
          <w:color w:val="auto"/>
          <w:sz w:val="40"/>
          <w:szCs w:val="40"/>
        </w:rPr>
        <w:t>2021年</w:t>
      </w:r>
      <w:r>
        <w:rPr>
          <w:rFonts w:hint="eastAsia" w:ascii="方正小标宋简体" w:hAnsi="方正小标宋简体" w:eastAsia="方正小标宋简体" w:cs="方正小标宋简体"/>
          <w:color w:val="auto"/>
          <w:sz w:val="40"/>
          <w:szCs w:val="40"/>
          <w:lang w:val="zh-CN"/>
        </w:rPr>
        <w:t>专项预算项目支出绩效自评报告</w:t>
      </w:r>
    </w:p>
    <w:p w14:paraId="0222E2D8">
      <w:pPr>
        <w:spacing w:line="360" w:lineRule="auto"/>
        <w:ind w:firstLine="883"/>
        <w:jc w:val="center"/>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w:t>
      </w:r>
      <w:r>
        <w:rPr>
          <w:rFonts w:hint="eastAsia" w:eastAsia="方正楷体_GBK"/>
          <w:b/>
          <w:color w:val="auto"/>
          <w:sz w:val="32"/>
          <w:szCs w:val="32"/>
        </w:rPr>
        <w:t>医疗救助资金</w:t>
      </w:r>
      <w:r>
        <w:rPr>
          <w:rFonts w:hint="eastAsia" w:ascii="仿宋_GB2312" w:hAnsi="宋体" w:eastAsia="仿宋_GB2312"/>
          <w:color w:val="auto"/>
          <w:sz w:val="32"/>
          <w:szCs w:val="32"/>
          <w:lang w:val="zh-CN"/>
        </w:rPr>
        <w:t>）</w:t>
      </w:r>
    </w:p>
    <w:p w14:paraId="4D1F6962">
      <w:pPr>
        <w:spacing w:line="360" w:lineRule="auto"/>
        <w:ind w:firstLine="640"/>
        <w:jc w:val="center"/>
        <w:rPr>
          <w:rFonts w:ascii="宋体" w:hAnsi="宋体"/>
          <w:color w:val="auto"/>
          <w:sz w:val="32"/>
          <w:szCs w:val="32"/>
          <w:lang w:val="zh-CN"/>
        </w:rPr>
      </w:pPr>
    </w:p>
    <w:p w14:paraId="6E40A5AC">
      <w:pPr>
        <w:adjustRightInd w:val="0"/>
        <w:snapToGrid w:val="0"/>
        <w:spacing w:line="360" w:lineRule="auto"/>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0BF24EBF">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14:paraId="52AEBB77">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1．说明项目主管部门（单位）在该项目管理中的职能。</w:t>
      </w:r>
    </w:p>
    <w:p w14:paraId="63CCB4B8">
      <w:pPr>
        <w:spacing w:line="360" w:lineRule="auto"/>
        <w:ind w:firstLine="640" w:firstLineChars="200"/>
        <w:rPr>
          <w:color w:val="auto"/>
          <w:lang w:val="zh-CN"/>
        </w:rPr>
      </w:pPr>
      <w:r>
        <w:rPr>
          <w:rFonts w:hint="eastAsia" w:eastAsia="仿宋_GB2312"/>
          <w:color w:val="auto"/>
          <w:sz w:val="32"/>
          <w:szCs w:val="32"/>
        </w:rPr>
        <w:t>主管部门在该项目管理中的职能主要是贯彻执行医疗保险、生育保险、医疗救助等医疗保障的法律、法规、规章。</w:t>
      </w:r>
    </w:p>
    <w:p w14:paraId="09B27855">
      <w:pPr>
        <w:numPr>
          <w:ilvl w:val="0"/>
          <w:numId w:val="6"/>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项目立项、资金申报的依据。</w:t>
      </w:r>
    </w:p>
    <w:p w14:paraId="6140ADAD">
      <w:pPr>
        <w:pStyle w:val="2"/>
        <w:spacing w:before="93" w:line="360" w:lineRule="auto"/>
        <w:rPr>
          <w:color w:val="auto"/>
        </w:rPr>
      </w:pPr>
      <w:r>
        <w:rPr>
          <w:rFonts w:hint="eastAsia"/>
          <w:color w:val="auto"/>
        </w:rPr>
        <w:t xml:space="preserve">     </w:t>
      </w:r>
      <w:r>
        <w:rPr>
          <w:rFonts w:hint="eastAsia"/>
          <w:color w:val="auto"/>
          <w:sz w:val="32"/>
          <w:szCs w:val="32"/>
        </w:rPr>
        <w:t>根据《盐边县机构改革方案》的通知 （盐边委发〔2019〕1 号）文件明确县民政局的医疗救助职责划转县医疗保障局，负责资助困难群众医疗保险参保以及重点救助对象的门诊、住院医疗费。</w:t>
      </w:r>
    </w:p>
    <w:p w14:paraId="5FC92F21">
      <w:pPr>
        <w:numPr>
          <w:ilvl w:val="0"/>
          <w:numId w:val="6"/>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资金管理办法制定情况，资金支持具体项目的条件、范围与支持方式概况。</w:t>
      </w:r>
    </w:p>
    <w:p w14:paraId="1ABAB0DC">
      <w:pPr>
        <w:pStyle w:val="2"/>
        <w:spacing w:before="93" w:line="360" w:lineRule="auto"/>
        <w:ind w:left="720"/>
        <w:rPr>
          <w:color w:val="auto"/>
          <w:sz w:val="32"/>
          <w:szCs w:val="32"/>
        </w:rPr>
      </w:pPr>
      <w:r>
        <w:rPr>
          <w:rFonts w:hint="eastAsia"/>
          <w:color w:val="auto"/>
          <w:sz w:val="32"/>
          <w:szCs w:val="32"/>
        </w:rPr>
        <w:t>项目资金由我单位管理支付，支付范围包括资助困难群</w:t>
      </w:r>
    </w:p>
    <w:p w14:paraId="4BDB121B">
      <w:pPr>
        <w:pStyle w:val="2"/>
        <w:spacing w:before="93" w:line="360" w:lineRule="auto"/>
        <w:rPr>
          <w:color w:val="auto"/>
          <w:lang w:val="zh-CN"/>
        </w:rPr>
      </w:pPr>
      <w:r>
        <w:rPr>
          <w:rFonts w:hint="eastAsia"/>
          <w:color w:val="auto"/>
          <w:sz w:val="32"/>
          <w:szCs w:val="32"/>
        </w:rPr>
        <w:t>众城乡居民医疗保险参保，资助重点救助对象的门诊、住院医疗费。</w:t>
      </w:r>
    </w:p>
    <w:p w14:paraId="7F0ECC5B">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14:paraId="1E67431A">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1．项目主要内容。</w:t>
      </w:r>
    </w:p>
    <w:p w14:paraId="00AB088D">
      <w:pPr>
        <w:spacing w:line="360" w:lineRule="auto"/>
        <w:ind w:firstLine="640" w:firstLineChars="200"/>
        <w:rPr>
          <w:color w:val="auto"/>
          <w:lang w:val="zh-CN"/>
        </w:rPr>
      </w:pPr>
      <w:r>
        <w:rPr>
          <w:rFonts w:hint="eastAsia" w:eastAsia="仿宋_GB2312"/>
          <w:color w:val="auto"/>
          <w:sz w:val="32"/>
          <w:szCs w:val="32"/>
        </w:rPr>
        <w:t>持续做好困难群众参保资助工作；重点救助对象自付医疗费用按规定年度限额内住院救助比例达到70%；年度救助对象人次符合客观需要；强化医疗救助规范管理。有效化解不合理累计结余。</w:t>
      </w:r>
    </w:p>
    <w:p w14:paraId="18FB59DF">
      <w:pPr>
        <w:numPr>
          <w:ilvl w:val="0"/>
          <w:numId w:val="7"/>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项目应实现的具体绩效目标，包括目标的量化、细化情况以及项目实施进度计划等。</w:t>
      </w:r>
    </w:p>
    <w:p w14:paraId="6A6CC951">
      <w:pPr>
        <w:spacing w:line="360" w:lineRule="auto"/>
        <w:ind w:firstLine="640"/>
        <w:rPr>
          <w:rFonts w:eastAsia="仿宋_GB2312"/>
          <w:color w:val="auto"/>
          <w:sz w:val="32"/>
          <w:szCs w:val="32"/>
        </w:rPr>
      </w:pPr>
      <w:r>
        <w:rPr>
          <w:rFonts w:hint="eastAsia" w:eastAsia="仿宋_GB2312"/>
          <w:color w:val="auto"/>
          <w:sz w:val="32"/>
          <w:szCs w:val="32"/>
        </w:rPr>
        <w:t>项目完成指标包括数量指标：①资助参保人次数：4992人；②住院救助人次数：5012人；③门诊救助人次数：381人。质量指标：①资助参保资金支出165.9万元；②住院救助资金支出793.47万元；③门诊救助资金支出2.66万元；④重点救助对象自付费用按规定年度限额内住院救助比例：≥70%。时效指标：“一站式”即时结算覆盖率：100%。</w:t>
      </w:r>
    </w:p>
    <w:p w14:paraId="6193977D">
      <w:pPr>
        <w:spacing w:line="360" w:lineRule="auto"/>
        <w:ind w:firstLine="640"/>
        <w:rPr>
          <w:rFonts w:eastAsia="仿宋_GB2312"/>
          <w:color w:val="auto"/>
          <w:sz w:val="32"/>
          <w:szCs w:val="32"/>
        </w:rPr>
      </w:pPr>
      <w:r>
        <w:rPr>
          <w:rFonts w:eastAsia="仿宋_GB2312"/>
          <w:color w:val="auto"/>
          <w:sz w:val="32"/>
          <w:szCs w:val="32"/>
        </w:rPr>
        <w:t>项目效益</w:t>
      </w:r>
      <w:r>
        <w:rPr>
          <w:rFonts w:hint="eastAsia" w:eastAsia="仿宋_GB2312"/>
          <w:color w:val="auto"/>
          <w:sz w:val="32"/>
          <w:szCs w:val="32"/>
        </w:rPr>
        <w:t>指标包括经济效益指标：不合理累计结余减少程度：100%。社会效益指标：①医疗救助对象覆盖范围，建档立卡贫困户、非建档立卡特殊困难户、民政认定的特殊身份人群、低收入对象及因病返贫对象标准明确；②困难群众看病就医方便程度：明显提高；③对健全社会救助体系的影响：成效明显。可持续影响指标：困难群众医疗费用负担减轻程度：有效缓解。</w:t>
      </w:r>
    </w:p>
    <w:p w14:paraId="6250462B">
      <w:pPr>
        <w:spacing w:line="360" w:lineRule="auto"/>
        <w:ind w:firstLine="640" w:firstLineChars="200"/>
        <w:rPr>
          <w:color w:val="auto"/>
          <w:lang w:val="zh-CN"/>
        </w:rPr>
      </w:pPr>
      <w:r>
        <w:rPr>
          <w:rFonts w:eastAsia="仿宋_GB2312"/>
          <w:color w:val="auto"/>
          <w:sz w:val="32"/>
          <w:szCs w:val="32"/>
        </w:rPr>
        <w:t>满意度指标</w:t>
      </w:r>
      <w:r>
        <w:rPr>
          <w:rFonts w:hint="eastAsia" w:eastAsia="仿宋_GB2312"/>
          <w:color w:val="auto"/>
          <w:sz w:val="32"/>
          <w:szCs w:val="32"/>
        </w:rPr>
        <w:t>包括：①政策知晓率：≥98%；②救助对象满意度：100%。</w:t>
      </w:r>
    </w:p>
    <w:p w14:paraId="715E0667">
      <w:pPr>
        <w:numPr>
          <w:ilvl w:val="0"/>
          <w:numId w:val="7"/>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分析评价申报内容是否与实际相符，申报目标是否合理可行。</w:t>
      </w:r>
    </w:p>
    <w:p w14:paraId="5A9CD4ED">
      <w:pPr>
        <w:pStyle w:val="2"/>
        <w:spacing w:before="93" w:line="360" w:lineRule="auto"/>
        <w:ind w:left="720"/>
        <w:rPr>
          <w:color w:val="auto"/>
          <w:lang w:val="zh-CN"/>
        </w:rPr>
      </w:pPr>
      <w:r>
        <w:rPr>
          <w:rFonts w:hint="eastAsia"/>
          <w:color w:val="auto"/>
          <w:sz w:val="32"/>
          <w:szCs w:val="32"/>
        </w:rPr>
        <w:t>评价申报内容与实际基本相符，申报目标合理可行。</w:t>
      </w:r>
    </w:p>
    <w:p w14:paraId="39AA028F">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14:paraId="3242E963">
      <w:pPr>
        <w:spacing w:line="360" w:lineRule="auto"/>
        <w:ind w:firstLine="640" w:firstLineChars="200"/>
        <w:rPr>
          <w:rFonts w:eastAsia="仿宋_GB2312"/>
          <w:color w:val="auto"/>
          <w:sz w:val="32"/>
          <w:szCs w:val="32"/>
        </w:rPr>
      </w:pPr>
      <w:r>
        <w:rPr>
          <w:rFonts w:hint="eastAsia" w:eastAsia="仿宋_GB2312"/>
          <w:color w:val="auto"/>
          <w:sz w:val="32"/>
          <w:szCs w:val="32"/>
        </w:rPr>
        <w:t>本项目采取自评的方式，由项目负责人结合评价内容，做到有计划，有安排，扎实开展自评工作。按照项目支出绩效评价指标体系，对项目内容、实施情况、社会效益等开展自评工作。</w:t>
      </w:r>
    </w:p>
    <w:p w14:paraId="2A4B37EE">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6BC35FC8">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14:paraId="6D0969D2">
      <w:pPr>
        <w:adjustRightInd w:val="0"/>
        <w:snapToGrid w:val="0"/>
        <w:spacing w:line="360" w:lineRule="auto"/>
        <w:ind w:firstLine="640" w:firstLineChars="200"/>
        <w:rPr>
          <w:rFonts w:ascii="仿宋_GB2312" w:hAnsi="宋体" w:eastAsia="仿宋_GB2312"/>
          <w:color w:val="auto"/>
          <w:sz w:val="32"/>
          <w:szCs w:val="32"/>
          <w:lang w:val="zh-CN"/>
        </w:rPr>
      </w:pPr>
      <w:r>
        <w:rPr>
          <w:rFonts w:hint="eastAsia" w:eastAsia="仿宋_GB2312"/>
          <w:color w:val="auto"/>
          <w:sz w:val="32"/>
          <w:szCs w:val="32"/>
        </w:rPr>
        <w:t>县级资金根据政策文件及上年度费用估算，拟定资金请示，经县级政府批准。县级资金由县财政根据盐财</w:t>
      </w:r>
      <w:r>
        <w:rPr>
          <w:rFonts w:hint="eastAsia" w:eastAsia="仿宋_GB2312"/>
          <w:color w:val="auto"/>
          <w:kern w:val="0"/>
          <w:sz w:val="32"/>
          <w:szCs w:val="32"/>
        </w:rPr>
        <w:t>资行</w:t>
      </w:r>
      <w:r>
        <w:rPr>
          <w:rFonts w:hint="eastAsia" w:eastAsia="仿宋_GB2312"/>
          <w:color w:val="auto"/>
          <w:sz w:val="32"/>
          <w:szCs w:val="32"/>
        </w:rPr>
        <w:t>〔2021〕219号下达资金163.73万元，盐财</w:t>
      </w:r>
      <w:r>
        <w:rPr>
          <w:rFonts w:hint="eastAsia" w:eastAsia="仿宋_GB2312"/>
          <w:color w:val="auto"/>
          <w:kern w:val="0"/>
          <w:sz w:val="32"/>
          <w:szCs w:val="32"/>
        </w:rPr>
        <w:t>资行</w:t>
      </w:r>
      <w:r>
        <w:rPr>
          <w:rFonts w:hint="eastAsia" w:eastAsia="仿宋_GB2312"/>
          <w:color w:val="auto"/>
          <w:sz w:val="32"/>
          <w:szCs w:val="32"/>
        </w:rPr>
        <w:t>〔2021〕535号下达资金230万元。</w:t>
      </w:r>
    </w:p>
    <w:p w14:paraId="7A026DF3">
      <w:pPr>
        <w:adjustRightInd w:val="0"/>
        <w:snapToGrid w:val="0"/>
        <w:spacing w:line="360" w:lineRule="auto"/>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（二）资金计划、到位及使用情况（可用表格形式反映）。</w:t>
      </w:r>
    </w:p>
    <w:p w14:paraId="6DBA3A48">
      <w:pPr>
        <w:spacing w:line="360" w:lineRule="auto"/>
        <w:ind w:firstLine="640" w:firstLineChars="20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1．资金计划。</w:t>
      </w:r>
    </w:p>
    <w:p w14:paraId="3D45E416">
      <w:pPr>
        <w:spacing w:line="360" w:lineRule="auto"/>
        <w:ind w:firstLine="640" w:firstLineChars="200"/>
        <w:rPr>
          <w:rFonts w:ascii="仿宋_GB2312" w:hAnsi="宋体" w:eastAsia="仿宋_GB2312"/>
          <w:color w:val="auto"/>
          <w:sz w:val="32"/>
          <w:szCs w:val="32"/>
          <w:lang w:val="zh-CN"/>
        </w:rPr>
      </w:pPr>
      <w:r>
        <w:rPr>
          <w:rFonts w:hint="eastAsia" w:eastAsia="仿宋_GB2312"/>
          <w:bCs/>
          <w:color w:val="auto"/>
          <w:sz w:val="32"/>
          <w:szCs w:val="32"/>
        </w:rPr>
        <w:t>该项目有中央资金、省级资金，不足部分由县级财政负责兜底</w:t>
      </w:r>
      <w:r>
        <w:rPr>
          <w:rFonts w:eastAsia="仿宋_GB2312"/>
          <w:bCs/>
          <w:color w:val="auto"/>
          <w:sz w:val="32"/>
          <w:szCs w:val="32"/>
        </w:rPr>
        <w:t>。</w:t>
      </w:r>
    </w:p>
    <w:p w14:paraId="0DAD0C5E">
      <w:pPr>
        <w:numPr>
          <w:ilvl w:val="0"/>
          <w:numId w:val="8"/>
        </w:numPr>
        <w:adjustRightInd w:val="0"/>
        <w:snapToGrid w:val="0"/>
        <w:spacing w:line="360" w:lineRule="auto"/>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资金到位。</w:t>
      </w:r>
    </w:p>
    <w:p w14:paraId="4B6A2C2E">
      <w:pPr>
        <w:pStyle w:val="2"/>
        <w:spacing w:before="93" w:line="360" w:lineRule="auto"/>
        <w:rPr>
          <w:rFonts w:ascii="Times New Roman"/>
          <w:bCs/>
          <w:color w:val="auto"/>
          <w:kern w:val="2"/>
          <w:sz w:val="32"/>
          <w:szCs w:val="32"/>
        </w:rPr>
      </w:pPr>
      <w:r>
        <w:rPr>
          <w:rFonts w:hint="eastAsia" w:ascii="楷体_GB2312" w:hAnsi="宋体" w:eastAsia="楷体_GB2312"/>
          <w:color w:val="auto"/>
          <w:sz w:val="32"/>
          <w:szCs w:val="32"/>
        </w:rPr>
        <w:t xml:space="preserve">     </w:t>
      </w:r>
      <w:r>
        <w:rPr>
          <w:rFonts w:hint="eastAsia" w:ascii="Times New Roman"/>
          <w:bCs/>
          <w:color w:val="auto"/>
          <w:kern w:val="2"/>
          <w:sz w:val="32"/>
          <w:szCs w:val="32"/>
        </w:rPr>
        <w:t>2021年下达中央资金465.47万元，省级资金102.77万元，县级资金393.73万元。</w:t>
      </w:r>
    </w:p>
    <w:p w14:paraId="5A9CB080">
      <w:pPr>
        <w:numPr>
          <w:ilvl w:val="0"/>
          <w:numId w:val="8"/>
        </w:numPr>
        <w:adjustRightInd w:val="0"/>
        <w:snapToGrid w:val="0"/>
        <w:spacing w:line="360" w:lineRule="auto"/>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资金使用。</w:t>
      </w:r>
    </w:p>
    <w:p w14:paraId="6616EE15">
      <w:pPr>
        <w:adjustRightInd w:val="0"/>
        <w:snapToGrid w:val="0"/>
        <w:spacing w:line="360" w:lineRule="auto"/>
        <w:ind w:left="720"/>
        <w:rPr>
          <w:rFonts w:ascii="仿宋_GB2312" w:hAnsi="宋体" w:eastAsia="仿宋_GB2312"/>
          <w:color w:val="auto"/>
          <w:sz w:val="32"/>
          <w:szCs w:val="32"/>
        </w:rPr>
      </w:pPr>
      <w:r>
        <w:rPr>
          <w:rFonts w:hint="eastAsia" w:eastAsia="仿宋_GB2312"/>
          <w:color w:val="auto"/>
          <w:sz w:val="32"/>
          <w:szCs w:val="32"/>
        </w:rPr>
        <w:t>根据实际发生费用支付，2021年全部资金已支付完成。</w:t>
      </w:r>
    </w:p>
    <w:p w14:paraId="05AD08B5">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14:paraId="2F86CFF6">
      <w:pPr>
        <w:spacing w:line="360" w:lineRule="auto"/>
        <w:ind w:firstLine="640" w:firstLineChars="200"/>
        <w:rPr>
          <w:rFonts w:eastAsia="仿宋_GB2312"/>
          <w:color w:val="auto"/>
          <w:sz w:val="32"/>
          <w:szCs w:val="32"/>
        </w:rPr>
      </w:pPr>
      <w:r>
        <w:rPr>
          <w:rFonts w:hint="eastAsia" w:eastAsia="仿宋_GB2312"/>
          <w:color w:val="auto"/>
          <w:sz w:val="32"/>
          <w:szCs w:val="32"/>
        </w:rPr>
        <w:t>项目实施单位财务管理制度健全，严格执行财务管理制度，账务处理及时，会计核算规范。</w:t>
      </w:r>
    </w:p>
    <w:p w14:paraId="3E6F060C">
      <w:pPr>
        <w:spacing w:line="360" w:lineRule="auto"/>
        <w:ind w:firstLine="640" w:firstLineChars="200"/>
        <w:rPr>
          <w:rFonts w:eastAsia="仿宋_GB2312"/>
          <w:color w:val="auto"/>
          <w:sz w:val="32"/>
          <w:szCs w:val="32"/>
        </w:rPr>
      </w:pPr>
      <w:r>
        <w:rPr>
          <w:rFonts w:hint="eastAsia" w:eastAsia="仿宋_GB2312"/>
          <w:color w:val="auto"/>
          <w:sz w:val="32"/>
          <w:szCs w:val="32"/>
        </w:rPr>
        <w:t>2021年盐边县医疗保障局定期与县财政局核对医疗救助资金，及时了解资金到位情况。定期向市医保局上解医疗救助资金，用于我县特殊人群市内就医医疗救助资金结算。县民政部门、县乡村振兴局、县财政、县医保局安排专人负责医疗救助对象认定、救助金审核、发放及资金监管工作。县民政局和县乡村振兴局负责医疗救助对象的认定，县医保局做好救助对象医疗救助金审核、发放工作，县财政部门统筹安排医疗救助资金，并对资金使用情况进行管理和监督。</w:t>
      </w:r>
    </w:p>
    <w:p w14:paraId="78D92130">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7C14CEFB">
      <w:pPr>
        <w:spacing w:line="360" w:lineRule="auto"/>
        <w:ind w:firstLine="640" w:firstLineChars="200"/>
        <w:rPr>
          <w:rFonts w:eastAsia="楷体_GB2312"/>
          <w:color w:val="auto"/>
          <w:sz w:val="32"/>
          <w:szCs w:val="32"/>
        </w:rPr>
      </w:pPr>
      <w:r>
        <w:rPr>
          <w:rFonts w:hint="eastAsia" w:eastAsia="仿宋_GB2312"/>
          <w:color w:val="auto"/>
          <w:sz w:val="32"/>
          <w:szCs w:val="32"/>
        </w:rPr>
        <w:t>项目由本单位具体实施，医疗保险基金为市级统筹。资金支付方式有：一是根据市级单位医疗救助“一单制”周转金划转表上解资金到市级单位统一核算；二是县内定点医疗机构产生的医疗救助费用直接拨付到定点医疗机构；三是在市内其他区县产生的医疗救助费用根据实际拨付到区县；四是未实现“一单制”结算的医疗救助费用通过惠民惠农“一卡通”支付到本人社会保障卡。</w:t>
      </w:r>
    </w:p>
    <w:p w14:paraId="6A8A05C2">
      <w:pPr>
        <w:adjustRightInd w:val="0"/>
        <w:snapToGrid w:val="0"/>
        <w:spacing w:line="360" w:lineRule="auto"/>
        <w:ind w:firstLine="720"/>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hint="eastAsia" w:ascii="仿宋_GB2312" w:hAnsi="宋体" w:eastAsia="仿宋_GB2312"/>
          <w:color w:val="auto"/>
          <w:sz w:val="32"/>
          <w:szCs w:val="32"/>
          <w:lang w:val="zh-CN"/>
        </w:rPr>
        <w:tab/>
      </w:r>
    </w:p>
    <w:p w14:paraId="3364DC72">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1D63572B">
      <w:pPr>
        <w:spacing w:line="360" w:lineRule="auto"/>
        <w:ind w:left="638" w:leftChars="304"/>
        <w:rPr>
          <w:rFonts w:eastAsia="仿宋_GB2312"/>
          <w:color w:val="auto"/>
          <w:sz w:val="32"/>
          <w:szCs w:val="32"/>
        </w:rPr>
      </w:pPr>
      <w:r>
        <w:rPr>
          <w:rFonts w:hint="eastAsia" w:eastAsia="仿宋_GB2312"/>
          <w:color w:val="auto"/>
          <w:sz w:val="32"/>
          <w:szCs w:val="32"/>
        </w:rPr>
        <w:t>2021年资助了4992名城乡困难群众参加基本医疗保险；</w:t>
      </w:r>
    </w:p>
    <w:p w14:paraId="21342942">
      <w:pPr>
        <w:spacing w:line="360" w:lineRule="auto"/>
        <w:rPr>
          <w:rFonts w:ascii="楷体_GB2312" w:hAnsi="宋体" w:eastAsia="楷体_GB2312"/>
          <w:b/>
          <w:color w:val="auto"/>
          <w:sz w:val="32"/>
          <w:szCs w:val="32"/>
          <w:lang w:val="zh-CN"/>
        </w:rPr>
      </w:pPr>
      <w:r>
        <w:rPr>
          <w:rFonts w:hint="eastAsia" w:eastAsia="仿宋_GB2312"/>
          <w:color w:val="auto"/>
          <w:sz w:val="32"/>
          <w:szCs w:val="32"/>
        </w:rPr>
        <w:t>重点救助对象自付医疗费用按规定年度限额内住院救助比例达到70%；年度住院救助</w:t>
      </w:r>
      <w:r>
        <w:rPr>
          <w:rFonts w:eastAsia="仿宋_GB2312"/>
          <w:color w:val="auto"/>
          <w:sz w:val="32"/>
          <w:szCs w:val="32"/>
        </w:rPr>
        <w:t>5012</w:t>
      </w:r>
      <w:r>
        <w:rPr>
          <w:rFonts w:hint="eastAsia" w:eastAsia="仿宋_GB2312"/>
          <w:color w:val="auto"/>
          <w:sz w:val="32"/>
          <w:szCs w:val="32"/>
        </w:rPr>
        <w:t>人.次，门诊救助</w:t>
      </w:r>
      <w:r>
        <w:rPr>
          <w:rFonts w:eastAsia="仿宋_GB2312"/>
          <w:color w:val="auto"/>
          <w:sz w:val="32"/>
          <w:szCs w:val="32"/>
        </w:rPr>
        <w:t>381</w:t>
      </w:r>
      <w:r>
        <w:rPr>
          <w:rFonts w:hint="eastAsia" w:eastAsia="仿宋_GB2312"/>
          <w:color w:val="auto"/>
          <w:sz w:val="32"/>
          <w:szCs w:val="32"/>
        </w:rPr>
        <w:t>人.次；强化医疗救助规范管理，有效化解不合理累计结余；减轻困难群众医疗负担。</w:t>
      </w:r>
    </w:p>
    <w:p w14:paraId="47376A46">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14:paraId="17BDE5CA">
      <w:pPr>
        <w:spacing w:line="360" w:lineRule="auto"/>
        <w:ind w:firstLine="640"/>
        <w:rPr>
          <w:rFonts w:ascii="黑体" w:hAnsi="宋体" w:eastAsia="黑体"/>
          <w:color w:val="auto"/>
          <w:sz w:val="32"/>
          <w:szCs w:val="32"/>
        </w:rPr>
      </w:pPr>
      <w:r>
        <w:rPr>
          <w:rFonts w:hint="eastAsia" w:eastAsia="仿宋_GB2312"/>
          <w:color w:val="auto"/>
          <w:sz w:val="32"/>
          <w:szCs w:val="32"/>
        </w:rPr>
        <w:t>项目经济效益是为了减少不合理累计结余程度，社会效益是让医疗救助对建档立卡贫困户、非建档立卡特殊困难户、民政认定的特殊身份人群全覆盖；困难群众看病就医方便程度达到明显提高；对健全社会救助体系的影响达到成效明显。</w:t>
      </w:r>
    </w:p>
    <w:p w14:paraId="07282CF3">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29C436CF">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14:paraId="2E33004C">
      <w:pPr>
        <w:spacing w:line="360" w:lineRule="auto"/>
        <w:ind w:firstLine="640" w:firstLineChars="200"/>
        <w:rPr>
          <w:rFonts w:ascii="仿宋_GB2312" w:hAnsi="宋体" w:eastAsia="仿宋_GB2312"/>
          <w:color w:val="auto"/>
          <w:sz w:val="32"/>
          <w:szCs w:val="32"/>
          <w:bdr w:val="single" w:color="auto" w:sz="4" w:space="0"/>
          <w:lang w:val="zh-CN"/>
        </w:rPr>
      </w:pPr>
      <w:r>
        <w:rPr>
          <w:rFonts w:hint="eastAsia" w:eastAsia="仿宋_GB2312"/>
          <w:color w:val="auto"/>
          <w:sz w:val="32"/>
          <w:szCs w:val="32"/>
        </w:rPr>
        <w:t>该项目的实施主要是资助困难群众参加居民医疗保险；强化医疗救助规范管理，有效化解不合理累计结余；减轻困难群众医疗负担。对照项目绩效指标，都</w:t>
      </w:r>
      <w:r>
        <w:rPr>
          <w:rFonts w:hint="eastAsia" w:eastAsia="仿宋_GB2312"/>
          <w:color w:val="auto"/>
          <w:sz w:val="32"/>
          <w:szCs w:val="32"/>
          <w:lang w:eastAsia="zh-CN"/>
        </w:rPr>
        <w:t>较好地完成了</w:t>
      </w:r>
      <w:r>
        <w:rPr>
          <w:rFonts w:hint="eastAsia" w:eastAsia="仿宋_GB2312"/>
          <w:color w:val="auto"/>
          <w:sz w:val="32"/>
          <w:szCs w:val="32"/>
        </w:rPr>
        <w:t>各项绩效指标。</w:t>
      </w:r>
    </w:p>
    <w:p w14:paraId="533AFB47">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（二）存在的问题。</w:t>
      </w:r>
    </w:p>
    <w:p w14:paraId="333339F5">
      <w:pPr>
        <w:spacing w:line="360" w:lineRule="auto"/>
        <w:ind w:firstLine="640" w:firstLineChars="200"/>
        <w:rPr>
          <w:rFonts w:eastAsia="仿宋_GB2312"/>
          <w:color w:val="auto"/>
          <w:sz w:val="32"/>
          <w:szCs w:val="32"/>
        </w:rPr>
      </w:pPr>
      <w:r>
        <w:rPr>
          <w:rFonts w:hint="eastAsia" w:eastAsia="仿宋_GB2312"/>
          <w:color w:val="auto"/>
          <w:sz w:val="32"/>
          <w:szCs w:val="32"/>
        </w:rPr>
        <w:t>一是医疗救助资金缺口大。我县是省级贫困县，县级财政困难，医疗救助资金兜底缺口大。</w:t>
      </w:r>
    </w:p>
    <w:p w14:paraId="735BF009">
      <w:pPr>
        <w:spacing w:line="360" w:lineRule="auto"/>
        <w:ind w:firstLine="640" w:firstLineChars="200"/>
        <w:rPr>
          <w:rFonts w:ascii="仿宋_GB2312" w:hAnsi="宋体" w:eastAsia="仿宋_GB2312"/>
          <w:color w:val="auto"/>
          <w:sz w:val="32"/>
          <w:szCs w:val="32"/>
          <w:lang w:val="zh-CN"/>
        </w:rPr>
      </w:pPr>
      <w:r>
        <w:rPr>
          <w:rFonts w:hint="eastAsia" w:eastAsia="仿宋_GB2312"/>
          <w:color w:val="auto"/>
          <w:sz w:val="32"/>
          <w:szCs w:val="32"/>
        </w:rPr>
        <w:t>二是网络建设不完善，门诊医疗救助目前还不能实现医院前端联网结算。</w:t>
      </w:r>
      <w:r>
        <w:rPr>
          <w:rFonts w:hint="eastAsia" w:ascii="仿宋_GB2312" w:hAnsi="宋体" w:eastAsia="仿宋_GB2312"/>
          <w:color w:val="auto"/>
          <w:sz w:val="32"/>
          <w:szCs w:val="32"/>
          <w:lang w:val="zh-CN"/>
        </w:rPr>
        <w:tab/>
      </w:r>
    </w:p>
    <w:p w14:paraId="717DE097">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14:paraId="6D0D976D">
      <w:pPr>
        <w:spacing w:line="360" w:lineRule="auto"/>
        <w:ind w:firstLine="640" w:firstLineChars="200"/>
        <w:rPr>
          <w:color w:val="auto"/>
          <w:lang w:val="zh-CN"/>
        </w:rPr>
      </w:pPr>
      <w:r>
        <w:rPr>
          <w:rFonts w:hint="eastAsia" w:eastAsia="仿宋_GB2312"/>
          <w:color w:val="auto"/>
          <w:sz w:val="32"/>
          <w:szCs w:val="32"/>
        </w:rPr>
        <w:t>按照省、市医疗保障局工作部署，恳请省局继续加大对盐边县医疗救助转移性财政资金支持力度，进一步提高中央和省级医疗救助补助资金的支持。</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4CE70F38">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67CBAED1">
            <w:pPr>
              <w:widowControl/>
              <w:spacing w:line="360" w:lineRule="auto"/>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14:paraId="5BE91006">
            <w:pPr>
              <w:widowControl/>
              <w:spacing w:line="360" w:lineRule="auto"/>
              <w:jc w:val="center"/>
              <w:textAlignment w:val="center"/>
              <w:rPr>
                <w:rFonts w:hint="eastAsia" w:ascii="仿宋_GB2312" w:hAnsi="仿宋_GB2312" w:eastAsia="仿宋_GB2312" w:cs="仿宋_GB2312"/>
                <w:b/>
                <w:color w:val="auto"/>
                <w:kern w:val="0"/>
                <w:sz w:val="32"/>
                <w:szCs w:val="32"/>
              </w:rPr>
            </w:pPr>
          </w:p>
        </w:tc>
      </w:tr>
      <w:tr w14:paraId="12315894">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8D3EF">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FCD65">
            <w:pPr>
              <w:widowControl/>
              <w:spacing w:line="360" w:lineRule="auto"/>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518001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B82">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719F">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盐边县医疗保障局</w:t>
            </w:r>
          </w:p>
        </w:tc>
      </w:tr>
      <w:tr w14:paraId="6E86F8E6">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EFA80">
            <w:pPr>
              <w:widowControl/>
              <w:spacing w:line="360" w:lineRule="auto"/>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项目预算</w:t>
            </w:r>
          </w:p>
          <w:p w14:paraId="034FD005">
            <w:pPr>
              <w:widowControl/>
              <w:spacing w:line="360" w:lineRule="auto"/>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执行情况</w:t>
            </w:r>
          </w:p>
          <w:p w14:paraId="32C053A0">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91D1">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5B99">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33DC">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356">
            <w:pPr>
              <w:widowControl/>
              <w:spacing w:line="360" w:lineRule="auto"/>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961.97</w:t>
            </w:r>
          </w:p>
        </w:tc>
      </w:tr>
      <w:tr w14:paraId="56F48627">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F1DB">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822B">
            <w:pPr>
              <w:widowControl/>
              <w:spacing w:line="360" w:lineRule="auto"/>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w:t>
            </w:r>
          </w:p>
          <w:p w14:paraId="3F23EF61">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4B6F">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961.97</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14E">
            <w:pPr>
              <w:widowControl/>
              <w:spacing w:line="360" w:lineRule="auto"/>
              <w:jc w:val="left"/>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w:t>
            </w:r>
          </w:p>
          <w:p w14:paraId="41036A58">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F4B8">
            <w:pPr>
              <w:widowControl/>
              <w:spacing w:line="360" w:lineRule="auto"/>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961.97</w:t>
            </w:r>
          </w:p>
        </w:tc>
      </w:tr>
      <w:tr w14:paraId="3FB5FF7E">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1D190">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53A5">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405">
            <w:pPr>
              <w:widowControl/>
              <w:spacing w:line="360" w:lineRule="auto"/>
              <w:jc w:val="left"/>
              <w:textAlignment w:val="center"/>
              <w:rPr>
                <w:rFonts w:hint="eastAsia" w:ascii="仿宋_GB2312" w:hAnsi="仿宋_GB2312" w:eastAsia="仿宋_GB2312" w:cs="仿宋_GB2312"/>
                <w:color w:val="auto"/>
                <w:sz w:val="24"/>
                <w:szCs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5DA5">
            <w:pPr>
              <w:widowControl/>
              <w:spacing w:line="360" w:lineRule="auto"/>
              <w:jc w:val="left"/>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337">
            <w:pPr>
              <w:widowControl/>
              <w:spacing w:line="360" w:lineRule="auto"/>
              <w:jc w:val="center"/>
              <w:textAlignment w:val="center"/>
              <w:rPr>
                <w:rFonts w:hint="eastAsia" w:ascii="仿宋_GB2312" w:hAnsi="仿宋_GB2312" w:eastAsia="仿宋_GB2312" w:cs="仿宋_GB2312"/>
                <w:color w:val="auto"/>
                <w:sz w:val="24"/>
                <w:szCs w:val="24"/>
              </w:rPr>
            </w:pPr>
          </w:p>
        </w:tc>
      </w:tr>
      <w:tr w14:paraId="06209B08">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F0A6">
            <w:pPr>
              <w:widowControl/>
              <w:spacing w:line="36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年度总体目标</w:t>
            </w:r>
          </w:p>
          <w:p w14:paraId="67835A5C">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FBCDE">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BA42">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目标实际完成情况</w:t>
            </w:r>
          </w:p>
        </w:tc>
      </w:tr>
      <w:tr w14:paraId="25AE4FFE">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8016">
            <w:pPr>
              <w:spacing w:line="360" w:lineRule="auto"/>
              <w:jc w:val="center"/>
              <w:rPr>
                <w:rFonts w:hint="eastAsia" w:ascii="仿宋_GB2312" w:hAnsi="仿宋_GB2312" w:eastAsia="仿宋_GB2312" w:cs="仿宋_GB2312"/>
                <w:color w:val="auto"/>
                <w:sz w:val="24"/>
                <w:szCs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4268C542">
            <w:pPr>
              <w:widowControl/>
              <w:spacing w:line="360" w:lineRule="auto"/>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持续做好困难群众参保资助工作；重点救助对象自付医疗费用按规定年度限额内住院救助比例达到70%；年度救助对象人次符合客观需要；强化医疗救助规范管理。有效化解不合理累计结余。</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52594F9F">
            <w:pPr>
              <w:widowControl/>
              <w:spacing w:line="360" w:lineRule="auto"/>
              <w:jc w:val="left"/>
              <w:textAlignment w:val="top"/>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资助4992名城乡困难群众参加基本医疗保险；重点救助对象自付医疗费用按规定年度限额内住院救助比例达到70%；年度住院救助人次5012，门诊救助人次381；强 化医疗救助规范管理，有效化解不合理累计结余；减轻困难群众医疗负担。</w:t>
            </w:r>
          </w:p>
        </w:tc>
      </w:tr>
      <w:tr w14:paraId="6640D2F2">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713A48EB">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076DDD69">
            <w:pPr>
              <w:widowControl/>
              <w:spacing w:line="36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一级</w:t>
            </w:r>
          </w:p>
          <w:p w14:paraId="61AE2925">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7984">
            <w:pPr>
              <w:widowControl/>
              <w:spacing w:line="36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二级</w:t>
            </w:r>
          </w:p>
          <w:p w14:paraId="42CB8C50">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86E">
            <w:pPr>
              <w:widowControl/>
              <w:spacing w:line="360" w:lineRule="auto"/>
              <w:jc w:val="center"/>
              <w:textAlignment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三级</w:t>
            </w:r>
          </w:p>
          <w:p w14:paraId="2DDEEB6F">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595B">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E6F">
            <w:pPr>
              <w:widowControl/>
              <w:spacing w:line="360" w:lineRule="auto"/>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实际完成指标值</w:t>
            </w:r>
          </w:p>
        </w:tc>
      </w:tr>
      <w:tr w14:paraId="603044D8">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D11EC39">
            <w:pPr>
              <w:spacing w:line="360" w:lineRule="auto"/>
              <w:jc w:val="center"/>
              <w:rPr>
                <w:rFonts w:hint="eastAsia" w:ascii="仿宋_GB2312" w:hAnsi="仿宋_GB2312" w:eastAsia="仿宋_GB2312" w:cs="仿宋_GB2312"/>
                <w:color w:val="auto"/>
                <w:sz w:val="24"/>
                <w:szCs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F8555">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完成</w:t>
            </w:r>
          </w:p>
          <w:p w14:paraId="79F35220">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3F01">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B0E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资助参保人数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8286">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根据实际需资助人员进行资助参保</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9251">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4992人</w:t>
            </w:r>
          </w:p>
        </w:tc>
      </w:tr>
      <w:tr w14:paraId="13BF8CF7">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574E4267">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left w:val="single" w:color="000000" w:sz="4" w:space="0"/>
              <w:right w:val="single" w:color="000000" w:sz="4" w:space="0"/>
            </w:tcBorders>
            <w:shd w:val="clear" w:color="auto" w:fill="auto"/>
            <w:vAlign w:val="center"/>
          </w:tcPr>
          <w:p w14:paraId="78C605D8">
            <w:pPr>
              <w:widowControl/>
              <w:spacing w:line="360" w:lineRule="auto"/>
              <w:jc w:val="center"/>
              <w:textAlignment w:val="bottom"/>
              <w:rPr>
                <w:rFonts w:hint="eastAsia" w:ascii="仿宋_GB2312" w:hAnsi="仿宋_GB2312" w:eastAsia="仿宋_GB2312" w:cs="仿宋_GB2312"/>
                <w:color w:val="auto"/>
                <w:kern w:val="0"/>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1B5">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A374">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住院救助人次数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840">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根据实际住院人数救助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D52C">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5012人</w:t>
            </w:r>
          </w:p>
        </w:tc>
      </w:tr>
      <w:tr w14:paraId="4E5AF17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930C852">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left w:val="single" w:color="000000" w:sz="4" w:space="0"/>
              <w:right w:val="single" w:color="000000" w:sz="4" w:space="0"/>
            </w:tcBorders>
            <w:shd w:val="clear" w:color="auto" w:fill="auto"/>
            <w:vAlign w:val="center"/>
          </w:tcPr>
          <w:p w14:paraId="2AF7031F">
            <w:pPr>
              <w:widowControl/>
              <w:spacing w:line="360" w:lineRule="auto"/>
              <w:jc w:val="center"/>
              <w:textAlignment w:val="bottom"/>
              <w:rPr>
                <w:rFonts w:hint="eastAsia" w:ascii="仿宋_GB2312" w:hAnsi="仿宋_GB2312" w:eastAsia="仿宋_GB2312" w:cs="仿宋_GB2312"/>
                <w:color w:val="auto"/>
                <w:kern w:val="0"/>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496D">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F9EA">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门诊救助人次数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C66D">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根据实际门诊就医人数救助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9ED">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381人</w:t>
            </w:r>
          </w:p>
        </w:tc>
      </w:tr>
      <w:tr w14:paraId="5E036E7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2663072F">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9F30E">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3932">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CEAC">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重点救助对象自付费用按规定年度限额内住院救助比例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FA0D">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C649">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≥70%</w:t>
            </w:r>
          </w:p>
        </w:tc>
      </w:tr>
      <w:tr w14:paraId="02623B2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F344012">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C9C1">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1521">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F954">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“一站式”即时结算覆盖率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9D3A">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不低于上年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178">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14:paraId="269AA55F">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75310BE">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0363F">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EA">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C25A">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医疗救助资金使用情况</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85E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不低于上年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984">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14:paraId="73C4D0F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CE1F1A0">
            <w:pPr>
              <w:spacing w:line="360" w:lineRule="auto"/>
              <w:jc w:val="center"/>
              <w:rPr>
                <w:rFonts w:hint="eastAsia" w:ascii="仿宋_GB2312" w:hAnsi="仿宋_GB2312" w:eastAsia="仿宋_GB2312" w:cs="仿宋_GB2312"/>
                <w:color w:val="auto"/>
                <w:sz w:val="24"/>
                <w:szCs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9EB0B">
            <w:pPr>
              <w:widowControl/>
              <w:spacing w:line="360" w:lineRule="auto"/>
              <w:jc w:val="center"/>
              <w:textAlignment w:val="bottom"/>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效益</w:t>
            </w:r>
          </w:p>
          <w:p w14:paraId="58CE7A3D">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3A4C">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A931">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不合理累计结余减少程度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576C">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9DB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r w14:paraId="3D92CA8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16DBDA9">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3E462">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7F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2AA">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医疗救助对象覆盖范围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B1E">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逐步扩大</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A239">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低收入对象及因病返贫对象标准明确</w:t>
            </w:r>
          </w:p>
        </w:tc>
      </w:tr>
      <w:tr w14:paraId="106206F7">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9A5A8C0">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D424">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DC4D">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8217">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困难群众看病就医方便程度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E40">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明显提高</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5AA8">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明显提高</w:t>
            </w:r>
          </w:p>
        </w:tc>
      </w:tr>
      <w:tr w14:paraId="4B59A2CE">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5FBFA09">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A827A">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7177">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4D8F">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困难群众医疗费用负担减轻程度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8D43">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有效缓解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41C4">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有效缓解</w:t>
            </w:r>
          </w:p>
        </w:tc>
      </w:tr>
      <w:tr w14:paraId="6060DD98">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5A47BB8A">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67EF8">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AAB8">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A51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对健全社会救助体系的影响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6C18">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成效明显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84A5">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成效明显</w:t>
            </w:r>
          </w:p>
        </w:tc>
      </w:tr>
      <w:tr w14:paraId="56309A6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43276BEB">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A33C">
            <w:pPr>
              <w:spacing w:line="360" w:lineRule="auto"/>
              <w:jc w:val="center"/>
              <w:rPr>
                <w:rFonts w:hint="eastAsia" w:ascii="仿宋_GB2312" w:hAnsi="仿宋_GB2312" w:eastAsia="仿宋_GB2312" w:cs="仿宋_GB2312"/>
                <w:color w:val="auto"/>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7083">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9655">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对健全医疗保障制度体系的作用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84DC">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成效明显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5D87">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成效明显</w:t>
            </w:r>
          </w:p>
        </w:tc>
      </w:tr>
      <w:tr w14:paraId="2A519596">
        <w:tblPrEx>
          <w:tblCellMar>
            <w:top w:w="0" w:type="dxa"/>
            <w:left w:w="108" w:type="dxa"/>
            <w:bottom w:w="0" w:type="dxa"/>
            <w:right w:w="108" w:type="dxa"/>
          </w:tblCellMar>
        </w:tblPrEx>
        <w:trPr>
          <w:gridAfter w:val="1"/>
          <w:wAfter w:w="236" w:type="dxa"/>
          <w:trHeight w:val="260" w:hRule="atLeast"/>
        </w:trPr>
        <w:tc>
          <w:tcPr>
            <w:tcW w:w="1976" w:type="dxa"/>
            <w:vMerge w:val="continue"/>
            <w:tcBorders>
              <w:left w:val="single" w:color="000000" w:sz="4" w:space="0"/>
              <w:right w:val="single" w:color="000000" w:sz="4" w:space="0"/>
            </w:tcBorders>
            <w:shd w:val="clear" w:color="auto" w:fill="auto"/>
            <w:vAlign w:val="center"/>
          </w:tcPr>
          <w:p w14:paraId="6DF884C9">
            <w:pPr>
              <w:spacing w:line="360" w:lineRule="auto"/>
              <w:jc w:val="center"/>
              <w:rPr>
                <w:rFonts w:hint="eastAsia" w:ascii="仿宋_GB2312" w:hAnsi="仿宋_GB2312" w:eastAsia="仿宋_GB2312" w:cs="仿宋_GB2312"/>
                <w:color w:val="auto"/>
                <w:sz w:val="24"/>
                <w:szCs w:val="24"/>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14:paraId="0EE420D9">
            <w:pPr>
              <w:widowControl/>
              <w:spacing w:line="360" w:lineRule="auto"/>
              <w:jc w:val="center"/>
              <w:textAlignment w:val="bottom"/>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满意</w:t>
            </w:r>
          </w:p>
          <w:p w14:paraId="7D82FFEF">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702">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满意度</w:t>
            </w:r>
          </w:p>
          <w:p w14:paraId="4719AF5F">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BE0">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政策知晓率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087">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15BB">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98%</w:t>
            </w:r>
          </w:p>
        </w:tc>
      </w:tr>
      <w:tr w14:paraId="52CE3DA4">
        <w:tblPrEx>
          <w:tblCellMar>
            <w:top w:w="0" w:type="dxa"/>
            <w:left w:w="108" w:type="dxa"/>
            <w:bottom w:w="0" w:type="dxa"/>
            <w:right w:w="108" w:type="dxa"/>
          </w:tblCellMar>
        </w:tblPrEx>
        <w:trPr>
          <w:gridAfter w:val="1"/>
          <w:wAfter w:w="236" w:type="dxa"/>
          <w:trHeight w:val="530" w:hRule="atLeast"/>
        </w:trPr>
        <w:tc>
          <w:tcPr>
            <w:tcW w:w="1976" w:type="dxa"/>
            <w:tcBorders>
              <w:left w:val="single" w:color="000000" w:sz="4" w:space="0"/>
              <w:bottom w:val="single" w:color="000000" w:sz="4" w:space="0"/>
              <w:right w:val="single" w:color="000000" w:sz="4" w:space="0"/>
            </w:tcBorders>
            <w:shd w:val="clear" w:color="auto" w:fill="auto"/>
            <w:vAlign w:val="center"/>
          </w:tcPr>
          <w:p w14:paraId="309D63F0">
            <w:pPr>
              <w:spacing w:line="360" w:lineRule="auto"/>
              <w:jc w:val="center"/>
              <w:rPr>
                <w:rFonts w:hint="eastAsia" w:ascii="仿宋_GB2312" w:hAnsi="仿宋_GB2312" w:eastAsia="仿宋_GB2312" w:cs="仿宋_GB2312"/>
                <w:color w:val="auto"/>
                <w:sz w:val="24"/>
                <w:szCs w:val="24"/>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14:paraId="61BA2B1A">
            <w:pPr>
              <w:widowControl/>
              <w:spacing w:line="360" w:lineRule="auto"/>
              <w:jc w:val="center"/>
              <w:textAlignment w:val="bottom"/>
              <w:rPr>
                <w:rFonts w:hint="eastAsia" w:ascii="仿宋_GB2312" w:hAnsi="仿宋_GB2312" w:eastAsia="仿宋_GB2312" w:cs="仿宋_GB2312"/>
                <w:color w:val="auto"/>
                <w:kern w:val="0"/>
                <w:sz w:val="24"/>
                <w:szCs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5EB0">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满意度</w:t>
            </w:r>
          </w:p>
          <w:p w14:paraId="2BFFEC5F">
            <w:pPr>
              <w:widowControl/>
              <w:spacing w:line="360" w:lineRule="auto"/>
              <w:jc w:val="center"/>
              <w:textAlignment w:val="bottom"/>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F11">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912F">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4017">
            <w:pPr>
              <w:widowControl/>
              <w:spacing w:line="360" w:lineRule="auto"/>
              <w:jc w:val="center"/>
              <w:textAlignment w:val="bottom"/>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100%</w:t>
            </w:r>
          </w:p>
        </w:tc>
      </w:tr>
    </w:tbl>
    <w:p w14:paraId="0AB847C1">
      <w:pPr>
        <w:widowControl/>
        <w:spacing w:line="360" w:lineRule="auto"/>
        <w:jc w:val="left"/>
        <w:rPr>
          <w:rStyle w:val="25"/>
          <w:rFonts w:ascii="黑体" w:hAnsi="黑体" w:eastAsia="黑体"/>
          <w:b w:val="0"/>
          <w:color w:val="auto"/>
        </w:rPr>
      </w:pPr>
    </w:p>
    <w:p w14:paraId="64344086">
      <w:pPr>
        <w:widowControl/>
        <w:spacing w:line="360" w:lineRule="auto"/>
        <w:jc w:val="left"/>
        <w:rPr>
          <w:rStyle w:val="25"/>
          <w:rFonts w:ascii="黑体" w:hAnsi="黑体" w:eastAsia="黑体"/>
          <w:b w:val="0"/>
          <w:color w:val="auto"/>
        </w:rPr>
      </w:pPr>
    </w:p>
    <w:p w14:paraId="7B8A2EE5">
      <w:pPr>
        <w:widowControl/>
        <w:spacing w:line="360" w:lineRule="auto"/>
        <w:jc w:val="left"/>
        <w:rPr>
          <w:rStyle w:val="25"/>
          <w:rFonts w:ascii="黑体" w:hAnsi="黑体" w:eastAsia="黑体"/>
          <w:b w:val="0"/>
          <w:color w:val="auto"/>
        </w:rPr>
      </w:pPr>
    </w:p>
    <w:p w14:paraId="1BDBD93D">
      <w:pPr>
        <w:pStyle w:val="2"/>
        <w:spacing w:before="93" w:line="360" w:lineRule="auto"/>
        <w:rPr>
          <w:rFonts w:hAnsi="宋体" w:cs="宋体"/>
          <w:color w:val="auto"/>
          <w:sz w:val="32"/>
          <w:szCs w:val="32"/>
          <w:shd w:val="clear" w:color="auto" w:fill="FFFFFF"/>
          <w:lang w:val="zh-CN"/>
        </w:rPr>
      </w:pPr>
    </w:p>
    <w:p w14:paraId="558FDA7C">
      <w:pPr>
        <w:pStyle w:val="2"/>
        <w:spacing w:before="93" w:line="360" w:lineRule="auto"/>
        <w:rPr>
          <w:rFonts w:hAnsi="宋体" w:cs="宋体"/>
          <w:color w:val="auto"/>
          <w:sz w:val="32"/>
          <w:szCs w:val="32"/>
          <w:shd w:val="clear" w:color="auto" w:fill="FFFFFF"/>
          <w:lang w:val="zh-CN"/>
        </w:rPr>
      </w:pPr>
    </w:p>
    <w:p w14:paraId="26187AD3">
      <w:pPr>
        <w:pStyle w:val="2"/>
        <w:spacing w:before="93" w:line="360" w:lineRule="auto"/>
        <w:rPr>
          <w:rFonts w:hAnsi="宋体" w:cs="宋体"/>
          <w:color w:val="auto"/>
          <w:sz w:val="32"/>
          <w:szCs w:val="32"/>
          <w:shd w:val="clear" w:color="auto" w:fill="FFFFFF"/>
          <w:lang w:val="zh-CN"/>
        </w:rPr>
      </w:pPr>
    </w:p>
    <w:p w14:paraId="577514F6">
      <w:pPr>
        <w:pStyle w:val="2"/>
        <w:spacing w:before="93" w:line="360" w:lineRule="auto"/>
        <w:rPr>
          <w:rFonts w:hAnsi="宋体" w:cs="宋体"/>
          <w:color w:val="auto"/>
          <w:sz w:val="32"/>
          <w:szCs w:val="32"/>
          <w:shd w:val="clear" w:color="auto" w:fill="FFFFFF"/>
          <w:lang w:val="zh-CN"/>
        </w:rPr>
      </w:pPr>
    </w:p>
    <w:p w14:paraId="09550BDB">
      <w:pPr>
        <w:pStyle w:val="2"/>
        <w:spacing w:before="93" w:line="360" w:lineRule="auto"/>
        <w:rPr>
          <w:rFonts w:hAnsi="宋体" w:cs="宋体"/>
          <w:color w:val="auto"/>
          <w:sz w:val="32"/>
          <w:szCs w:val="32"/>
          <w:shd w:val="clear" w:color="auto" w:fill="FFFFFF"/>
          <w:lang w:val="zh-CN"/>
        </w:rPr>
      </w:pPr>
    </w:p>
    <w:p w14:paraId="4ED8DD34">
      <w:pPr>
        <w:pStyle w:val="2"/>
        <w:spacing w:before="93" w:line="360" w:lineRule="auto"/>
        <w:rPr>
          <w:rFonts w:hAnsi="宋体" w:cs="宋体"/>
          <w:color w:val="auto"/>
          <w:sz w:val="32"/>
          <w:szCs w:val="32"/>
          <w:shd w:val="clear" w:color="auto" w:fill="FFFFFF"/>
          <w:lang w:val="zh-CN"/>
        </w:rPr>
      </w:pPr>
    </w:p>
    <w:p w14:paraId="30831FD9">
      <w:pPr>
        <w:pStyle w:val="2"/>
        <w:spacing w:before="93" w:line="360" w:lineRule="auto"/>
        <w:rPr>
          <w:rFonts w:hAnsi="宋体" w:cs="宋体"/>
          <w:color w:val="auto"/>
          <w:sz w:val="32"/>
          <w:szCs w:val="32"/>
          <w:shd w:val="clear" w:color="auto" w:fill="FFFFFF"/>
          <w:lang w:val="zh-CN"/>
        </w:rPr>
      </w:pPr>
    </w:p>
    <w:p w14:paraId="7C096CDB">
      <w:pPr>
        <w:pStyle w:val="2"/>
        <w:spacing w:before="93" w:line="360" w:lineRule="auto"/>
        <w:rPr>
          <w:rFonts w:hAnsi="宋体" w:cs="宋体"/>
          <w:color w:val="auto"/>
          <w:sz w:val="32"/>
          <w:szCs w:val="32"/>
          <w:shd w:val="clear" w:color="auto" w:fill="FFFFFF"/>
          <w:lang w:val="zh-CN"/>
        </w:rPr>
      </w:pPr>
    </w:p>
    <w:p w14:paraId="122B7132">
      <w:pPr>
        <w:pStyle w:val="2"/>
        <w:spacing w:before="93" w:line="360" w:lineRule="auto"/>
        <w:rPr>
          <w:rFonts w:hAnsi="宋体" w:cs="宋体"/>
          <w:color w:val="auto"/>
          <w:sz w:val="32"/>
          <w:szCs w:val="32"/>
          <w:shd w:val="clear" w:color="auto" w:fill="FFFFFF"/>
          <w:lang w:val="zh-CN"/>
        </w:rPr>
      </w:pPr>
    </w:p>
    <w:p w14:paraId="4DF86AF5">
      <w:pPr>
        <w:pStyle w:val="2"/>
        <w:spacing w:before="93" w:line="360" w:lineRule="auto"/>
        <w:rPr>
          <w:rFonts w:hint="eastAsia" w:hAnsi="宋体" w:cs="宋体"/>
          <w:color w:val="auto"/>
          <w:sz w:val="32"/>
          <w:szCs w:val="32"/>
          <w:shd w:val="clear" w:color="auto" w:fill="FFFFFF"/>
          <w:lang w:val="zh-CN"/>
        </w:rPr>
      </w:pPr>
    </w:p>
    <w:p w14:paraId="77109E01">
      <w:pPr>
        <w:pStyle w:val="2"/>
        <w:spacing w:before="93" w:line="360" w:lineRule="auto"/>
        <w:rPr>
          <w:rFonts w:hint="eastAsia" w:hAnsi="宋体" w:cs="宋体"/>
          <w:color w:val="auto"/>
          <w:sz w:val="32"/>
          <w:szCs w:val="32"/>
          <w:shd w:val="clear" w:color="auto" w:fill="FFFFFF"/>
          <w:lang w:val="zh-CN"/>
        </w:rPr>
      </w:pPr>
    </w:p>
    <w:p w14:paraId="0352706C">
      <w:pPr>
        <w:pStyle w:val="2"/>
        <w:spacing w:before="93" w:line="360" w:lineRule="auto"/>
        <w:rPr>
          <w:color w:val="auto"/>
          <w:lang w:val="zh-CN"/>
        </w:rPr>
      </w:pPr>
      <w:r>
        <w:rPr>
          <w:rFonts w:hint="eastAsia" w:hAnsi="宋体" w:cs="宋体"/>
          <w:color w:val="auto"/>
          <w:sz w:val="32"/>
          <w:szCs w:val="32"/>
          <w:shd w:val="clear" w:color="auto" w:fill="FFFFFF"/>
          <w:lang w:val="zh-CN"/>
        </w:rPr>
        <w:t>附件</w:t>
      </w:r>
    </w:p>
    <w:p w14:paraId="7837BE1B">
      <w:pPr>
        <w:spacing w:line="360" w:lineRule="auto"/>
        <w:jc w:val="center"/>
        <w:rPr>
          <w:rFonts w:ascii="方正小标宋简体" w:hAnsi="方正小标宋简体" w:eastAsia="方正小标宋简体" w:cs="方正小标宋简体"/>
          <w:color w:val="auto"/>
          <w:sz w:val="40"/>
          <w:szCs w:val="40"/>
          <w:lang w:val="zh-CN"/>
        </w:rPr>
      </w:pPr>
      <w:r>
        <w:rPr>
          <w:rFonts w:hint="eastAsia" w:ascii="方正小标宋简体" w:hAnsi="方正小标宋简体" w:eastAsia="方正小标宋简体" w:cs="方正小标宋简体"/>
          <w:color w:val="auto"/>
          <w:sz w:val="40"/>
          <w:szCs w:val="40"/>
        </w:rPr>
        <w:t>2021年</w:t>
      </w:r>
      <w:r>
        <w:rPr>
          <w:rFonts w:hint="eastAsia" w:ascii="方正小标宋简体" w:hAnsi="方正小标宋简体" w:eastAsia="方正小标宋简体" w:cs="方正小标宋简体"/>
          <w:color w:val="auto"/>
          <w:sz w:val="40"/>
          <w:szCs w:val="40"/>
          <w:lang w:val="zh-CN"/>
        </w:rPr>
        <w:t>专项预算项目支出绩效自评报告范本</w:t>
      </w:r>
    </w:p>
    <w:p w14:paraId="02185015">
      <w:pPr>
        <w:spacing w:line="360" w:lineRule="auto"/>
        <w:jc w:val="center"/>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w:t>
      </w:r>
      <w:r>
        <w:rPr>
          <w:rFonts w:hint="eastAsia" w:ascii="方正小标宋_GBK" w:hAnsi="黑体" w:eastAsia="方正小标宋_GBK" w:cs="黑体"/>
          <w:color w:val="auto"/>
          <w:sz w:val="36"/>
          <w:szCs w:val="36"/>
        </w:rPr>
        <w:t>困难群众社会保险个人缴费代缴资金</w:t>
      </w:r>
      <w:r>
        <w:rPr>
          <w:rFonts w:hint="eastAsia" w:ascii="仿宋_GB2312" w:hAnsi="宋体" w:eastAsia="仿宋_GB2312"/>
          <w:color w:val="auto"/>
          <w:sz w:val="32"/>
          <w:szCs w:val="32"/>
          <w:lang w:val="zh-CN"/>
        </w:rPr>
        <w:t>）</w:t>
      </w:r>
    </w:p>
    <w:p w14:paraId="15B3EDFD">
      <w:pPr>
        <w:spacing w:line="360" w:lineRule="auto"/>
        <w:ind w:firstLine="640"/>
        <w:jc w:val="center"/>
        <w:rPr>
          <w:rFonts w:ascii="宋体" w:hAnsi="宋体"/>
          <w:color w:val="auto"/>
          <w:sz w:val="32"/>
          <w:szCs w:val="32"/>
          <w:lang w:val="zh-CN"/>
        </w:rPr>
      </w:pPr>
    </w:p>
    <w:p w14:paraId="716FB9A5">
      <w:pPr>
        <w:adjustRightInd w:val="0"/>
        <w:snapToGrid w:val="0"/>
        <w:spacing w:line="360" w:lineRule="auto"/>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5B553557">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14:paraId="27C7BE5E">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1．说明项目主管部门（单位）在该项目管理中的职能。</w:t>
      </w:r>
    </w:p>
    <w:p w14:paraId="464A9578">
      <w:pPr>
        <w:autoSpaceDE w:val="0"/>
        <w:autoSpaceDN w:val="0"/>
        <w:adjustRightInd w:val="0"/>
        <w:spacing w:line="360" w:lineRule="auto"/>
        <w:ind w:firstLine="640" w:firstLineChars="200"/>
        <w:jc w:val="left"/>
        <w:rPr>
          <w:color w:val="auto"/>
          <w:lang w:val="zh-CN"/>
        </w:rPr>
      </w:pPr>
      <w:r>
        <w:rPr>
          <w:rFonts w:eastAsia="仿宋_GB2312"/>
          <w:color w:val="auto"/>
          <w:kern w:val="0"/>
          <w:sz w:val="32"/>
          <w:szCs w:val="32"/>
        </w:rPr>
        <w:t>在该项目管理中</w:t>
      </w:r>
      <w:r>
        <w:rPr>
          <w:rFonts w:hint="eastAsia" w:eastAsia="仿宋_GB2312"/>
          <w:color w:val="auto"/>
          <w:kern w:val="0"/>
          <w:sz w:val="32"/>
          <w:szCs w:val="32"/>
        </w:rPr>
        <w:t>负责组织资助县内困难群众参保</w:t>
      </w:r>
      <w:r>
        <w:rPr>
          <w:rFonts w:eastAsia="仿宋_GB2312"/>
          <w:color w:val="auto"/>
          <w:kern w:val="0"/>
          <w:sz w:val="32"/>
          <w:szCs w:val="32"/>
        </w:rPr>
        <w:t>。</w:t>
      </w:r>
    </w:p>
    <w:p w14:paraId="146D4D17">
      <w:pPr>
        <w:numPr>
          <w:ilvl w:val="0"/>
          <w:numId w:val="9"/>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项目立项、资金申报的依据。</w:t>
      </w:r>
    </w:p>
    <w:p w14:paraId="01D96C38">
      <w:pPr>
        <w:pStyle w:val="2"/>
        <w:spacing w:before="93" w:line="360" w:lineRule="auto"/>
        <w:ind w:firstLine="640" w:firstLineChars="200"/>
        <w:rPr>
          <w:color w:val="auto"/>
          <w:lang w:val="zh-CN"/>
        </w:rPr>
      </w:pPr>
      <w:r>
        <w:rPr>
          <w:rFonts w:hint="eastAsia" w:ascii="Times New Roman"/>
          <w:color w:val="auto"/>
          <w:sz w:val="32"/>
          <w:szCs w:val="32"/>
        </w:rPr>
        <w:t>根据《攀枝花市医疗保障局等七部门关于做好资助困难居民参加2021年度城乡居民医疗保险有关工作的通知》（攀医保〔2020〕100 号）要求进行该项目立项和资金申报</w:t>
      </w:r>
      <w:r>
        <w:rPr>
          <w:rFonts w:ascii="Times New Roman"/>
          <w:color w:val="auto"/>
          <w:sz w:val="32"/>
          <w:szCs w:val="32"/>
        </w:rPr>
        <w:t>。</w:t>
      </w:r>
    </w:p>
    <w:p w14:paraId="2B0DAB42">
      <w:pPr>
        <w:numPr>
          <w:ilvl w:val="0"/>
          <w:numId w:val="9"/>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资金管理办法制定情况，资金支持具体项目的条件、范围与支持方式概况。</w:t>
      </w:r>
    </w:p>
    <w:p w14:paraId="457A4B6D">
      <w:pPr>
        <w:pStyle w:val="2"/>
        <w:spacing w:before="93" w:line="360" w:lineRule="auto"/>
        <w:ind w:left="720"/>
        <w:rPr>
          <w:rFonts w:ascii="Times New Roman"/>
          <w:color w:val="auto"/>
          <w:sz w:val="32"/>
          <w:szCs w:val="32"/>
        </w:rPr>
      </w:pPr>
      <w:r>
        <w:rPr>
          <w:rFonts w:hint="eastAsia" w:ascii="Times New Roman"/>
          <w:color w:val="auto"/>
          <w:sz w:val="32"/>
          <w:szCs w:val="32"/>
        </w:rPr>
        <w:t>项目资金由乡村振兴局（原县扶贫开发局）提供困难人</w:t>
      </w:r>
    </w:p>
    <w:p w14:paraId="6913988E">
      <w:pPr>
        <w:pStyle w:val="2"/>
        <w:spacing w:before="93" w:line="360" w:lineRule="auto"/>
        <w:rPr>
          <w:color w:val="auto"/>
          <w:lang w:val="zh-CN"/>
        </w:rPr>
      </w:pPr>
      <w:r>
        <w:rPr>
          <w:rFonts w:hint="eastAsia" w:ascii="Times New Roman"/>
          <w:color w:val="auto"/>
          <w:sz w:val="32"/>
          <w:szCs w:val="32"/>
        </w:rPr>
        <w:t>员名单，我单位根据人数及资助标准计算金额后申报资金。资金到位后</w:t>
      </w:r>
      <w:r>
        <w:rPr>
          <w:rFonts w:hint="eastAsia"/>
          <w:color w:val="auto"/>
          <w:sz w:val="32"/>
          <w:szCs w:val="32"/>
        </w:rPr>
        <w:t>转入市级单位统筹使用。</w:t>
      </w:r>
    </w:p>
    <w:p w14:paraId="6F6798D7">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14:paraId="2A02FC0C">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1．项目主要内容。</w:t>
      </w:r>
    </w:p>
    <w:p w14:paraId="38C24C15">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资助县内18074名困难群众参加2021年城乡居民医疗保险。</w:t>
      </w:r>
    </w:p>
    <w:p w14:paraId="004A6114">
      <w:pPr>
        <w:numPr>
          <w:ilvl w:val="0"/>
          <w:numId w:val="10"/>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项目应实现的具体绩效目标，包括目标的量化、细化情况以及项目实施进度计划等。</w:t>
      </w:r>
    </w:p>
    <w:p w14:paraId="0E4306AA">
      <w:pPr>
        <w:autoSpaceDE w:val="0"/>
        <w:autoSpaceDN w:val="0"/>
        <w:adjustRightInd w:val="0"/>
        <w:spacing w:line="360" w:lineRule="auto"/>
        <w:ind w:firstLine="640" w:firstLineChars="200"/>
        <w:jc w:val="left"/>
        <w:rPr>
          <w:rFonts w:eastAsia="仿宋_GB2312"/>
          <w:color w:val="auto"/>
          <w:sz w:val="32"/>
          <w:szCs w:val="32"/>
        </w:rPr>
      </w:pPr>
      <w:r>
        <w:rPr>
          <w:rFonts w:hint="eastAsia" w:eastAsia="仿宋_GB2312"/>
          <w:color w:val="auto"/>
          <w:sz w:val="32"/>
          <w:szCs w:val="32"/>
        </w:rPr>
        <w:t>项目应完成指标包括数量指标：①资助参保人数，18074人；②资助参保标准，建档立卡300元/人·年，非建档立卡150元/人·年。质量指标：困难群众参保率，100%。时效指标：参保资金上解时间，在规定时间内按时上解。</w:t>
      </w:r>
    </w:p>
    <w:p w14:paraId="532B47AB">
      <w:pPr>
        <w:spacing w:line="360" w:lineRule="auto"/>
        <w:ind w:firstLine="640"/>
        <w:rPr>
          <w:rFonts w:eastAsia="仿宋_GB2312"/>
          <w:color w:val="auto"/>
          <w:sz w:val="32"/>
          <w:szCs w:val="32"/>
        </w:rPr>
      </w:pPr>
      <w:r>
        <w:rPr>
          <w:rFonts w:eastAsia="仿宋_GB2312"/>
          <w:color w:val="auto"/>
          <w:sz w:val="32"/>
          <w:szCs w:val="32"/>
        </w:rPr>
        <w:t>项目效益</w:t>
      </w:r>
      <w:r>
        <w:rPr>
          <w:rFonts w:hint="eastAsia" w:eastAsia="仿宋_GB2312"/>
          <w:color w:val="auto"/>
          <w:sz w:val="32"/>
          <w:szCs w:val="32"/>
        </w:rPr>
        <w:t>指标包括社会效益指标：持续保障困难群众参加城乡居民医疗保险。可持续影响指标：①保障城乡医保基金运行，成效明显；②持续保障困难群众正常享受医疗待遇。</w:t>
      </w:r>
    </w:p>
    <w:p w14:paraId="78065235">
      <w:pPr>
        <w:spacing w:line="360" w:lineRule="auto"/>
        <w:ind w:firstLine="640" w:firstLineChars="200"/>
        <w:rPr>
          <w:color w:val="auto"/>
          <w:lang w:val="zh-CN"/>
        </w:rPr>
      </w:pPr>
      <w:r>
        <w:rPr>
          <w:rFonts w:eastAsia="仿宋_GB2312"/>
          <w:color w:val="auto"/>
          <w:sz w:val="32"/>
          <w:szCs w:val="32"/>
        </w:rPr>
        <w:t>满意度指标</w:t>
      </w:r>
      <w:r>
        <w:rPr>
          <w:rFonts w:hint="eastAsia" w:eastAsia="仿宋_GB2312"/>
          <w:color w:val="auto"/>
          <w:sz w:val="32"/>
          <w:szCs w:val="32"/>
        </w:rPr>
        <w:t>包括：①政策知晓率，95%；②工作满意度，99%。</w:t>
      </w:r>
    </w:p>
    <w:p w14:paraId="23E30891">
      <w:pPr>
        <w:numPr>
          <w:ilvl w:val="0"/>
          <w:numId w:val="10"/>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分析评价申报内容是否与实际相符，申报目标是否合理可行。</w:t>
      </w:r>
    </w:p>
    <w:p w14:paraId="0FCD7E42">
      <w:pPr>
        <w:pStyle w:val="2"/>
        <w:spacing w:before="93" w:line="360" w:lineRule="auto"/>
        <w:ind w:left="720"/>
        <w:rPr>
          <w:color w:val="auto"/>
          <w:lang w:val="zh-CN"/>
        </w:rPr>
      </w:pPr>
      <w:r>
        <w:rPr>
          <w:rFonts w:ascii="Times New Roman"/>
          <w:color w:val="auto"/>
          <w:sz w:val="32"/>
          <w:szCs w:val="32"/>
        </w:rPr>
        <w:t>申报内容与实际相符，申报目标合理可行。</w:t>
      </w:r>
    </w:p>
    <w:p w14:paraId="344DA764">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14:paraId="769D3D6C">
      <w:pPr>
        <w:adjustRightInd w:val="0"/>
        <w:snapToGrid w:val="0"/>
        <w:spacing w:line="360" w:lineRule="auto"/>
        <w:ind w:firstLine="720"/>
        <w:rPr>
          <w:rFonts w:eastAsia="仿宋_GB2312"/>
          <w:color w:val="auto"/>
          <w:sz w:val="32"/>
          <w:szCs w:val="32"/>
        </w:rPr>
      </w:pPr>
      <w:r>
        <w:rPr>
          <w:rFonts w:hint="eastAsia" w:eastAsia="仿宋_GB2312"/>
          <w:color w:val="auto"/>
          <w:sz w:val="32"/>
          <w:szCs w:val="32"/>
        </w:rPr>
        <w:t>本项目采取自评的方式，由项目负责人结合评价内容，做到有计划，有安排，扎实开展自评工作。按照项目支出绩效评价指标体系，对项目内容、实施情况、社会效益等开展自评工作。</w:t>
      </w:r>
    </w:p>
    <w:p w14:paraId="33B650CB">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7951F1F0">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14:paraId="1DAFECB9">
      <w:pPr>
        <w:adjustRightInd w:val="0"/>
        <w:snapToGrid w:val="0"/>
        <w:spacing w:line="360" w:lineRule="auto"/>
        <w:ind w:firstLine="720"/>
        <w:rPr>
          <w:rFonts w:ascii="仿宋_GB2312" w:hAnsi="宋体" w:eastAsia="仿宋_GB2312"/>
          <w:color w:val="auto"/>
          <w:sz w:val="32"/>
          <w:szCs w:val="32"/>
          <w:lang w:val="zh-CN"/>
        </w:rPr>
      </w:pPr>
      <w:r>
        <w:rPr>
          <w:rFonts w:hint="eastAsia" w:eastAsia="仿宋_GB2312"/>
          <w:color w:val="auto"/>
          <w:kern w:val="0"/>
          <w:sz w:val="32"/>
          <w:szCs w:val="32"/>
        </w:rPr>
        <w:t>根据盐财资农〔2021〕53号关于下达资助困难人员参加2021年城乡居民医疗保险所需资金的通知下达县级资金328.06万元，盐财资行〔2021〕124号下达省级资金129.65万元，盐财资行〔2021〕552号下达省级资金144.89万元。</w:t>
      </w:r>
    </w:p>
    <w:p w14:paraId="151EA16B">
      <w:pPr>
        <w:adjustRightInd w:val="0"/>
        <w:snapToGrid w:val="0"/>
        <w:spacing w:line="360" w:lineRule="auto"/>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（二）资金计划、到位及使用情况（可用表格形式反映）。</w:t>
      </w:r>
    </w:p>
    <w:p w14:paraId="32E6737C">
      <w:pPr>
        <w:adjustRightInd w:val="0"/>
        <w:snapToGrid w:val="0"/>
        <w:spacing w:line="360" w:lineRule="auto"/>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1．资金计划。</w:t>
      </w:r>
    </w:p>
    <w:p w14:paraId="59F2B86B">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全部用于资助困难人员参加城乡居民医疗保险</w:t>
      </w:r>
      <w:r>
        <w:rPr>
          <w:rFonts w:eastAsia="仿宋_GB2312"/>
          <w:color w:val="auto"/>
          <w:kern w:val="0"/>
          <w:sz w:val="32"/>
          <w:szCs w:val="32"/>
        </w:rPr>
        <w:t>。</w:t>
      </w:r>
    </w:p>
    <w:p w14:paraId="3BD0EFFF">
      <w:pPr>
        <w:numPr>
          <w:ilvl w:val="0"/>
          <w:numId w:val="11"/>
        </w:numPr>
        <w:autoSpaceDE w:val="0"/>
        <w:autoSpaceDN w:val="0"/>
        <w:adjustRightInd w:val="0"/>
        <w:spacing w:line="360" w:lineRule="auto"/>
        <w:ind w:firstLine="640" w:firstLineChars="200"/>
        <w:jc w:val="left"/>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资金到位。</w:t>
      </w:r>
    </w:p>
    <w:p w14:paraId="2A4C3CDF">
      <w:pPr>
        <w:autoSpaceDE w:val="0"/>
        <w:autoSpaceDN w:val="0"/>
        <w:adjustRightIn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已到位省级下达资金274.54万元，</w:t>
      </w:r>
      <w:r>
        <w:rPr>
          <w:rFonts w:eastAsia="仿宋_GB2312"/>
          <w:color w:val="auto"/>
          <w:kern w:val="0"/>
          <w:sz w:val="32"/>
          <w:szCs w:val="32"/>
        </w:rPr>
        <w:t>县财政资金</w:t>
      </w:r>
      <w:r>
        <w:rPr>
          <w:rFonts w:hint="eastAsia" w:eastAsia="仿宋_GB2312"/>
          <w:color w:val="auto"/>
          <w:kern w:val="0"/>
          <w:sz w:val="32"/>
          <w:szCs w:val="32"/>
        </w:rPr>
        <w:t>328.06万元</w:t>
      </w:r>
      <w:r>
        <w:rPr>
          <w:rFonts w:eastAsia="仿宋_GB2312"/>
          <w:color w:val="auto"/>
          <w:kern w:val="0"/>
          <w:sz w:val="32"/>
          <w:szCs w:val="32"/>
        </w:rPr>
        <w:t>。</w:t>
      </w:r>
    </w:p>
    <w:p w14:paraId="1EF7906A">
      <w:pPr>
        <w:numPr>
          <w:ilvl w:val="0"/>
          <w:numId w:val="11"/>
        </w:numPr>
        <w:adjustRightInd w:val="0"/>
        <w:snapToGrid w:val="0"/>
        <w:spacing w:line="360" w:lineRule="auto"/>
        <w:ind w:firstLine="640" w:firstLineChars="20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资金使用。</w:t>
      </w:r>
    </w:p>
    <w:p w14:paraId="79DB32C1">
      <w:pPr>
        <w:adjustRightInd w:val="0"/>
        <w:snapToGrid w:val="0"/>
        <w:spacing w:line="360" w:lineRule="auto"/>
        <w:ind w:left="420" w:leftChars="200"/>
        <w:rPr>
          <w:rFonts w:ascii="楷体_GB2312" w:hAnsi="宋体" w:eastAsia="楷体_GB2312"/>
          <w:b/>
          <w:color w:val="auto"/>
          <w:sz w:val="32"/>
          <w:szCs w:val="32"/>
          <w:lang w:val="zh-CN"/>
        </w:rPr>
      </w:pPr>
      <w:r>
        <w:rPr>
          <w:rFonts w:hint="eastAsia" w:eastAsia="仿宋_GB2312"/>
          <w:color w:val="auto"/>
          <w:kern w:val="0"/>
          <w:sz w:val="32"/>
          <w:szCs w:val="32"/>
        </w:rPr>
        <w:t>到位资金全部上解至市级统筹使用</w:t>
      </w:r>
      <w:r>
        <w:rPr>
          <w:rFonts w:eastAsia="仿宋_GB2312"/>
          <w:color w:val="auto"/>
          <w:kern w:val="0"/>
          <w:sz w:val="32"/>
          <w:szCs w:val="32"/>
        </w:rPr>
        <w:t>。</w:t>
      </w:r>
    </w:p>
    <w:p w14:paraId="029FAAB6">
      <w:pPr>
        <w:adjustRightInd w:val="0"/>
        <w:snapToGrid w:val="0"/>
        <w:spacing w:line="360" w:lineRule="auto"/>
        <w:ind w:left="420" w:leftChars="20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14:paraId="6480F56A">
      <w:pPr>
        <w:autoSpaceDE w:val="0"/>
        <w:autoSpaceDN w:val="0"/>
        <w:adjustRightIn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我单位</w:t>
      </w:r>
      <w:r>
        <w:rPr>
          <w:rFonts w:eastAsia="仿宋_GB2312"/>
          <w:color w:val="auto"/>
          <w:kern w:val="0"/>
          <w:sz w:val="32"/>
          <w:szCs w:val="32"/>
        </w:rPr>
        <w:t>财务管理制度健全，严格执行财务管理制度，账务处理及时，会计核算规范。</w:t>
      </w:r>
    </w:p>
    <w:p w14:paraId="4ECD180D">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42DF58CF">
      <w:pPr>
        <w:numPr>
          <w:ilvl w:val="0"/>
          <w:numId w:val="12"/>
        </w:num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项目组织架构及实施流程。</w:t>
      </w:r>
    </w:p>
    <w:p w14:paraId="5E1FF538">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县医疗保障局负责组织资助县内困难群众参保，县医疗保障事务中心负责项目具体实施，县乡村振兴局（原县扶贫开发局）负责提供困难群众资助参保人员名单。</w:t>
      </w:r>
    </w:p>
    <w:p w14:paraId="2CFABF85">
      <w:pPr>
        <w:numPr>
          <w:ilvl w:val="0"/>
          <w:numId w:val="12"/>
        </w:num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项目管理情况。</w:t>
      </w:r>
    </w:p>
    <w:p w14:paraId="6A33EF63">
      <w:pPr>
        <w:pStyle w:val="2"/>
        <w:spacing w:before="93" w:line="360" w:lineRule="auto"/>
        <w:ind w:left="720"/>
        <w:rPr>
          <w:rFonts w:ascii="Times New Roman"/>
          <w:color w:val="auto"/>
          <w:sz w:val="32"/>
          <w:szCs w:val="32"/>
        </w:rPr>
      </w:pPr>
      <w:r>
        <w:rPr>
          <w:rFonts w:hint="eastAsia" w:ascii="Times New Roman"/>
          <w:color w:val="auto"/>
          <w:sz w:val="32"/>
          <w:szCs w:val="32"/>
        </w:rPr>
        <w:t>项目实施过程中，</w:t>
      </w:r>
      <w:r>
        <w:rPr>
          <w:rFonts w:ascii="Times New Roman"/>
          <w:color w:val="auto"/>
          <w:sz w:val="32"/>
          <w:szCs w:val="32"/>
        </w:rPr>
        <w:t>各项目实施单位</w:t>
      </w:r>
      <w:r>
        <w:rPr>
          <w:rFonts w:hint="eastAsia" w:ascii="Times New Roman"/>
          <w:color w:val="auto"/>
          <w:sz w:val="32"/>
          <w:szCs w:val="32"/>
        </w:rPr>
        <w:t>严格</w:t>
      </w:r>
      <w:r>
        <w:rPr>
          <w:rFonts w:ascii="Times New Roman"/>
          <w:color w:val="auto"/>
          <w:sz w:val="32"/>
          <w:szCs w:val="32"/>
        </w:rPr>
        <w:t>执行相关法律法</w:t>
      </w:r>
    </w:p>
    <w:p w14:paraId="08C201C6">
      <w:pPr>
        <w:pStyle w:val="2"/>
        <w:spacing w:before="93" w:line="360" w:lineRule="auto"/>
        <w:rPr>
          <w:color w:val="auto"/>
          <w:lang w:val="zh-CN"/>
        </w:rPr>
      </w:pPr>
      <w:r>
        <w:rPr>
          <w:rFonts w:ascii="Times New Roman"/>
          <w:color w:val="auto"/>
          <w:sz w:val="32"/>
          <w:szCs w:val="32"/>
        </w:rPr>
        <w:t>规及项目管理制度。</w:t>
      </w:r>
    </w:p>
    <w:p w14:paraId="0A6D510C">
      <w:pPr>
        <w:numPr>
          <w:ilvl w:val="0"/>
          <w:numId w:val="12"/>
        </w:num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项目监管情况。</w:t>
      </w:r>
    </w:p>
    <w:p w14:paraId="495ABB17">
      <w:pPr>
        <w:pStyle w:val="2"/>
        <w:spacing w:before="93" w:line="360" w:lineRule="auto"/>
        <w:ind w:firstLine="640" w:firstLineChars="200"/>
        <w:rPr>
          <w:color w:val="auto"/>
          <w:lang w:val="zh-CN"/>
        </w:rPr>
      </w:pPr>
      <w:r>
        <w:rPr>
          <w:rFonts w:ascii="Times New Roman"/>
          <w:color w:val="auto"/>
          <w:sz w:val="32"/>
          <w:szCs w:val="32"/>
        </w:rPr>
        <w:t>为加强项目管理</w:t>
      </w:r>
      <w:r>
        <w:rPr>
          <w:rFonts w:hint="eastAsia" w:ascii="Times New Roman"/>
          <w:color w:val="auto"/>
          <w:sz w:val="32"/>
          <w:szCs w:val="32"/>
        </w:rPr>
        <w:t>，在项目实施期间，制定了专项资金管理工作制度，明确了资金付款流程，统一了资金申请手续，做到了层层审核、层层负责、层层把关。</w:t>
      </w:r>
    </w:p>
    <w:p w14:paraId="23536B87">
      <w:pPr>
        <w:adjustRightInd w:val="0"/>
        <w:snapToGrid w:val="0"/>
        <w:spacing w:line="360" w:lineRule="auto"/>
        <w:ind w:left="720"/>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hint="eastAsia" w:ascii="仿宋_GB2312" w:hAnsi="宋体" w:eastAsia="仿宋_GB2312"/>
          <w:color w:val="auto"/>
          <w:sz w:val="32"/>
          <w:szCs w:val="32"/>
          <w:lang w:val="zh-CN"/>
        </w:rPr>
        <w:tab/>
      </w:r>
    </w:p>
    <w:p w14:paraId="22F54D55">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207FE67F">
      <w:pPr>
        <w:autoSpaceDE w:val="0"/>
        <w:autoSpaceDN w:val="0"/>
        <w:adjustRightIn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项目</w:t>
      </w:r>
      <w:r>
        <w:rPr>
          <w:rFonts w:hint="eastAsia" w:eastAsia="仿宋_GB2312"/>
          <w:color w:val="auto"/>
          <w:kern w:val="0"/>
          <w:sz w:val="32"/>
          <w:szCs w:val="32"/>
        </w:rPr>
        <w:t>完成资助县内18074名困难群众参加2021年城乡居民医保，其中按照一档（300元/人）资助建档立卡贫困户17418人，按照一档50%差额（150元/人）资助非建档立卡特殊困难户656人</w:t>
      </w:r>
      <w:r>
        <w:rPr>
          <w:rFonts w:eastAsia="仿宋_GB2312"/>
          <w:color w:val="auto"/>
          <w:kern w:val="0"/>
          <w:sz w:val="32"/>
          <w:szCs w:val="32"/>
        </w:rPr>
        <w:t>。</w:t>
      </w:r>
    </w:p>
    <w:p w14:paraId="615DB46D">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14:paraId="744F813A">
      <w:pPr>
        <w:autoSpaceDE w:val="0"/>
        <w:autoSpaceDN w:val="0"/>
        <w:adjustRightIn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项目</w:t>
      </w:r>
      <w:r>
        <w:rPr>
          <w:rFonts w:hint="eastAsia" w:eastAsia="仿宋_GB2312"/>
          <w:color w:val="auto"/>
          <w:kern w:val="0"/>
          <w:sz w:val="32"/>
          <w:szCs w:val="32"/>
        </w:rPr>
        <w:t>保障了县内困难群众正常享受医保待遇</w:t>
      </w:r>
      <w:r>
        <w:rPr>
          <w:rFonts w:eastAsia="仿宋_GB2312"/>
          <w:color w:val="auto"/>
          <w:kern w:val="0"/>
          <w:sz w:val="32"/>
          <w:szCs w:val="32"/>
        </w:rPr>
        <w:t>，</w:t>
      </w:r>
      <w:r>
        <w:rPr>
          <w:rFonts w:hint="eastAsia" w:eastAsia="仿宋_GB2312"/>
          <w:color w:val="auto"/>
          <w:kern w:val="0"/>
          <w:sz w:val="32"/>
          <w:szCs w:val="32"/>
        </w:rPr>
        <w:t>有效提高我县居民参保率，有力保障了城乡医保基金稳定运行，群众满意度达99%</w:t>
      </w:r>
      <w:r>
        <w:rPr>
          <w:rFonts w:eastAsia="仿宋_GB2312"/>
          <w:color w:val="auto"/>
          <w:kern w:val="0"/>
          <w:sz w:val="32"/>
          <w:szCs w:val="32"/>
        </w:rPr>
        <w:t>。</w:t>
      </w:r>
    </w:p>
    <w:p w14:paraId="03159A25">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01BF419B">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14:paraId="0FA5E914">
      <w:pPr>
        <w:spacing w:line="360" w:lineRule="auto"/>
        <w:ind w:firstLine="640" w:firstLineChars="200"/>
        <w:rPr>
          <w:rFonts w:ascii="仿宋_GB2312" w:hAnsi="宋体" w:eastAsia="仿宋_GB2312"/>
          <w:color w:val="auto"/>
          <w:sz w:val="32"/>
          <w:szCs w:val="32"/>
          <w:bdr w:val="single" w:color="auto" w:sz="4" w:space="0"/>
          <w:lang w:val="zh-CN"/>
        </w:rPr>
      </w:pPr>
      <w:r>
        <w:rPr>
          <w:rFonts w:hint="eastAsia" w:eastAsia="仿宋_GB2312"/>
          <w:color w:val="auto"/>
          <w:kern w:val="0"/>
          <w:sz w:val="32"/>
          <w:szCs w:val="32"/>
        </w:rPr>
        <w:t>该项目是困难群众正常享受医保待遇的重要举措，</w:t>
      </w:r>
      <w:r>
        <w:rPr>
          <w:rFonts w:hint="eastAsia" w:eastAsia="仿宋_GB2312"/>
          <w:color w:val="auto"/>
          <w:sz w:val="32"/>
          <w:szCs w:val="32"/>
        </w:rPr>
        <w:t>保障其享受医疗待遇，对照项目绩效指标，都</w:t>
      </w:r>
      <w:r>
        <w:rPr>
          <w:rFonts w:hint="eastAsia" w:eastAsia="仿宋_GB2312"/>
          <w:color w:val="auto"/>
          <w:sz w:val="32"/>
          <w:szCs w:val="32"/>
          <w:lang w:eastAsia="zh-CN"/>
        </w:rPr>
        <w:t>很好地完成</w:t>
      </w:r>
      <w:r>
        <w:rPr>
          <w:rFonts w:hint="eastAsia" w:eastAsia="仿宋_GB2312"/>
          <w:color w:val="auto"/>
          <w:sz w:val="32"/>
          <w:szCs w:val="32"/>
        </w:rPr>
        <w:t>了各项绩效指标。</w:t>
      </w:r>
    </w:p>
    <w:p w14:paraId="7B35D9CA">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（二）存在的问题。</w:t>
      </w:r>
    </w:p>
    <w:p w14:paraId="01AFD7F2">
      <w:pPr>
        <w:adjustRightInd w:val="0"/>
        <w:snapToGrid w:val="0"/>
        <w:spacing w:line="360" w:lineRule="auto"/>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无。</w:t>
      </w:r>
      <w:r>
        <w:rPr>
          <w:rFonts w:hint="eastAsia" w:ascii="仿宋_GB2312" w:hAnsi="宋体" w:eastAsia="仿宋_GB2312"/>
          <w:color w:val="auto"/>
          <w:sz w:val="32"/>
          <w:szCs w:val="32"/>
          <w:lang w:val="zh-CN"/>
        </w:rPr>
        <w:tab/>
      </w:r>
    </w:p>
    <w:p w14:paraId="619B8B26">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14:paraId="6DC0A821">
      <w:pPr>
        <w:adjustRightInd w:val="0"/>
        <w:snapToGrid w:val="0"/>
        <w:spacing w:line="360" w:lineRule="auto"/>
        <w:ind w:firstLine="640" w:firstLineChars="200"/>
        <w:rPr>
          <w:color w:val="auto"/>
          <w:lang w:val="zh-CN"/>
        </w:rPr>
      </w:pPr>
      <w:r>
        <w:rPr>
          <w:rFonts w:hint="eastAsia" w:ascii="仿宋_GB2312" w:hAnsi="宋体" w:eastAsia="仿宋_GB2312"/>
          <w:color w:val="auto"/>
          <w:sz w:val="32"/>
          <w:szCs w:val="32"/>
          <w:lang w:val="zh-CN"/>
        </w:rPr>
        <w:t>无。</w:t>
      </w: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2E84FBD4">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26269B58">
            <w:pPr>
              <w:widowControl/>
              <w:spacing w:line="360" w:lineRule="auto"/>
              <w:jc w:val="center"/>
              <w:textAlignment w:val="center"/>
              <w:rPr>
                <w:rFonts w:ascii="宋体" w:hAnsi="宋体" w:cs="宋体"/>
                <w:b/>
                <w:color w:val="auto"/>
                <w:sz w:val="32"/>
                <w:szCs w:val="32"/>
              </w:rPr>
            </w:pPr>
            <w:r>
              <w:rPr>
                <w:rFonts w:hint="eastAsia" w:ascii="宋体" w:hAnsi="宋体" w:cs="宋体"/>
                <w:b/>
                <w:color w:val="auto"/>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14:paraId="37952971">
            <w:pPr>
              <w:widowControl/>
              <w:spacing w:line="360" w:lineRule="auto"/>
              <w:jc w:val="center"/>
              <w:textAlignment w:val="center"/>
              <w:rPr>
                <w:rFonts w:ascii="宋体" w:hAnsi="宋体" w:cs="宋体"/>
                <w:b/>
                <w:color w:val="auto"/>
                <w:kern w:val="0"/>
                <w:sz w:val="32"/>
                <w:szCs w:val="32"/>
              </w:rPr>
            </w:pPr>
          </w:p>
        </w:tc>
      </w:tr>
      <w:tr w14:paraId="03C3217C">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83C7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2E46A">
            <w:pPr>
              <w:widowControl/>
              <w:spacing w:line="360" w:lineRule="auto"/>
              <w:jc w:val="center"/>
              <w:textAlignment w:val="center"/>
              <w:rPr>
                <w:rFonts w:ascii="宋体" w:hAnsi="宋体" w:cs="宋体"/>
                <w:color w:val="auto"/>
                <w:sz w:val="24"/>
              </w:rPr>
            </w:pPr>
            <w:r>
              <w:rPr>
                <w:rFonts w:hint="eastAsia" w:ascii="宋体" w:hAnsi="宋体" w:cs="宋体"/>
                <w:color w:val="auto"/>
                <w:sz w:val="24"/>
              </w:rPr>
              <w:t>518001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A4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9408">
            <w:pPr>
              <w:widowControl/>
              <w:spacing w:line="360" w:lineRule="auto"/>
              <w:jc w:val="center"/>
              <w:textAlignment w:val="center"/>
              <w:rPr>
                <w:rFonts w:ascii="宋体" w:hAnsi="宋体" w:cs="宋体"/>
                <w:color w:val="auto"/>
                <w:sz w:val="24"/>
              </w:rPr>
            </w:pPr>
            <w:r>
              <w:rPr>
                <w:rFonts w:hint="eastAsia" w:ascii="宋体" w:hAnsi="宋体" w:cs="宋体"/>
                <w:color w:val="auto"/>
                <w:sz w:val="24"/>
              </w:rPr>
              <w:t>盐边县医疗保障局</w:t>
            </w:r>
          </w:p>
        </w:tc>
      </w:tr>
      <w:tr w14:paraId="34380392">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6C226">
            <w:pPr>
              <w:widowControl/>
              <w:spacing w:line="360" w:lineRule="auto"/>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项目预算</w:t>
            </w:r>
          </w:p>
          <w:p w14:paraId="3B4633B5">
            <w:pPr>
              <w:widowControl/>
              <w:spacing w:line="360" w:lineRule="auto"/>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执行情况</w:t>
            </w:r>
          </w:p>
          <w:p w14:paraId="7148CF0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2BC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0E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602.6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178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E185">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602.6</w:t>
            </w:r>
          </w:p>
        </w:tc>
      </w:tr>
      <w:tr w14:paraId="1D084332">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CFFB">
            <w:pPr>
              <w:spacing w:line="360" w:lineRule="auto"/>
              <w:jc w:val="center"/>
              <w:rPr>
                <w:rFonts w:ascii="宋体" w:hAnsi="宋体" w:cs="宋体"/>
                <w:color w:val="auto"/>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6A22">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其中：</w:t>
            </w:r>
          </w:p>
          <w:p w14:paraId="0A02AAE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1F8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602.6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F38F">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其中：</w:t>
            </w:r>
          </w:p>
          <w:p w14:paraId="16EC6C8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807">
            <w:pPr>
              <w:widowControl/>
              <w:spacing w:line="360" w:lineRule="auto"/>
              <w:jc w:val="center"/>
              <w:textAlignment w:val="center"/>
              <w:rPr>
                <w:rFonts w:ascii="宋体" w:hAnsi="宋体" w:cs="宋体"/>
                <w:color w:val="auto"/>
                <w:sz w:val="24"/>
              </w:rPr>
            </w:pPr>
            <w:r>
              <w:rPr>
                <w:rFonts w:hint="eastAsia" w:ascii="宋体" w:hAnsi="宋体" w:cs="宋体"/>
                <w:color w:val="auto"/>
                <w:sz w:val="24"/>
              </w:rPr>
              <w:t>602.6</w:t>
            </w:r>
          </w:p>
        </w:tc>
      </w:tr>
      <w:tr w14:paraId="535F2306">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CBE4">
            <w:pPr>
              <w:spacing w:line="360" w:lineRule="auto"/>
              <w:jc w:val="center"/>
              <w:rPr>
                <w:rFonts w:ascii="宋体" w:hAnsi="宋体" w:cs="宋体"/>
                <w:color w:val="auto"/>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C4B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DD56">
            <w:pPr>
              <w:widowControl/>
              <w:spacing w:line="360" w:lineRule="auto"/>
              <w:jc w:val="center"/>
              <w:textAlignment w:val="center"/>
              <w:rPr>
                <w:rFonts w:ascii="宋体" w:hAnsi="宋体" w:cs="宋体"/>
                <w:color w:val="auto"/>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E8B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FFF">
            <w:pPr>
              <w:widowControl/>
              <w:spacing w:line="360" w:lineRule="auto"/>
              <w:jc w:val="center"/>
              <w:textAlignment w:val="center"/>
              <w:rPr>
                <w:rFonts w:ascii="宋体" w:hAnsi="宋体" w:cs="宋体"/>
                <w:color w:val="auto"/>
                <w:sz w:val="24"/>
              </w:rPr>
            </w:pPr>
          </w:p>
        </w:tc>
      </w:tr>
      <w:tr w14:paraId="4B2AEE71">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6093E">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年度总体目标</w:t>
            </w:r>
          </w:p>
          <w:p w14:paraId="68B2830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F7AF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36BE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目标实际完成情况</w:t>
            </w:r>
          </w:p>
        </w:tc>
      </w:tr>
      <w:tr w14:paraId="6A3A6082">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4C1C">
            <w:pPr>
              <w:spacing w:line="360" w:lineRule="auto"/>
              <w:jc w:val="center"/>
              <w:rPr>
                <w:rFonts w:ascii="宋体" w:hAnsi="宋体" w:cs="宋体"/>
                <w:color w:val="auto"/>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BA0E9">
            <w:pPr>
              <w:widowControl/>
              <w:spacing w:line="360" w:lineRule="auto"/>
              <w:jc w:val="center"/>
              <w:textAlignment w:val="top"/>
              <w:rPr>
                <w:rFonts w:ascii="宋体" w:hAnsi="宋体" w:cs="宋体"/>
                <w:color w:val="auto"/>
                <w:sz w:val="24"/>
              </w:rPr>
            </w:pPr>
            <w:r>
              <w:rPr>
                <w:rFonts w:hint="eastAsia" w:ascii="宋体" w:hAnsi="宋体" w:cs="宋体"/>
                <w:color w:val="auto"/>
                <w:sz w:val="24"/>
              </w:rPr>
              <w:t>该项目是困难群众正常享受医保待遇的重要举措，保障其享受医疗待遇，对照项目绩效指标，都</w:t>
            </w:r>
            <w:r>
              <w:rPr>
                <w:rFonts w:hint="eastAsia" w:ascii="宋体" w:hAnsi="宋体" w:cs="宋体"/>
                <w:color w:val="auto"/>
                <w:sz w:val="24"/>
                <w:lang w:eastAsia="zh-CN"/>
              </w:rPr>
              <w:t>很好地完成</w:t>
            </w:r>
            <w:r>
              <w:rPr>
                <w:rFonts w:hint="eastAsia" w:ascii="宋体" w:hAnsi="宋体" w:cs="宋体"/>
                <w:color w:val="auto"/>
                <w:sz w:val="24"/>
              </w:rPr>
              <w:t>了各项绩效指标。</w:t>
            </w:r>
          </w:p>
          <w:p w14:paraId="46A7558E">
            <w:pPr>
              <w:widowControl/>
              <w:spacing w:line="360" w:lineRule="auto"/>
              <w:jc w:val="center"/>
              <w:textAlignment w:val="top"/>
              <w:rPr>
                <w:rFonts w:ascii="宋体" w:hAnsi="宋体" w:cs="宋体"/>
                <w:color w:val="auto"/>
                <w:sz w:val="24"/>
              </w:rPr>
            </w:pP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E243">
            <w:pPr>
              <w:widowControl/>
              <w:spacing w:line="360" w:lineRule="auto"/>
              <w:jc w:val="center"/>
              <w:textAlignment w:val="top"/>
              <w:rPr>
                <w:rFonts w:ascii="宋体" w:hAnsi="宋体" w:cs="宋体"/>
                <w:color w:val="auto"/>
                <w:sz w:val="24"/>
              </w:rPr>
            </w:pPr>
            <w:r>
              <w:rPr>
                <w:rFonts w:hint="eastAsia" w:ascii="宋体" w:hAnsi="宋体" w:cs="宋体"/>
                <w:color w:val="auto"/>
                <w:sz w:val="24"/>
              </w:rPr>
              <w:t>资助县内18590名困难群众参加城乡居民医疗保险，保障其医疗待遇。</w:t>
            </w:r>
          </w:p>
        </w:tc>
      </w:tr>
      <w:tr w14:paraId="237D34D0">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77F60C1A">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B4E4704">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一级</w:t>
            </w:r>
          </w:p>
          <w:p w14:paraId="3C99A5C5">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38E">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二级</w:t>
            </w:r>
          </w:p>
          <w:p w14:paraId="3849867E">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0E93">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三级</w:t>
            </w:r>
          </w:p>
          <w:p w14:paraId="5FADFC6F">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BFC1">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0613">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实际完成指标值</w:t>
            </w:r>
          </w:p>
        </w:tc>
      </w:tr>
      <w:tr w14:paraId="2935FD02">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D22DF79">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E972E">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完成</w:t>
            </w:r>
          </w:p>
          <w:p w14:paraId="00B21A59">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BF4">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5E3E">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资助参保人数（名）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EA3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根据实际困难群众人数资助参保</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DB52">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18074人</w:t>
            </w:r>
          </w:p>
        </w:tc>
      </w:tr>
      <w:tr w14:paraId="71F5F0A2">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99B0ABF">
            <w:pPr>
              <w:spacing w:line="360" w:lineRule="auto"/>
              <w:jc w:val="center"/>
              <w:rPr>
                <w:rFonts w:ascii="仿宋_GB2312" w:hAnsi="仿宋_GB2312" w:eastAsia="仿宋_GB2312" w:cs="仿宋_GB2312"/>
                <w:color w:val="auto"/>
                <w:sz w:val="28"/>
                <w:szCs w:val="28"/>
              </w:rPr>
            </w:pPr>
          </w:p>
        </w:tc>
        <w:tc>
          <w:tcPr>
            <w:tcW w:w="1142" w:type="dxa"/>
            <w:vMerge w:val="continue"/>
            <w:tcBorders>
              <w:left w:val="single" w:color="000000" w:sz="4" w:space="0"/>
              <w:right w:val="single" w:color="000000" w:sz="4" w:space="0"/>
            </w:tcBorders>
            <w:shd w:val="clear" w:color="auto" w:fill="auto"/>
            <w:vAlign w:val="center"/>
          </w:tcPr>
          <w:p w14:paraId="2D8B30B6">
            <w:pPr>
              <w:widowControl/>
              <w:spacing w:line="360" w:lineRule="auto"/>
              <w:jc w:val="center"/>
              <w:textAlignment w:val="bottom"/>
              <w:rPr>
                <w:rFonts w:ascii="仿宋_GB2312" w:hAnsi="仿宋_GB2312" w:eastAsia="仿宋_GB2312" w:cs="仿宋_GB2312"/>
                <w:color w:val="auto"/>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848E">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DC98">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资助参保标准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748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根据当年标准资助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50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建档立卡300元/人·年，非建档立卡150元/人·年</w:t>
            </w:r>
          </w:p>
        </w:tc>
      </w:tr>
      <w:tr w14:paraId="713CD52D">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D2A65F0">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335B">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ED1F">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4C86">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困难群众参保率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1EB6">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CB2D">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r>
      <w:tr w14:paraId="3D19E7EE">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25ADF064">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D966A39">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8828">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8C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参保资金上解时间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041">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在规定时间内上解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1C9">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按时上解</w:t>
            </w:r>
          </w:p>
        </w:tc>
      </w:tr>
      <w:tr w14:paraId="2FB7AD67">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B1C931B">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auto" w:sz="4" w:space="0"/>
              <w:left w:val="single" w:color="000000" w:sz="4" w:space="0"/>
              <w:right w:val="single" w:color="000000" w:sz="4" w:space="0"/>
            </w:tcBorders>
            <w:shd w:val="clear" w:color="auto" w:fill="auto"/>
            <w:vAlign w:val="center"/>
          </w:tcPr>
          <w:p w14:paraId="5A6C1A9A">
            <w:pPr>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效益 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CB16">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CFE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保障困难群众参加城乡居民医疗保险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A1F6">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7D0A">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r>
      <w:tr w14:paraId="735DBE7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8534910">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45EF">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53A7">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AFD2">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保障困难群众正常享受医疗待遇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517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3E2F">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r>
      <w:tr w14:paraId="10C8C23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847250A">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CC46">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52A1">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31EE">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保障医保基金正常运行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7D19">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成效明显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C2B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成效明显</w:t>
            </w:r>
          </w:p>
        </w:tc>
      </w:tr>
      <w:tr w14:paraId="018C78A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617695F">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14:paraId="764A2765">
            <w:pPr>
              <w:widowControl/>
              <w:spacing w:line="360" w:lineRule="auto"/>
              <w:jc w:val="center"/>
              <w:textAlignment w:val="bottom"/>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满意</w:t>
            </w:r>
          </w:p>
          <w:p w14:paraId="3AA8DE78">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70B">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满意度</w:t>
            </w:r>
          </w:p>
          <w:p w14:paraId="48913C8D">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D1F">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政策知晓率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B5A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215E">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95%</w:t>
            </w:r>
          </w:p>
        </w:tc>
      </w:tr>
      <w:tr w14:paraId="6A1B22C8">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1A259199">
            <w:pPr>
              <w:spacing w:line="360" w:lineRule="auto"/>
              <w:jc w:val="center"/>
              <w:rPr>
                <w:rFonts w:ascii="仿宋_GB2312" w:hAnsi="仿宋_GB2312" w:eastAsia="仿宋_GB2312" w:cs="仿宋_GB2312"/>
                <w:color w:val="auto"/>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14:paraId="1A0E368D">
            <w:pPr>
              <w:widowControl/>
              <w:spacing w:line="360" w:lineRule="auto"/>
              <w:jc w:val="center"/>
              <w:textAlignment w:val="bottom"/>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03AB">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满意度</w:t>
            </w:r>
          </w:p>
          <w:p w14:paraId="5738081F">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B596">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3878">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084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99%</w:t>
            </w:r>
          </w:p>
        </w:tc>
      </w:tr>
    </w:tbl>
    <w:p w14:paraId="0431A9C4">
      <w:pPr>
        <w:widowControl/>
        <w:spacing w:line="360" w:lineRule="auto"/>
        <w:jc w:val="left"/>
        <w:rPr>
          <w:rStyle w:val="25"/>
          <w:rFonts w:ascii="黑体" w:hAnsi="黑体" w:eastAsia="黑体"/>
          <w:b w:val="0"/>
          <w:color w:val="auto"/>
        </w:rPr>
      </w:pPr>
    </w:p>
    <w:p w14:paraId="4DE03619">
      <w:pPr>
        <w:widowControl/>
        <w:spacing w:line="360" w:lineRule="auto"/>
        <w:jc w:val="left"/>
        <w:rPr>
          <w:rStyle w:val="25"/>
          <w:rFonts w:ascii="黑体" w:hAnsi="黑体" w:eastAsia="黑体"/>
          <w:b w:val="0"/>
          <w:color w:val="auto"/>
        </w:rPr>
      </w:pPr>
    </w:p>
    <w:p w14:paraId="794687A2">
      <w:pPr>
        <w:widowControl/>
        <w:spacing w:line="360" w:lineRule="auto"/>
        <w:jc w:val="left"/>
        <w:rPr>
          <w:rStyle w:val="25"/>
          <w:rFonts w:ascii="黑体" w:hAnsi="黑体" w:eastAsia="黑体"/>
          <w:b w:val="0"/>
          <w:color w:val="auto"/>
        </w:rPr>
      </w:pPr>
    </w:p>
    <w:p w14:paraId="176F7772">
      <w:pPr>
        <w:widowControl/>
        <w:spacing w:line="360" w:lineRule="auto"/>
        <w:jc w:val="left"/>
        <w:rPr>
          <w:rStyle w:val="25"/>
          <w:rFonts w:ascii="黑体" w:hAnsi="黑体" w:eastAsia="黑体"/>
          <w:b w:val="0"/>
          <w:color w:val="auto"/>
        </w:rPr>
      </w:pPr>
    </w:p>
    <w:p w14:paraId="26598E98">
      <w:pPr>
        <w:pStyle w:val="2"/>
        <w:spacing w:before="93" w:line="360" w:lineRule="auto"/>
        <w:rPr>
          <w:rFonts w:hAnsi="宋体" w:cs="宋体"/>
          <w:color w:val="auto"/>
          <w:sz w:val="32"/>
          <w:szCs w:val="32"/>
          <w:shd w:val="clear" w:color="auto" w:fill="FFFFFF"/>
          <w:lang w:val="zh-CN"/>
        </w:rPr>
      </w:pPr>
    </w:p>
    <w:p w14:paraId="750A2A06">
      <w:pPr>
        <w:pStyle w:val="2"/>
        <w:spacing w:before="93" w:line="360" w:lineRule="auto"/>
        <w:rPr>
          <w:rFonts w:hAnsi="宋体" w:cs="宋体"/>
          <w:color w:val="auto"/>
          <w:sz w:val="32"/>
          <w:szCs w:val="32"/>
          <w:shd w:val="clear" w:color="auto" w:fill="FFFFFF"/>
          <w:lang w:val="zh-CN"/>
        </w:rPr>
      </w:pPr>
    </w:p>
    <w:p w14:paraId="5384273C">
      <w:pPr>
        <w:pStyle w:val="2"/>
        <w:spacing w:before="93" w:line="360" w:lineRule="auto"/>
        <w:rPr>
          <w:rFonts w:hAnsi="宋体" w:cs="宋体"/>
          <w:color w:val="auto"/>
          <w:sz w:val="32"/>
          <w:szCs w:val="32"/>
          <w:shd w:val="clear" w:color="auto" w:fill="FFFFFF"/>
          <w:lang w:val="zh-CN"/>
        </w:rPr>
      </w:pPr>
    </w:p>
    <w:p w14:paraId="79B5902C">
      <w:pPr>
        <w:pStyle w:val="2"/>
        <w:spacing w:before="93" w:line="360" w:lineRule="auto"/>
        <w:rPr>
          <w:rFonts w:hAnsi="宋体" w:cs="宋体"/>
          <w:color w:val="auto"/>
          <w:sz w:val="32"/>
          <w:szCs w:val="32"/>
          <w:shd w:val="clear" w:color="auto" w:fill="FFFFFF"/>
          <w:lang w:val="zh-CN"/>
        </w:rPr>
      </w:pPr>
    </w:p>
    <w:p w14:paraId="4ACF8107">
      <w:pPr>
        <w:pStyle w:val="2"/>
        <w:spacing w:before="93" w:line="360" w:lineRule="auto"/>
        <w:rPr>
          <w:rFonts w:hAnsi="宋体" w:cs="宋体"/>
          <w:color w:val="auto"/>
          <w:sz w:val="32"/>
          <w:szCs w:val="32"/>
          <w:shd w:val="clear" w:color="auto" w:fill="FFFFFF"/>
          <w:lang w:val="zh-CN"/>
        </w:rPr>
      </w:pPr>
    </w:p>
    <w:p w14:paraId="051111D8">
      <w:pPr>
        <w:pStyle w:val="2"/>
        <w:spacing w:before="93" w:line="360" w:lineRule="auto"/>
        <w:rPr>
          <w:rFonts w:hAnsi="宋体" w:cs="宋体"/>
          <w:color w:val="auto"/>
          <w:sz w:val="32"/>
          <w:szCs w:val="32"/>
          <w:shd w:val="clear" w:color="auto" w:fill="FFFFFF"/>
          <w:lang w:val="zh-CN"/>
        </w:rPr>
      </w:pPr>
    </w:p>
    <w:p w14:paraId="4F14025E">
      <w:pPr>
        <w:pStyle w:val="2"/>
        <w:spacing w:before="93" w:line="360" w:lineRule="auto"/>
        <w:rPr>
          <w:color w:val="auto"/>
          <w:lang w:val="zh-CN"/>
        </w:rPr>
      </w:pPr>
      <w:r>
        <w:rPr>
          <w:rFonts w:hint="eastAsia" w:hAnsi="宋体" w:cs="宋体"/>
          <w:color w:val="auto"/>
          <w:sz w:val="32"/>
          <w:szCs w:val="32"/>
          <w:shd w:val="clear" w:color="auto" w:fill="FFFFFF"/>
          <w:lang w:val="zh-CN"/>
        </w:rPr>
        <w:t>附件</w:t>
      </w:r>
    </w:p>
    <w:p w14:paraId="16E80FA9">
      <w:pPr>
        <w:spacing w:line="360" w:lineRule="auto"/>
        <w:jc w:val="center"/>
        <w:rPr>
          <w:rFonts w:ascii="方正小标宋简体" w:hAnsi="方正小标宋简体" w:eastAsia="方正小标宋简体" w:cs="方正小标宋简体"/>
          <w:color w:val="auto"/>
          <w:sz w:val="40"/>
          <w:szCs w:val="40"/>
          <w:lang w:val="zh-CN"/>
        </w:rPr>
      </w:pPr>
      <w:r>
        <w:rPr>
          <w:rFonts w:hint="eastAsia" w:ascii="方正小标宋简体" w:hAnsi="方正小标宋简体" w:eastAsia="方正小标宋简体" w:cs="方正小标宋简体"/>
          <w:color w:val="auto"/>
          <w:sz w:val="40"/>
          <w:szCs w:val="40"/>
        </w:rPr>
        <w:t>2021年</w:t>
      </w:r>
      <w:r>
        <w:rPr>
          <w:rFonts w:hint="eastAsia" w:ascii="方正小标宋简体" w:hAnsi="方正小标宋简体" w:eastAsia="方正小标宋简体" w:cs="方正小标宋简体"/>
          <w:color w:val="auto"/>
          <w:sz w:val="40"/>
          <w:szCs w:val="40"/>
          <w:lang w:val="zh-CN"/>
        </w:rPr>
        <w:t>专项预算项目支出绩效自评报告范本</w:t>
      </w:r>
    </w:p>
    <w:p w14:paraId="71782631">
      <w:pPr>
        <w:spacing w:line="360" w:lineRule="auto"/>
        <w:jc w:val="center"/>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w:t>
      </w:r>
      <w:r>
        <w:rPr>
          <w:rFonts w:hint="eastAsia" w:ascii="方正小标宋_GBK" w:hAnsi="黑体" w:eastAsia="方正小标宋_GBK" w:cs="黑体"/>
          <w:color w:val="auto"/>
          <w:sz w:val="36"/>
          <w:szCs w:val="36"/>
        </w:rPr>
        <w:t>城乡残疾人医疗保险资助金</w:t>
      </w:r>
      <w:r>
        <w:rPr>
          <w:rFonts w:hint="eastAsia" w:ascii="仿宋_GB2312" w:hAnsi="宋体" w:eastAsia="仿宋_GB2312"/>
          <w:color w:val="auto"/>
          <w:sz w:val="32"/>
          <w:szCs w:val="32"/>
          <w:lang w:val="zh-CN"/>
        </w:rPr>
        <w:t>）</w:t>
      </w:r>
    </w:p>
    <w:p w14:paraId="7D72B6B7">
      <w:pPr>
        <w:spacing w:line="360" w:lineRule="auto"/>
        <w:ind w:firstLine="640"/>
        <w:jc w:val="center"/>
        <w:rPr>
          <w:rFonts w:ascii="宋体" w:hAnsi="宋体"/>
          <w:color w:val="auto"/>
          <w:sz w:val="32"/>
          <w:szCs w:val="32"/>
          <w:lang w:val="zh-CN"/>
        </w:rPr>
      </w:pPr>
    </w:p>
    <w:p w14:paraId="1846F3A7">
      <w:pPr>
        <w:adjustRightInd w:val="0"/>
        <w:snapToGrid w:val="0"/>
        <w:spacing w:line="360" w:lineRule="auto"/>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23B6404D">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14:paraId="74664BBE">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1．说明项目主管部门（单位）在该项目管理中的职能。</w:t>
      </w:r>
    </w:p>
    <w:p w14:paraId="3A23528B">
      <w:pPr>
        <w:autoSpaceDE w:val="0"/>
        <w:autoSpaceDN w:val="0"/>
        <w:adjustRightInd w:val="0"/>
        <w:spacing w:line="360" w:lineRule="auto"/>
        <w:ind w:firstLine="640" w:firstLineChars="200"/>
        <w:jc w:val="left"/>
        <w:rPr>
          <w:color w:val="auto"/>
          <w:lang w:val="zh-CN"/>
        </w:rPr>
      </w:pPr>
      <w:r>
        <w:rPr>
          <w:rFonts w:eastAsia="仿宋_GB2312"/>
          <w:color w:val="auto"/>
          <w:kern w:val="0"/>
          <w:sz w:val="32"/>
          <w:szCs w:val="32"/>
        </w:rPr>
        <w:t>在该项目管理中</w:t>
      </w:r>
      <w:r>
        <w:rPr>
          <w:rFonts w:hint="eastAsia" w:eastAsia="仿宋_GB2312"/>
          <w:color w:val="auto"/>
          <w:kern w:val="0"/>
          <w:sz w:val="32"/>
          <w:szCs w:val="32"/>
        </w:rPr>
        <w:t>负责组织资助县内残疾人参加城乡居民医疗保险</w:t>
      </w:r>
      <w:r>
        <w:rPr>
          <w:rFonts w:eastAsia="仿宋_GB2312"/>
          <w:color w:val="auto"/>
          <w:kern w:val="0"/>
          <w:sz w:val="32"/>
          <w:szCs w:val="32"/>
        </w:rPr>
        <w:t>。</w:t>
      </w:r>
    </w:p>
    <w:p w14:paraId="1CEEDCB2">
      <w:pPr>
        <w:numPr>
          <w:ilvl w:val="0"/>
          <w:numId w:val="13"/>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项目立项、资金申报的依据。</w:t>
      </w:r>
    </w:p>
    <w:p w14:paraId="2FE5B742">
      <w:pPr>
        <w:autoSpaceDE w:val="0"/>
        <w:autoSpaceDN w:val="0"/>
        <w:adjustRightInd w:val="0"/>
        <w:spacing w:line="360" w:lineRule="auto"/>
        <w:ind w:firstLine="420" w:firstLineChars="200"/>
        <w:jc w:val="left"/>
        <w:rPr>
          <w:rFonts w:eastAsia="仿宋_GB2312"/>
          <w:color w:val="auto"/>
        </w:rPr>
      </w:pPr>
      <w:r>
        <w:rPr>
          <w:rFonts w:hint="eastAsia"/>
          <w:color w:val="auto"/>
        </w:rPr>
        <w:t xml:space="preserve">   </w:t>
      </w:r>
      <w:r>
        <w:rPr>
          <w:rFonts w:hint="eastAsia" w:eastAsia="仿宋_GB2312"/>
          <w:color w:val="auto"/>
          <w:kern w:val="0"/>
          <w:sz w:val="32"/>
          <w:szCs w:val="32"/>
        </w:rPr>
        <w:t>根据《攀枝花市医疗保障局等七部门关于做好资助困难居民参加2021年度城乡居民医疗保险有关工作的通知》（攀医保〔2020〕100 号）要求进行该项目立项和资金申报</w:t>
      </w:r>
      <w:r>
        <w:rPr>
          <w:rFonts w:eastAsia="仿宋_GB2312"/>
          <w:color w:val="auto"/>
          <w:kern w:val="0"/>
          <w:sz w:val="32"/>
          <w:szCs w:val="32"/>
        </w:rPr>
        <w:t>。</w:t>
      </w:r>
    </w:p>
    <w:p w14:paraId="2FACFAF1">
      <w:pPr>
        <w:numPr>
          <w:ilvl w:val="0"/>
          <w:numId w:val="13"/>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资金管理办法制定情况，资金支持具体项目的条件、范围与支持方式概况。</w:t>
      </w:r>
    </w:p>
    <w:p w14:paraId="607A6B15">
      <w:pPr>
        <w:spacing w:line="360" w:lineRule="auto"/>
        <w:ind w:left="420" w:leftChars="200"/>
        <w:rPr>
          <w:rFonts w:eastAsia="仿宋_GB2312"/>
          <w:color w:val="auto"/>
          <w:kern w:val="0"/>
          <w:sz w:val="32"/>
          <w:szCs w:val="32"/>
        </w:rPr>
      </w:pPr>
      <w:r>
        <w:rPr>
          <w:rFonts w:hint="eastAsia" w:eastAsia="仿宋_GB2312"/>
          <w:color w:val="auto"/>
          <w:kern w:val="0"/>
          <w:sz w:val="32"/>
          <w:szCs w:val="32"/>
        </w:rPr>
        <w:t>项目资金由残联提供残疾人级别与人数，由残联申请资金，</w:t>
      </w:r>
    </w:p>
    <w:p w14:paraId="6B3423D9">
      <w:pPr>
        <w:spacing w:line="360" w:lineRule="auto"/>
        <w:rPr>
          <w:color w:val="auto"/>
          <w:lang w:val="zh-CN"/>
        </w:rPr>
      </w:pPr>
      <w:r>
        <w:rPr>
          <w:rFonts w:hint="eastAsia" w:eastAsia="仿宋_GB2312"/>
          <w:color w:val="auto"/>
          <w:kern w:val="0"/>
          <w:sz w:val="32"/>
          <w:szCs w:val="32"/>
        </w:rPr>
        <w:t>资金到位后</w:t>
      </w:r>
      <w:r>
        <w:rPr>
          <w:rFonts w:hint="eastAsia" w:eastAsia="仿宋_GB2312"/>
          <w:color w:val="auto"/>
          <w:sz w:val="32"/>
          <w:szCs w:val="32"/>
        </w:rPr>
        <w:t>转入市级单位统筹使用。</w:t>
      </w:r>
    </w:p>
    <w:p w14:paraId="4124B613">
      <w:pPr>
        <w:adjustRightInd w:val="0"/>
        <w:snapToGrid w:val="0"/>
        <w:spacing w:line="360" w:lineRule="auto"/>
        <w:ind w:firstLine="643" w:firstLineChars="20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14:paraId="447DFCB0">
      <w:p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1．项目主要内容。</w:t>
      </w:r>
    </w:p>
    <w:p w14:paraId="08796959">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资助县内5756名残疾人参加2021年城乡居民医保，其中按照一档（300元/人）资助一般残疾3595人，按照二档（450元/人）资助重度残疾2161人</w:t>
      </w:r>
      <w:r>
        <w:rPr>
          <w:rFonts w:eastAsia="仿宋_GB2312"/>
          <w:color w:val="auto"/>
          <w:kern w:val="0"/>
          <w:sz w:val="32"/>
          <w:szCs w:val="32"/>
        </w:rPr>
        <w:t>。</w:t>
      </w:r>
    </w:p>
    <w:p w14:paraId="6A0842EB">
      <w:pPr>
        <w:numPr>
          <w:ilvl w:val="0"/>
          <w:numId w:val="14"/>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项目应实现的具体绩效目标，包括目标的量化、细化情况以及项目实施进度计划等。</w:t>
      </w:r>
    </w:p>
    <w:p w14:paraId="449B231E">
      <w:pPr>
        <w:autoSpaceDE w:val="0"/>
        <w:autoSpaceDN w:val="0"/>
        <w:adjustRightInd w:val="0"/>
        <w:spacing w:line="360" w:lineRule="auto"/>
        <w:ind w:firstLine="640" w:firstLineChars="200"/>
        <w:jc w:val="left"/>
        <w:rPr>
          <w:rFonts w:eastAsia="仿宋_GB2312"/>
          <w:color w:val="auto"/>
          <w:sz w:val="32"/>
          <w:szCs w:val="32"/>
        </w:rPr>
      </w:pPr>
      <w:r>
        <w:rPr>
          <w:rFonts w:hint="eastAsia" w:eastAsia="仿宋_GB2312"/>
          <w:color w:val="auto"/>
          <w:sz w:val="32"/>
          <w:szCs w:val="32"/>
        </w:rPr>
        <w:t>项目完成指标包括数量指标：①资助参保人数，5756人；②资助参保金额：205.1万元；③资助标准：重残450元/人·年，一般残疾300元/人·年。质量指标：残疾人参保率，100%。时效指标：参保资金上解时间，在规定时间内按时上解。</w:t>
      </w:r>
    </w:p>
    <w:p w14:paraId="64E116B1">
      <w:pPr>
        <w:spacing w:line="360" w:lineRule="auto"/>
        <w:ind w:firstLine="640"/>
        <w:rPr>
          <w:rFonts w:eastAsia="仿宋_GB2312"/>
          <w:color w:val="auto"/>
          <w:sz w:val="32"/>
          <w:szCs w:val="32"/>
        </w:rPr>
      </w:pPr>
      <w:r>
        <w:rPr>
          <w:rFonts w:eastAsia="仿宋_GB2312"/>
          <w:color w:val="auto"/>
          <w:sz w:val="32"/>
          <w:szCs w:val="32"/>
        </w:rPr>
        <w:t>项目效益</w:t>
      </w:r>
      <w:r>
        <w:rPr>
          <w:rFonts w:hint="eastAsia" w:eastAsia="仿宋_GB2312"/>
          <w:color w:val="auto"/>
          <w:sz w:val="32"/>
          <w:szCs w:val="32"/>
        </w:rPr>
        <w:t>指标包括社会效益指标：持续保障残疾人参加城乡居民医疗保险。可持续影响指标：①保障城乡医保基金运行，成效明显；②持续保障残疾人正常享受医疗待遇。</w:t>
      </w:r>
    </w:p>
    <w:p w14:paraId="3591FC61">
      <w:pPr>
        <w:spacing w:line="360" w:lineRule="auto"/>
        <w:ind w:firstLine="640" w:firstLineChars="200"/>
        <w:rPr>
          <w:color w:val="auto"/>
          <w:lang w:val="zh-CN"/>
        </w:rPr>
      </w:pPr>
      <w:r>
        <w:rPr>
          <w:rFonts w:eastAsia="仿宋_GB2312"/>
          <w:color w:val="auto"/>
          <w:sz w:val="32"/>
          <w:szCs w:val="32"/>
        </w:rPr>
        <w:t>满意度指标</w:t>
      </w:r>
      <w:r>
        <w:rPr>
          <w:rFonts w:hint="eastAsia" w:eastAsia="仿宋_GB2312"/>
          <w:color w:val="auto"/>
          <w:sz w:val="32"/>
          <w:szCs w:val="32"/>
        </w:rPr>
        <w:t>包括：①政策知晓率，95%；②工作满意度，99%。</w:t>
      </w:r>
    </w:p>
    <w:p w14:paraId="034B0965">
      <w:pPr>
        <w:numPr>
          <w:ilvl w:val="0"/>
          <w:numId w:val="14"/>
        </w:numPr>
        <w:adjustRightInd w:val="0"/>
        <w:snapToGrid w:val="0"/>
        <w:spacing w:line="360" w:lineRule="auto"/>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分析评价申报内容是否与实际相符，申报目标是否合理可行。</w:t>
      </w:r>
    </w:p>
    <w:p w14:paraId="4AAAC561">
      <w:pPr>
        <w:pStyle w:val="2"/>
        <w:spacing w:before="93" w:line="360" w:lineRule="auto"/>
        <w:ind w:left="720"/>
        <w:rPr>
          <w:color w:val="auto"/>
          <w:lang w:val="zh-CN"/>
        </w:rPr>
      </w:pPr>
      <w:r>
        <w:rPr>
          <w:rFonts w:ascii="Times New Roman"/>
          <w:color w:val="auto"/>
          <w:sz w:val="32"/>
          <w:szCs w:val="32"/>
        </w:rPr>
        <w:t>申报内容与实际相符，申报目标合理可行。</w:t>
      </w:r>
    </w:p>
    <w:p w14:paraId="049935A5">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14:paraId="1A2EC978">
      <w:pPr>
        <w:adjustRightInd w:val="0"/>
        <w:snapToGrid w:val="0"/>
        <w:spacing w:line="360" w:lineRule="auto"/>
        <w:ind w:firstLine="720"/>
        <w:rPr>
          <w:rFonts w:ascii="仿宋_GB2312" w:hAnsi="宋体" w:eastAsia="仿宋_GB2312"/>
          <w:color w:val="auto"/>
          <w:sz w:val="32"/>
          <w:szCs w:val="32"/>
          <w:lang w:val="zh-CN"/>
        </w:rPr>
      </w:pPr>
      <w:r>
        <w:rPr>
          <w:rFonts w:hint="eastAsia" w:eastAsia="仿宋_GB2312"/>
          <w:color w:val="auto"/>
          <w:sz w:val="32"/>
          <w:szCs w:val="32"/>
        </w:rPr>
        <w:t>本项目采取自评的方式，由项目负责人结合评价内容，做到有计划，有安排，扎实开展自评工作。按照项目支出绩效评价指标体系，对项目内容、实施情况、社会效益等开展自评工作。</w:t>
      </w:r>
    </w:p>
    <w:p w14:paraId="63308E7E">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14:paraId="101724F8">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14:paraId="2C22A7D2">
      <w:pPr>
        <w:autoSpaceDE w:val="0"/>
        <w:autoSpaceDN w:val="0"/>
        <w:adjustRightInd w:val="0"/>
        <w:spacing w:line="360" w:lineRule="auto"/>
        <w:ind w:firstLine="640" w:firstLineChars="200"/>
        <w:jc w:val="left"/>
        <w:rPr>
          <w:rFonts w:eastAsia="仿宋_GB2312"/>
          <w:color w:val="auto"/>
          <w:kern w:val="0"/>
          <w:sz w:val="32"/>
          <w:szCs w:val="32"/>
        </w:rPr>
      </w:pPr>
      <w:r>
        <w:rPr>
          <w:rFonts w:hint="eastAsia" w:eastAsia="仿宋_GB2312"/>
          <w:color w:val="auto"/>
          <w:kern w:val="0"/>
          <w:sz w:val="32"/>
          <w:szCs w:val="32"/>
        </w:rPr>
        <w:t>根据盐财资行〔2021〕222号关于下达城乡残疾人医疗保险资助金的通知下达资金。</w:t>
      </w:r>
    </w:p>
    <w:p w14:paraId="377F1446">
      <w:pPr>
        <w:adjustRightInd w:val="0"/>
        <w:snapToGrid w:val="0"/>
        <w:spacing w:line="360" w:lineRule="auto"/>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（二）资金计划、到位及使用情况。</w:t>
      </w:r>
    </w:p>
    <w:p w14:paraId="2A270245">
      <w:pPr>
        <w:autoSpaceDE w:val="0"/>
        <w:autoSpaceDN w:val="0"/>
        <w:adjustRightInd w:val="0"/>
        <w:spacing w:line="360" w:lineRule="auto"/>
        <w:ind w:firstLine="640" w:firstLineChars="200"/>
        <w:jc w:val="left"/>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1．资金计划。</w:t>
      </w:r>
    </w:p>
    <w:p w14:paraId="54F9534D">
      <w:pPr>
        <w:autoSpaceDE w:val="0"/>
        <w:autoSpaceDN w:val="0"/>
        <w:adjustRightInd w:val="0"/>
        <w:spacing w:line="360" w:lineRule="auto"/>
        <w:ind w:firstLine="640" w:firstLineChars="200"/>
        <w:jc w:val="left"/>
        <w:rPr>
          <w:rFonts w:ascii="仿宋_GB2312" w:hAnsi="宋体" w:eastAsia="仿宋_GB2312"/>
          <w:color w:val="auto"/>
          <w:sz w:val="32"/>
          <w:szCs w:val="32"/>
          <w:lang w:val="zh-CN"/>
        </w:rPr>
      </w:pPr>
      <w:r>
        <w:rPr>
          <w:rFonts w:hint="eastAsia" w:eastAsia="仿宋_GB2312"/>
          <w:color w:val="auto"/>
          <w:kern w:val="0"/>
          <w:sz w:val="32"/>
          <w:szCs w:val="32"/>
        </w:rPr>
        <w:t>用于资助我县残疾人参加城乡居民医疗保险。</w:t>
      </w:r>
    </w:p>
    <w:p w14:paraId="52835C2D">
      <w:pPr>
        <w:numPr>
          <w:ilvl w:val="0"/>
          <w:numId w:val="15"/>
        </w:numPr>
        <w:adjustRightInd w:val="0"/>
        <w:snapToGrid w:val="0"/>
        <w:spacing w:line="360" w:lineRule="auto"/>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资金到位。</w:t>
      </w:r>
    </w:p>
    <w:p w14:paraId="1D267ED3">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已到位</w:t>
      </w:r>
      <w:r>
        <w:rPr>
          <w:rFonts w:eastAsia="仿宋_GB2312"/>
          <w:color w:val="auto"/>
          <w:kern w:val="0"/>
          <w:sz w:val="32"/>
          <w:szCs w:val="32"/>
        </w:rPr>
        <w:t>县</w:t>
      </w:r>
      <w:r>
        <w:rPr>
          <w:rFonts w:hint="eastAsia" w:eastAsia="仿宋_GB2312"/>
          <w:color w:val="auto"/>
          <w:kern w:val="0"/>
          <w:sz w:val="32"/>
          <w:szCs w:val="32"/>
        </w:rPr>
        <w:t>级</w:t>
      </w:r>
      <w:r>
        <w:rPr>
          <w:rFonts w:eastAsia="仿宋_GB2312"/>
          <w:color w:val="auto"/>
          <w:kern w:val="0"/>
          <w:sz w:val="32"/>
          <w:szCs w:val="32"/>
        </w:rPr>
        <w:t>财政资金</w:t>
      </w:r>
      <w:r>
        <w:rPr>
          <w:rFonts w:hint="eastAsia" w:eastAsia="仿宋_GB2312"/>
          <w:color w:val="auto"/>
          <w:kern w:val="0"/>
          <w:sz w:val="32"/>
          <w:szCs w:val="32"/>
        </w:rPr>
        <w:t>205.1万元</w:t>
      </w:r>
      <w:r>
        <w:rPr>
          <w:rFonts w:eastAsia="仿宋_GB2312"/>
          <w:color w:val="auto"/>
          <w:kern w:val="0"/>
          <w:sz w:val="32"/>
          <w:szCs w:val="32"/>
        </w:rPr>
        <w:t>。</w:t>
      </w:r>
    </w:p>
    <w:p w14:paraId="2C102A12">
      <w:pPr>
        <w:numPr>
          <w:ilvl w:val="0"/>
          <w:numId w:val="15"/>
        </w:numPr>
        <w:adjustRightInd w:val="0"/>
        <w:snapToGrid w:val="0"/>
        <w:spacing w:line="360" w:lineRule="auto"/>
        <w:ind w:firstLine="720"/>
        <w:rPr>
          <w:rFonts w:ascii="楷体_GB2312" w:hAnsi="宋体" w:eastAsia="楷体_GB2312"/>
          <w:color w:val="auto"/>
          <w:sz w:val="32"/>
          <w:szCs w:val="32"/>
          <w:lang w:val="zh-CN"/>
        </w:rPr>
      </w:pPr>
      <w:r>
        <w:rPr>
          <w:rFonts w:hint="eastAsia" w:ascii="楷体_GB2312" w:hAnsi="宋体" w:eastAsia="楷体_GB2312"/>
          <w:color w:val="auto"/>
          <w:sz w:val="32"/>
          <w:szCs w:val="32"/>
          <w:lang w:val="zh-CN"/>
        </w:rPr>
        <w:t>资金使用。</w:t>
      </w:r>
    </w:p>
    <w:p w14:paraId="298B19DD">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已及时上解至市级统筹使用</w:t>
      </w:r>
      <w:r>
        <w:rPr>
          <w:rFonts w:eastAsia="仿宋_GB2312"/>
          <w:color w:val="auto"/>
          <w:kern w:val="0"/>
          <w:sz w:val="32"/>
          <w:szCs w:val="32"/>
        </w:rPr>
        <w:t>。</w:t>
      </w:r>
    </w:p>
    <w:p w14:paraId="019F03F4">
      <w:pPr>
        <w:adjustRightInd w:val="0"/>
        <w:snapToGrid w:val="0"/>
        <w:spacing w:line="360" w:lineRule="auto"/>
        <w:ind w:left="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（三）项目财务管理情况。</w:t>
      </w:r>
    </w:p>
    <w:p w14:paraId="00CA2967">
      <w:pPr>
        <w:adjustRightInd w:val="0"/>
        <w:snapToGrid w:val="0"/>
        <w:spacing w:line="360" w:lineRule="auto"/>
        <w:ind w:firstLine="720"/>
        <w:rPr>
          <w:rFonts w:eastAsia="仿宋_GB2312"/>
          <w:color w:val="auto"/>
          <w:kern w:val="0"/>
          <w:sz w:val="32"/>
          <w:szCs w:val="32"/>
        </w:rPr>
      </w:pPr>
      <w:r>
        <w:rPr>
          <w:rFonts w:hint="eastAsia" w:eastAsia="仿宋_GB2312"/>
          <w:color w:val="auto"/>
          <w:kern w:val="0"/>
          <w:sz w:val="32"/>
          <w:szCs w:val="32"/>
        </w:rPr>
        <w:t>我单位</w:t>
      </w:r>
      <w:r>
        <w:rPr>
          <w:rFonts w:eastAsia="仿宋_GB2312"/>
          <w:color w:val="auto"/>
          <w:kern w:val="0"/>
          <w:sz w:val="32"/>
          <w:szCs w:val="32"/>
        </w:rPr>
        <w:t>财务管理制度健全，严格执行财务管理制度，账务处理及时，会计核算规范。</w:t>
      </w:r>
    </w:p>
    <w:p w14:paraId="619A0B58">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三、项目实施及管理情况</w:t>
      </w:r>
    </w:p>
    <w:p w14:paraId="60AB70B7">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（一）项目组织架构及实施流程。</w:t>
      </w:r>
    </w:p>
    <w:p w14:paraId="50161468">
      <w:pPr>
        <w:pStyle w:val="2"/>
        <w:spacing w:before="93" w:line="360" w:lineRule="auto"/>
        <w:ind w:firstLine="640" w:firstLineChars="200"/>
        <w:rPr>
          <w:color w:val="auto"/>
          <w:lang w:val="zh-CN"/>
        </w:rPr>
      </w:pPr>
      <w:r>
        <w:rPr>
          <w:rFonts w:hint="eastAsia" w:ascii="Times New Roman"/>
          <w:color w:val="auto"/>
          <w:sz w:val="32"/>
          <w:szCs w:val="32"/>
        </w:rPr>
        <w:t>县医疗保障局负责组织资助县内残疾人参保，县医疗保障事务中心负责项目具体实施，县残联负责提供残疾人资助参保名单。</w:t>
      </w:r>
    </w:p>
    <w:p w14:paraId="7888D605">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（二）项目管理情况。</w:t>
      </w:r>
    </w:p>
    <w:p w14:paraId="0D4A8D40">
      <w:pPr>
        <w:autoSpaceDE w:val="0"/>
        <w:autoSpaceDN w:val="0"/>
        <w:adjustRightInd w:val="0"/>
        <w:spacing w:line="360" w:lineRule="auto"/>
        <w:ind w:firstLine="640" w:firstLineChars="200"/>
        <w:jc w:val="left"/>
        <w:rPr>
          <w:color w:val="auto"/>
          <w:lang w:val="zh-CN"/>
        </w:rPr>
      </w:pPr>
      <w:r>
        <w:rPr>
          <w:rFonts w:hint="eastAsia" w:eastAsia="仿宋_GB2312"/>
          <w:color w:val="auto"/>
          <w:kern w:val="0"/>
          <w:sz w:val="32"/>
          <w:szCs w:val="32"/>
        </w:rPr>
        <w:t>项目实施过程中，</w:t>
      </w:r>
      <w:r>
        <w:rPr>
          <w:rFonts w:eastAsia="仿宋_GB2312"/>
          <w:color w:val="auto"/>
          <w:kern w:val="0"/>
          <w:sz w:val="32"/>
          <w:szCs w:val="32"/>
        </w:rPr>
        <w:t>各项目实施单位</w:t>
      </w:r>
      <w:r>
        <w:rPr>
          <w:rFonts w:hint="eastAsia" w:eastAsia="仿宋_GB2312"/>
          <w:color w:val="auto"/>
          <w:kern w:val="0"/>
          <w:sz w:val="32"/>
          <w:szCs w:val="32"/>
        </w:rPr>
        <w:t>严格</w:t>
      </w:r>
      <w:r>
        <w:rPr>
          <w:rFonts w:eastAsia="仿宋_GB2312"/>
          <w:color w:val="auto"/>
          <w:kern w:val="0"/>
          <w:sz w:val="32"/>
          <w:szCs w:val="32"/>
        </w:rPr>
        <w:t>执行相关法律法规及项目管理制度。</w:t>
      </w:r>
    </w:p>
    <w:p w14:paraId="41E159C1">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（三）项目监管情况。</w:t>
      </w:r>
    </w:p>
    <w:p w14:paraId="0B1453EA">
      <w:pPr>
        <w:autoSpaceDE w:val="0"/>
        <w:autoSpaceDN w:val="0"/>
        <w:adjustRightIn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为加强项目管理</w:t>
      </w:r>
      <w:r>
        <w:rPr>
          <w:rFonts w:hint="eastAsia" w:eastAsia="仿宋_GB2312"/>
          <w:color w:val="auto"/>
          <w:kern w:val="0"/>
          <w:sz w:val="32"/>
          <w:szCs w:val="32"/>
        </w:rPr>
        <w:t>，在项目实施期间，制定了专项资金管理工作制度，明确了资金付款流程，统一了资金申请手续，做到了层层审核、层层负责、层层把关。</w:t>
      </w:r>
    </w:p>
    <w:p w14:paraId="28791FD7">
      <w:pPr>
        <w:pStyle w:val="2"/>
        <w:spacing w:before="93" w:line="360" w:lineRule="auto"/>
        <w:rPr>
          <w:color w:val="auto"/>
          <w:lang w:val="zh-CN"/>
        </w:rPr>
      </w:pPr>
    </w:p>
    <w:p w14:paraId="6778723C">
      <w:pPr>
        <w:adjustRightInd w:val="0"/>
        <w:snapToGrid w:val="0"/>
        <w:spacing w:line="360" w:lineRule="auto"/>
        <w:ind w:firstLine="720"/>
        <w:rPr>
          <w:rFonts w:ascii="仿宋_GB2312" w:hAnsi="宋体" w:eastAsia="仿宋_GB2312"/>
          <w:color w:val="auto"/>
          <w:sz w:val="32"/>
          <w:szCs w:val="32"/>
          <w:lang w:val="zh-CN"/>
        </w:rPr>
      </w:pPr>
      <w:r>
        <w:rPr>
          <w:rFonts w:hint="eastAsia" w:ascii="黑体" w:hAnsi="宋体" w:eastAsia="黑体"/>
          <w:color w:val="auto"/>
          <w:sz w:val="32"/>
          <w:szCs w:val="32"/>
        </w:rPr>
        <w:t>四、项目绩效情况</w:t>
      </w:r>
      <w:r>
        <w:rPr>
          <w:rFonts w:hint="eastAsia" w:ascii="仿宋_GB2312" w:hAnsi="宋体" w:eastAsia="仿宋_GB2312"/>
          <w:color w:val="auto"/>
          <w:sz w:val="32"/>
          <w:szCs w:val="32"/>
          <w:lang w:val="zh-CN"/>
        </w:rPr>
        <w:tab/>
      </w:r>
    </w:p>
    <w:p w14:paraId="49B78FFD">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7EEBF490">
      <w:pPr>
        <w:adjustRightInd w:val="0"/>
        <w:snapToGrid w:val="0"/>
        <w:spacing w:line="360" w:lineRule="auto"/>
        <w:ind w:firstLine="720"/>
        <w:rPr>
          <w:rFonts w:ascii="楷体_GB2312" w:hAnsi="宋体" w:eastAsia="楷体_GB2312"/>
          <w:b/>
          <w:color w:val="auto"/>
          <w:sz w:val="32"/>
          <w:szCs w:val="32"/>
          <w:lang w:val="zh-CN"/>
        </w:rPr>
      </w:pPr>
      <w:r>
        <w:rPr>
          <w:rFonts w:eastAsia="仿宋_GB2312"/>
          <w:color w:val="auto"/>
          <w:kern w:val="0"/>
          <w:sz w:val="32"/>
          <w:szCs w:val="32"/>
        </w:rPr>
        <w:t>项目</w:t>
      </w:r>
      <w:r>
        <w:rPr>
          <w:rFonts w:hint="eastAsia" w:eastAsia="仿宋_GB2312"/>
          <w:color w:val="auto"/>
          <w:kern w:val="0"/>
          <w:sz w:val="32"/>
          <w:szCs w:val="32"/>
        </w:rPr>
        <w:t>完成资助县内5756名残疾人参加2021年城乡居民医疗保险，其中按照一档（300元/人）资助一般残疾3595人，按照二档（450元/人）资助重度残疾2161人</w:t>
      </w:r>
      <w:r>
        <w:rPr>
          <w:rFonts w:eastAsia="仿宋_GB2312"/>
          <w:color w:val="auto"/>
          <w:kern w:val="0"/>
          <w:sz w:val="32"/>
          <w:szCs w:val="32"/>
        </w:rPr>
        <w:t>。</w:t>
      </w:r>
    </w:p>
    <w:p w14:paraId="09EA2002">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14:paraId="62F06B27">
      <w:pPr>
        <w:autoSpaceDE w:val="0"/>
        <w:autoSpaceDN w:val="0"/>
        <w:adjustRightInd w:val="0"/>
        <w:spacing w:line="360" w:lineRule="auto"/>
        <w:ind w:firstLine="640" w:firstLineChars="200"/>
        <w:jc w:val="left"/>
        <w:rPr>
          <w:rFonts w:eastAsia="仿宋_GB2312"/>
          <w:color w:val="auto"/>
          <w:kern w:val="0"/>
          <w:sz w:val="32"/>
          <w:szCs w:val="32"/>
        </w:rPr>
      </w:pPr>
      <w:r>
        <w:rPr>
          <w:rFonts w:eastAsia="仿宋_GB2312"/>
          <w:color w:val="auto"/>
          <w:kern w:val="0"/>
          <w:sz w:val="32"/>
          <w:szCs w:val="32"/>
        </w:rPr>
        <w:t>项目</w:t>
      </w:r>
      <w:r>
        <w:rPr>
          <w:rFonts w:hint="eastAsia" w:eastAsia="仿宋_GB2312"/>
          <w:color w:val="auto"/>
          <w:kern w:val="0"/>
          <w:sz w:val="32"/>
          <w:szCs w:val="32"/>
        </w:rPr>
        <w:t>保障了县内残疾人正常享受医保待遇</w:t>
      </w:r>
      <w:r>
        <w:rPr>
          <w:rFonts w:eastAsia="仿宋_GB2312"/>
          <w:color w:val="auto"/>
          <w:kern w:val="0"/>
          <w:sz w:val="32"/>
          <w:szCs w:val="32"/>
        </w:rPr>
        <w:t>，</w:t>
      </w:r>
      <w:r>
        <w:rPr>
          <w:rFonts w:hint="eastAsia" w:eastAsia="仿宋_GB2312"/>
          <w:color w:val="auto"/>
          <w:kern w:val="0"/>
          <w:sz w:val="32"/>
          <w:szCs w:val="32"/>
        </w:rPr>
        <w:t>有效提高我县居民参保率，有力保障了城乡医保基金稳定运行，群众满意度达99%</w:t>
      </w:r>
      <w:r>
        <w:rPr>
          <w:rFonts w:eastAsia="仿宋_GB2312"/>
          <w:color w:val="auto"/>
          <w:kern w:val="0"/>
          <w:sz w:val="32"/>
          <w:szCs w:val="32"/>
        </w:rPr>
        <w:t>。</w:t>
      </w:r>
    </w:p>
    <w:p w14:paraId="51324956">
      <w:pPr>
        <w:adjustRightInd w:val="0"/>
        <w:snapToGrid w:val="0"/>
        <w:spacing w:line="360" w:lineRule="auto"/>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14:paraId="72664724">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（一）评价结论。</w:t>
      </w:r>
    </w:p>
    <w:p w14:paraId="1C1D4A52">
      <w:pPr>
        <w:spacing w:line="360" w:lineRule="auto"/>
        <w:ind w:firstLine="640" w:firstLineChars="200"/>
        <w:rPr>
          <w:rFonts w:eastAsia="仿宋_GB2312"/>
          <w:color w:val="auto"/>
          <w:sz w:val="32"/>
          <w:szCs w:val="32"/>
        </w:rPr>
      </w:pPr>
      <w:r>
        <w:rPr>
          <w:rFonts w:hint="eastAsia" w:eastAsia="仿宋_GB2312"/>
          <w:color w:val="auto"/>
          <w:kern w:val="0"/>
          <w:sz w:val="32"/>
          <w:szCs w:val="32"/>
        </w:rPr>
        <w:t>该项目是残疾人正常享受医保待遇的重要举措，</w:t>
      </w:r>
      <w:r>
        <w:rPr>
          <w:rFonts w:hint="eastAsia" w:eastAsia="仿宋_GB2312"/>
          <w:color w:val="auto"/>
          <w:sz w:val="32"/>
          <w:szCs w:val="32"/>
        </w:rPr>
        <w:t>保障其享受医疗待遇，对照项目绩效指标，都</w:t>
      </w:r>
      <w:r>
        <w:rPr>
          <w:rFonts w:hint="eastAsia" w:eastAsia="仿宋_GB2312"/>
          <w:color w:val="auto"/>
          <w:sz w:val="32"/>
          <w:szCs w:val="32"/>
          <w:lang w:eastAsia="zh-CN"/>
        </w:rPr>
        <w:t>很好地完成</w:t>
      </w:r>
      <w:r>
        <w:rPr>
          <w:rFonts w:hint="eastAsia" w:eastAsia="仿宋_GB2312"/>
          <w:color w:val="auto"/>
          <w:sz w:val="32"/>
          <w:szCs w:val="32"/>
        </w:rPr>
        <w:t>了各项绩效指标。</w:t>
      </w:r>
    </w:p>
    <w:p w14:paraId="26D47AAE">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（二）存在的问题。</w:t>
      </w:r>
    </w:p>
    <w:p w14:paraId="72CFAE93">
      <w:pPr>
        <w:adjustRightInd w:val="0"/>
        <w:snapToGrid w:val="0"/>
        <w:spacing w:line="360" w:lineRule="auto"/>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无。</w:t>
      </w:r>
      <w:r>
        <w:rPr>
          <w:rFonts w:hint="eastAsia" w:ascii="仿宋_GB2312" w:hAnsi="宋体" w:eastAsia="仿宋_GB2312"/>
          <w:color w:val="auto"/>
          <w:sz w:val="32"/>
          <w:szCs w:val="32"/>
          <w:lang w:val="zh-CN"/>
        </w:rPr>
        <w:tab/>
      </w:r>
    </w:p>
    <w:p w14:paraId="362AF47A">
      <w:pPr>
        <w:adjustRightInd w:val="0"/>
        <w:snapToGrid w:val="0"/>
        <w:spacing w:line="360" w:lineRule="auto"/>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（三）相关建议。</w:t>
      </w:r>
    </w:p>
    <w:p w14:paraId="7B0792CB">
      <w:pPr>
        <w:adjustRightInd w:val="0"/>
        <w:snapToGrid w:val="0"/>
        <w:spacing w:line="360" w:lineRule="auto"/>
        <w:ind w:firstLine="640" w:firstLineChars="20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无。</w:t>
      </w:r>
    </w:p>
    <w:p w14:paraId="6C268E55">
      <w:pPr>
        <w:pStyle w:val="2"/>
        <w:spacing w:before="93" w:line="360" w:lineRule="auto"/>
        <w:rPr>
          <w:color w:val="auto"/>
          <w:lang w:val="zh-CN"/>
        </w:rPr>
      </w:pPr>
    </w:p>
    <w:p w14:paraId="7DF3B5A4">
      <w:pPr>
        <w:pStyle w:val="2"/>
        <w:spacing w:before="93" w:line="360" w:lineRule="auto"/>
        <w:rPr>
          <w:color w:val="auto"/>
          <w:lang w:val="zh-CN"/>
        </w:rPr>
      </w:pPr>
    </w:p>
    <w:tbl>
      <w:tblPr>
        <w:tblStyle w:val="13"/>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054A4841">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05A20FE6">
            <w:pPr>
              <w:widowControl/>
              <w:spacing w:line="360" w:lineRule="auto"/>
              <w:jc w:val="center"/>
              <w:textAlignment w:val="center"/>
              <w:rPr>
                <w:rFonts w:ascii="宋体" w:hAnsi="宋体" w:cs="宋体"/>
                <w:b/>
                <w:color w:val="auto"/>
                <w:sz w:val="32"/>
                <w:szCs w:val="32"/>
              </w:rPr>
            </w:pPr>
            <w:r>
              <w:rPr>
                <w:rFonts w:hint="eastAsia" w:ascii="宋体" w:hAnsi="宋体" w:cs="宋体"/>
                <w:b/>
                <w:color w:val="auto"/>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14:paraId="5F79ACB6">
            <w:pPr>
              <w:widowControl/>
              <w:spacing w:line="360" w:lineRule="auto"/>
              <w:jc w:val="center"/>
              <w:textAlignment w:val="center"/>
              <w:rPr>
                <w:rFonts w:ascii="宋体" w:hAnsi="宋体" w:cs="宋体"/>
                <w:b/>
                <w:color w:val="auto"/>
                <w:kern w:val="0"/>
                <w:sz w:val="32"/>
                <w:szCs w:val="32"/>
              </w:rPr>
            </w:pPr>
          </w:p>
        </w:tc>
      </w:tr>
      <w:tr w14:paraId="176A415E">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9058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2C39A">
            <w:pPr>
              <w:widowControl/>
              <w:spacing w:line="360" w:lineRule="auto"/>
              <w:jc w:val="center"/>
              <w:textAlignment w:val="center"/>
              <w:rPr>
                <w:rFonts w:ascii="宋体" w:hAnsi="宋体" w:cs="宋体"/>
                <w:color w:val="auto"/>
                <w:sz w:val="24"/>
              </w:rPr>
            </w:pPr>
            <w:r>
              <w:rPr>
                <w:rFonts w:hint="eastAsia" w:ascii="宋体" w:hAnsi="宋体" w:cs="宋体"/>
                <w:color w:val="auto"/>
                <w:sz w:val="24"/>
              </w:rPr>
              <w:t>518001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4E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508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盐边县医疗保障局</w:t>
            </w:r>
          </w:p>
        </w:tc>
      </w:tr>
      <w:tr w14:paraId="1D4A48A7">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AC5F1">
            <w:pPr>
              <w:widowControl/>
              <w:spacing w:line="360" w:lineRule="auto"/>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项目预算</w:t>
            </w:r>
          </w:p>
          <w:p w14:paraId="2A68E090">
            <w:pPr>
              <w:widowControl/>
              <w:spacing w:line="360" w:lineRule="auto"/>
              <w:jc w:val="center"/>
              <w:textAlignment w:val="center"/>
              <w:rPr>
                <w:rFonts w:hint="eastAsia" w:ascii="宋体" w:hAnsi="宋体" w:eastAsia="宋体" w:cs="宋体"/>
                <w:color w:val="auto"/>
                <w:kern w:val="0"/>
                <w:sz w:val="24"/>
                <w:lang w:eastAsia="zh-CN"/>
              </w:rPr>
            </w:pPr>
            <w:r>
              <w:rPr>
                <w:rFonts w:hint="eastAsia" w:ascii="宋体" w:hAnsi="宋体" w:cs="宋体"/>
                <w:color w:val="auto"/>
                <w:kern w:val="0"/>
                <w:sz w:val="24"/>
              </w:rPr>
              <w:t>执行情况</w:t>
            </w:r>
          </w:p>
          <w:p w14:paraId="043DC8A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8E9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B72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205.1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750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4BBE">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205.1</w:t>
            </w:r>
          </w:p>
        </w:tc>
      </w:tr>
      <w:tr w14:paraId="56628E16">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D42F4">
            <w:pPr>
              <w:spacing w:line="360" w:lineRule="auto"/>
              <w:jc w:val="center"/>
              <w:rPr>
                <w:rFonts w:ascii="宋体" w:hAnsi="宋体" w:cs="宋体"/>
                <w:color w:val="auto"/>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1C38">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其中：</w:t>
            </w:r>
          </w:p>
          <w:p w14:paraId="50424B4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E9B">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205.1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20B2">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其中：</w:t>
            </w:r>
          </w:p>
          <w:p w14:paraId="79B4C9F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5AF4">
            <w:pPr>
              <w:widowControl/>
              <w:spacing w:line="360" w:lineRule="auto"/>
              <w:jc w:val="center"/>
              <w:textAlignment w:val="center"/>
              <w:rPr>
                <w:rFonts w:ascii="宋体" w:hAnsi="宋体" w:cs="宋体"/>
                <w:color w:val="auto"/>
                <w:sz w:val="24"/>
              </w:rPr>
            </w:pPr>
            <w:r>
              <w:rPr>
                <w:rFonts w:hint="eastAsia" w:ascii="宋体" w:hAnsi="宋体" w:cs="宋体"/>
                <w:color w:val="auto"/>
                <w:sz w:val="24"/>
              </w:rPr>
              <w:t>205.1</w:t>
            </w:r>
          </w:p>
        </w:tc>
      </w:tr>
      <w:tr w14:paraId="7A7F215E">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0561A">
            <w:pPr>
              <w:spacing w:line="360" w:lineRule="auto"/>
              <w:jc w:val="center"/>
              <w:rPr>
                <w:rFonts w:ascii="宋体" w:hAnsi="宋体" w:cs="宋体"/>
                <w:color w:val="auto"/>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974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2053">
            <w:pPr>
              <w:widowControl/>
              <w:spacing w:line="360" w:lineRule="auto"/>
              <w:jc w:val="center"/>
              <w:textAlignment w:val="center"/>
              <w:rPr>
                <w:rFonts w:ascii="宋体" w:hAnsi="宋体" w:cs="宋体"/>
                <w:color w:val="auto"/>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D6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3B2F">
            <w:pPr>
              <w:widowControl/>
              <w:spacing w:line="360" w:lineRule="auto"/>
              <w:jc w:val="center"/>
              <w:textAlignment w:val="center"/>
              <w:rPr>
                <w:rFonts w:ascii="宋体" w:hAnsi="宋体" w:cs="宋体"/>
                <w:color w:val="auto"/>
                <w:sz w:val="24"/>
              </w:rPr>
            </w:pPr>
          </w:p>
        </w:tc>
      </w:tr>
      <w:tr w14:paraId="34C8864E">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8F4ED">
            <w:pPr>
              <w:widowControl/>
              <w:spacing w:line="360" w:lineRule="auto"/>
              <w:jc w:val="center"/>
              <w:textAlignment w:val="center"/>
              <w:rPr>
                <w:rFonts w:ascii="宋体" w:hAnsi="宋体" w:cs="宋体"/>
                <w:color w:val="auto"/>
                <w:kern w:val="0"/>
                <w:sz w:val="24"/>
              </w:rPr>
            </w:pPr>
            <w:r>
              <w:rPr>
                <w:rFonts w:hint="eastAsia" w:ascii="宋体" w:hAnsi="宋体" w:cs="宋体"/>
                <w:color w:val="auto"/>
                <w:kern w:val="0"/>
                <w:sz w:val="24"/>
              </w:rPr>
              <w:t>年度总体目标</w:t>
            </w:r>
          </w:p>
          <w:p w14:paraId="27AE23B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F29D7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FBE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rPr>
              <w:t>目标实际完成情况</w:t>
            </w:r>
          </w:p>
        </w:tc>
      </w:tr>
      <w:tr w14:paraId="74056246">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EA3F">
            <w:pPr>
              <w:spacing w:line="360" w:lineRule="auto"/>
              <w:jc w:val="center"/>
              <w:rPr>
                <w:rFonts w:ascii="宋体" w:hAnsi="宋体" w:cs="宋体"/>
                <w:color w:val="auto"/>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F1804">
            <w:pPr>
              <w:widowControl/>
              <w:spacing w:line="360" w:lineRule="auto"/>
              <w:jc w:val="center"/>
              <w:textAlignment w:val="top"/>
              <w:rPr>
                <w:rFonts w:ascii="宋体" w:hAnsi="宋体" w:cs="宋体"/>
                <w:color w:val="auto"/>
                <w:sz w:val="24"/>
              </w:rPr>
            </w:pPr>
            <w:r>
              <w:rPr>
                <w:rFonts w:hint="eastAsia" w:ascii="宋体" w:hAnsi="宋体" w:cs="宋体"/>
                <w:color w:val="auto"/>
                <w:sz w:val="24"/>
              </w:rPr>
              <w:t>资助县内残疾人参加城乡居民医疗保险，享受城乡居民医疗保险待遇，减轻医疗负担。</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FED75">
            <w:pPr>
              <w:widowControl/>
              <w:spacing w:line="360" w:lineRule="auto"/>
              <w:jc w:val="center"/>
              <w:textAlignment w:val="top"/>
              <w:rPr>
                <w:rFonts w:ascii="宋体" w:hAnsi="宋体" w:cs="宋体"/>
                <w:color w:val="auto"/>
                <w:sz w:val="24"/>
              </w:rPr>
            </w:pPr>
            <w:r>
              <w:rPr>
                <w:rFonts w:hint="eastAsia" w:ascii="宋体" w:hAnsi="宋体" w:cs="宋体"/>
                <w:color w:val="auto"/>
                <w:sz w:val="24"/>
              </w:rPr>
              <w:t>资助了县内5756名残疾人参加城乡居民医疗保险，保障其医疗待遇。</w:t>
            </w:r>
          </w:p>
        </w:tc>
      </w:tr>
      <w:tr w14:paraId="56F21F2E">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53E1159E">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7BA96B80">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一级</w:t>
            </w:r>
          </w:p>
          <w:p w14:paraId="2DE231F1">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974A">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二级</w:t>
            </w:r>
          </w:p>
          <w:p w14:paraId="16960E96">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FE77">
            <w:pPr>
              <w:widowControl/>
              <w:spacing w:line="360" w:lineRule="auto"/>
              <w:jc w:val="center"/>
              <w:textAlignment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三级</w:t>
            </w:r>
          </w:p>
          <w:p w14:paraId="1FC4F2B3">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63DB">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2074">
            <w:pPr>
              <w:widowControl/>
              <w:spacing w:line="360" w:lineRule="auto"/>
              <w:jc w:val="center"/>
              <w:textAlignment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实际完成指标值</w:t>
            </w:r>
          </w:p>
        </w:tc>
      </w:tr>
      <w:tr w14:paraId="7D80F0FA">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66B83410">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1EA4A">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完成</w:t>
            </w:r>
          </w:p>
          <w:p w14:paraId="48D26E60">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BC4">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7A45">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资助参保人数（名）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B74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根据实际人数资助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FF93">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5756</w:t>
            </w:r>
          </w:p>
        </w:tc>
      </w:tr>
      <w:tr w14:paraId="529C2866">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78FF7338">
            <w:pPr>
              <w:spacing w:line="360" w:lineRule="auto"/>
              <w:jc w:val="center"/>
              <w:rPr>
                <w:rFonts w:ascii="仿宋_GB2312" w:hAnsi="仿宋_GB2312" w:eastAsia="仿宋_GB2312" w:cs="仿宋_GB2312"/>
                <w:color w:val="auto"/>
                <w:sz w:val="28"/>
                <w:szCs w:val="28"/>
              </w:rPr>
            </w:pPr>
          </w:p>
        </w:tc>
        <w:tc>
          <w:tcPr>
            <w:tcW w:w="1142" w:type="dxa"/>
            <w:vMerge w:val="continue"/>
            <w:tcBorders>
              <w:left w:val="single" w:color="000000" w:sz="4" w:space="0"/>
              <w:right w:val="single" w:color="000000" w:sz="4" w:space="0"/>
            </w:tcBorders>
            <w:shd w:val="clear" w:color="auto" w:fill="auto"/>
            <w:vAlign w:val="center"/>
          </w:tcPr>
          <w:p w14:paraId="47DA10D2">
            <w:pPr>
              <w:widowControl/>
              <w:spacing w:line="360" w:lineRule="auto"/>
              <w:jc w:val="center"/>
              <w:textAlignment w:val="bottom"/>
              <w:rPr>
                <w:rFonts w:ascii="仿宋_GB2312" w:hAnsi="仿宋_GB2312" w:eastAsia="仿宋_GB2312" w:cs="仿宋_GB2312"/>
                <w:color w:val="auto"/>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0912">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FD1E">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资助参保金额（万元）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7D74">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根据人数及标准计算</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B8F">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205.1</w:t>
            </w:r>
          </w:p>
        </w:tc>
      </w:tr>
      <w:tr w14:paraId="4A5A91E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47805D78">
            <w:pPr>
              <w:spacing w:line="360" w:lineRule="auto"/>
              <w:jc w:val="center"/>
              <w:rPr>
                <w:rFonts w:ascii="仿宋_GB2312" w:hAnsi="仿宋_GB2312" w:eastAsia="仿宋_GB2312" w:cs="仿宋_GB2312"/>
                <w:color w:val="auto"/>
                <w:sz w:val="28"/>
                <w:szCs w:val="28"/>
              </w:rPr>
            </w:pPr>
          </w:p>
        </w:tc>
        <w:tc>
          <w:tcPr>
            <w:tcW w:w="1142" w:type="dxa"/>
            <w:vMerge w:val="continue"/>
            <w:tcBorders>
              <w:left w:val="single" w:color="000000" w:sz="4" w:space="0"/>
              <w:right w:val="single" w:color="000000" w:sz="4" w:space="0"/>
            </w:tcBorders>
            <w:shd w:val="clear" w:color="auto" w:fill="auto"/>
            <w:vAlign w:val="center"/>
          </w:tcPr>
          <w:p w14:paraId="2144D29E">
            <w:pPr>
              <w:widowControl/>
              <w:spacing w:line="360" w:lineRule="auto"/>
              <w:jc w:val="center"/>
              <w:textAlignment w:val="bottom"/>
              <w:rPr>
                <w:rFonts w:ascii="仿宋_GB2312" w:hAnsi="仿宋_GB2312" w:eastAsia="仿宋_GB2312" w:cs="仿宋_GB2312"/>
                <w:color w:val="auto"/>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BE68">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6EC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资助标准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1C3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根据当年标准资助</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EAE">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重残450元/人·年，一般残疾300元/人·年</w:t>
            </w:r>
          </w:p>
        </w:tc>
      </w:tr>
      <w:tr w14:paraId="65F2E3B3">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29729AD6">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8A11">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C5F3">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F8D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残疾人参保率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E67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F71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r>
      <w:tr w14:paraId="331A13E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6373088A">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57512">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32D4">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6027">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参保资金上解时间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544A">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在规定时间内上解</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A519">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按时上解</w:t>
            </w:r>
          </w:p>
        </w:tc>
      </w:tr>
      <w:tr w14:paraId="67D3224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7CB094D">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7D79C">
            <w:pPr>
              <w:widowControl/>
              <w:spacing w:line="360" w:lineRule="auto"/>
              <w:jc w:val="center"/>
              <w:textAlignment w:val="bottom"/>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效益</w:t>
            </w:r>
          </w:p>
          <w:p w14:paraId="441F1110">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EB1D">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9A5">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保障残疾人参加城乡居民医疗保险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E66A">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BE2F">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r>
      <w:tr w14:paraId="40957B20">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09C77FFA">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2DC98">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18AA">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可持续影响指标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27B">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保障城乡医保基金运行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18B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成效明显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67A4">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成效明显</w:t>
            </w:r>
          </w:p>
        </w:tc>
      </w:tr>
      <w:tr w14:paraId="72D079D8">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40C14CC3">
            <w:pPr>
              <w:spacing w:line="360" w:lineRule="auto"/>
              <w:jc w:val="center"/>
              <w:rPr>
                <w:rFonts w:ascii="仿宋_GB2312" w:hAnsi="仿宋_GB2312" w:eastAsia="仿宋_GB2312" w:cs="仿宋_GB2312"/>
                <w:color w:val="auto"/>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8B46">
            <w:pPr>
              <w:spacing w:line="360" w:lineRule="auto"/>
              <w:jc w:val="center"/>
              <w:rPr>
                <w:rFonts w:ascii="仿宋_GB2312" w:hAnsi="仿宋_GB2312" w:eastAsia="仿宋_GB2312" w:cs="仿宋_GB2312"/>
                <w:color w:val="auto"/>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3443">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AFE9">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保障残疾人正常享受医疗待遇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4D68">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AFC">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持续保障</w:t>
            </w:r>
          </w:p>
        </w:tc>
      </w:tr>
      <w:tr w14:paraId="2C480654">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right w:val="single" w:color="000000" w:sz="4" w:space="0"/>
            </w:tcBorders>
            <w:shd w:val="clear" w:color="auto" w:fill="auto"/>
            <w:vAlign w:val="center"/>
          </w:tcPr>
          <w:p w14:paraId="1C2DCFFC">
            <w:pPr>
              <w:spacing w:line="360" w:lineRule="auto"/>
              <w:jc w:val="center"/>
              <w:rPr>
                <w:rFonts w:ascii="仿宋_GB2312" w:hAnsi="仿宋_GB2312" w:eastAsia="仿宋_GB2312" w:cs="仿宋_GB2312"/>
                <w:color w:val="auto"/>
                <w:sz w:val="28"/>
                <w:szCs w:val="28"/>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14:paraId="00E805DB">
            <w:pPr>
              <w:widowControl/>
              <w:spacing w:line="360" w:lineRule="auto"/>
              <w:jc w:val="center"/>
              <w:textAlignment w:val="bottom"/>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满意</w:t>
            </w:r>
          </w:p>
          <w:p w14:paraId="340BEB1B">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A0AA">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满意度</w:t>
            </w:r>
          </w:p>
          <w:p w14:paraId="6B9B7227">
            <w:pPr>
              <w:widowControl/>
              <w:spacing w:line="360" w:lineRule="auto"/>
              <w:jc w:val="center"/>
              <w:textAlignment w:val="bottom"/>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FE6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E98A">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801">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r>
      <w:tr w14:paraId="2AB9A7E1">
        <w:tblPrEx>
          <w:tblCellMar>
            <w:top w:w="0" w:type="dxa"/>
            <w:left w:w="108" w:type="dxa"/>
            <w:bottom w:w="0" w:type="dxa"/>
            <w:right w:w="108" w:type="dxa"/>
          </w:tblCellMar>
        </w:tblPrEx>
        <w:trPr>
          <w:gridAfter w:val="1"/>
          <w:wAfter w:w="236" w:type="dxa"/>
          <w:trHeight w:val="530" w:hRule="atLeast"/>
        </w:trPr>
        <w:tc>
          <w:tcPr>
            <w:tcW w:w="1976" w:type="dxa"/>
            <w:tcBorders>
              <w:left w:val="single" w:color="000000" w:sz="4" w:space="0"/>
              <w:bottom w:val="single" w:color="000000" w:sz="4" w:space="0"/>
              <w:right w:val="single" w:color="000000" w:sz="4" w:space="0"/>
            </w:tcBorders>
            <w:shd w:val="clear" w:color="auto" w:fill="auto"/>
            <w:vAlign w:val="center"/>
          </w:tcPr>
          <w:p w14:paraId="04508571">
            <w:pPr>
              <w:spacing w:line="360" w:lineRule="auto"/>
              <w:jc w:val="center"/>
              <w:rPr>
                <w:rFonts w:ascii="仿宋_GB2312" w:hAnsi="仿宋_GB2312" w:eastAsia="仿宋_GB2312" w:cs="仿宋_GB2312"/>
                <w:color w:val="auto"/>
                <w:sz w:val="28"/>
                <w:szCs w:val="28"/>
              </w:rPr>
            </w:pPr>
          </w:p>
        </w:tc>
        <w:tc>
          <w:tcPr>
            <w:tcW w:w="1142" w:type="dxa"/>
            <w:vMerge w:val="continue"/>
            <w:tcBorders>
              <w:left w:val="single" w:color="000000" w:sz="4" w:space="0"/>
              <w:bottom w:val="single" w:color="000000" w:sz="4" w:space="0"/>
              <w:right w:val="single" w:color="000000" w:sz="4" w:space="0"/>
            </w:tcBorders>
            <w:shd w:val="clear" w:color="auto" w:fill="auto"/>
            <w:vAlign w:val="center"/>
          </w:tcPr>
          <w:p w14:paraId="6127D69D">
            <w:pPr>
              <w:widowControl/>
              <w:spacing w:line="360" w:lineRule="auto"/>
              <w:jc w:val="center"/>
              <w:textAlignment w:val="bottom"/>
              <w:rPr>
                <w:rFonts w:ascii="仿宋_GB2312" w:hAnsi="仿宋_GB2312" w:eastAsia="仿宋_GB2312" w:cs="仿宋_GB2312"/>
                <w:color w:val="auto"/>
                <w:kern w:val="0"/>
                <w:sz w:val="28"/>
                <w:szCs w:val="28"/>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5A1D">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满意度</w:t>
            </w:r>
          </w:p>
          <w:p w14:paraId="26562177">
            <w:pPr>
              <w:widowControl/>
              <w:spacing w:line="360" w:lineRule="auto"/>
              <w:jc w:val="center"/>
              <w:textAlignment w:val="bottom"/>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5D40">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F7E4">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99%</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D3AF">
            <w:pPr>
              <w:widowControl/>
              <w:spacing w:line="360" w:lineRule="auto"/>
              <w:jc w:val="center"/>
              <w:textAlignment w:val="bottom"/>
              <w:rPr>
                <w:rFonts w:ascii="仿宋_GB2312" w:hAnsi="仿宋_GB2312" w:eastAsia="仿宋_GB2312" w:cs="仿宋_GB2312"/>
                <w:color w:val="auto"/>
                <w:sz w:val="24"/>
              </w:rPr>
            </w:pPr>
            <w:r>
              <w:rPr>
                <w:rFonts w:hint="eastAsia" w:ascii="仿宋_GB2312" w:hAnsi="仿宋_GB2312" w:eastAsia="仿宋_GB2312" w:cs="仿宋_GB2312"/>
                <w:color w:val="auto"/>
                <w:sz w:val="24"/>
              </w:rPr>
              <w:t>100%</w:t>
            </w:r>
          </w:p>
        </w:tc>
      </w:tr>
    </w:tbl>
    <w:p w14:paraId="52097360">
      <w:pPr>
        <w:widowControl/>
        <w:spacing w:line="360" w:lineRule="auto"/>
        <w:jc w:val="left"/>
        <w:rPr>
          <w:rStyle w:val="25"/>
          <w:rFonts w:ascii="黑体" w:hAnsi="黑体" w:eastAsia="黑体"/>
          <w:b w:val="0"/>
          <w:color w:val="auto"/>
        </w:rPr>
      </w:pPr>
      <w:r>
        <w:rPr>
          <w:rStyle w:val="25"/>
          <w:rFonts w:ascii="黑体" w:hAnsi="黑体" w:eastAsia="黑体"/>
          <w:b w:val="0"/>
          <w:color w:val="auto"/>
        </w:rPr>
        <w:br w:type="page"/>
      </w:r>
    </w:p>
    <w:p w14:paraId="16135CFC">
      <w:pPr>
        <w:spacing w:line="360" w:lineRule="auto"/>
        <w:jc w:val="center"/>
        <w:outlineLvl w:val="0"/>
        <w:rPr>
          <w:rFonts w:ascii="仿宋" w:hAnsi="仿宋" w:eastAsia="仿宋"/>
          <w:color w:val="auto"/>
        </w:rPr>
      </w:pPr>
      <w:bookmarkStart w:id="64" w:name="_Toc15396618"/>
      <w:r>
        <w:rPr>
          <w:rFonts w:hint="eastAsia" w:ascii="黑体" w:hAnsi="黑体" w:eastAsia="黑体"/>
          <w:color w:val="auto"/>
          <w:sz w:val="44"/>
          <w:szCs w:val="44"/>
        </w:rPr>
        <w:t>第</w:t>
      </w:r>
      <w:r>
        <w:rPr>
          <w:rStyle w:val="25"/>
          <w:rFonts w:hint="eastAsia" w:ascii="黑体" w:hAnsi="黑体" w:eastAsia="黑体"/>
          <w:b w:val="0"/>
          <w:color w:val="auto"/>
        </w:rPr>
        <w:t>五部分 附表</w:t>
      </w:r>
      <w:bookmarkEnd w:id="62"/>
      <w:bookmarkEnd w:id="64"/>
      <w:bookmarkStart w:id="65" w:name="_Toc15396619"/>
    </w:p>
    <w:p w14:paraId="0BD3B3F0">
      <w:pPr>
        <w:pStyle w:val="4"/>
        <w:spacing w:line="360" w:lineRule="auto"/>
        <w:rPr>
          <w:rFonts w:ascii="仿宋" w:hAnsi="仿宋" w:eastAsia="仿宋"/>
          <w:color w:val="auto"/>
        </w:rPr>
      </w:pPr>
      <w:r>
        <w:rPr>
          <w:rFonts w:hint="eastAsia" w:ascii="仿宋" w:hAnsi="仿宋" w:eastAsia="仿宋"/>
          <w:b w:val="0"/>
          <w:color w:val="auto"/>
        </w:rPr>
        <w:t>一、收</w:t>
      </w:r>
      <w:r>
        <w:rPr>
          <w:rStyle w:val="26"/>
          <w:rFonts w:hint="eastAsia" w:ascii="仿宋" w:hAnsi="仿宋" w:eastAsia="仿宋"/>
          <w:b w:val="0"/>
          <w:bCs w:val="0"/>
          <w:color w:val="auto"/>
        </w:rPr>
        <w:t>入支出决算总表</w:t>
      </w:r>
      <w:bookmarkEnd w:id="65"/>
    </w:p>
    <w:p w14:paraId="6AD954E6">
      <w:pPr>
        <w:pStyle w:val="4"/>
        <w:spacing w:line="360" w:lineRule="auto"/>
        <w:rPr>
          <w:rFonts w:ascii="仿宋" w:hAnsi="仿宋" w:eastAsia="仿宋"/>
          <w:color w:val="auto"/>
        </w:rPr>
      </w:pPr>
      <w:bookmarkStart w:id="66" w:name="_Toc15396620"/>
      <w:r>
        <w:rPr>
          <w:rFonts w:hint="eastAsia" w:ascii="仿宋" w:hAnsi="仿宋" w:eastAsia="仿宋"/>
          <w:b w:val="0"/>
          <w:color w:val="auto"/>
        </w:rPr>
        <w:t>二、收</w:t>
      </w:r>
      <w:r>
        <w:rPr>
          <w:rStyle w:val="26"/>
          <w:rFonts w:hint="eastAsia" w:ascii="仿宋" w:hAnsi="仿宋" w:eastAsia="仿宋"/>
          <w:b w:val="0"/>
          <w:bCs w:val="0"/>
          <w:color w:val="auto"/>
        </w:rPr>
        <w:t>入决算表</w:t>
      </w:r>
      <w:bookmarkEnd w:id="66"/>
    </w:p>
    <w:p w14:paraId="0EBA06C7">
      <w:pPr>
        <w:pStyle w:val="4"/>
        <w:spacing w:line="360" w:lineRule="auto"/>
        <w:rPr>
          <w:rFonts w:ascii="仿宋" w:hAnsi="仿宋" w:eastAsia="仿宋"/>
          <w:color w:val="auto"/>
        </w:rPr>
      </w:pPr>
      <w:bookmarkStart w:id="67" w:name="_Toc15396621"/>
      <w:r>
        <w:rPr>
          <w:rStyle w:val="26"/>
          <w:rFonts w:hint="eastAsia" w:ascii="仿宋" w:hAnsi="仿宋" w:eastAsia="仿宋"/>
          <w:b w:val="0"/>
          <w:bCs w:val="0"/>
          <w:color w:val="auto"/>
        </w:rPr>
        <w:t>三、</w:t>
      </w:r>
      <w:r>
        <w:rPr>
          <w:rFonts w:hint="eastAsia" w:ascii="仿宋" w:hAnsi="仿宋" w:eastAsia="仿宋"/>
          <w:b w:val="0"/>
          <w:color w:val="auto"/>
        </w:rPr>
        <w:t>支</w:t>
      </w:r>
      <w:r>
        <w:rPr>
          <w:rStyle w:val="26"/>
          <w:rFonts w:hint="eastAsia" w:ascii="仿宋" w:hAnsi="仿宋" w:eastAsia="仿宋"/>
          <w:b w:val="0"/>
          <w:bCs w:val="0"/>
          <w:color w:val="auto"/>
        </w:rPr>
        <w:t>出决算表</w:t>
      </w:r>
      <w:bookmarkEnd w:id="67"/>
    </w:p>
    <w:p w14:paraId="6C4BDC9D">
      <w:pPr>
        <w:pStyle w:val="4"/>
        <w:spacing w:line="360" w:lineRule="auto"/>
        <w:rPr>
          <w:rFonts w:ascii="仿宋" w:hAnsi="仿宋" w:eastAsia="仿宋"/>
          <w:b w:val="0"/>
          <w:color w:val="auto"/>
        </w:rPr>
      </w:pPr>
      <w:bookmarkStart w:id="68" w:name="_Toc15396622"/>
      <w:r>
        <w:rPr>
          <w:rStyle w:val="26"/>
          <w:rFonts w:hint="eastAsia" w:ascii="仿宋" w:hAnsi="仿宋" w:eastAsia="仿宋"/>
          <w:b w:val="0"/>
          <w:bCs w:val="0"/>
          <w:color w:val="auto"/>
        </w:rPr>
        <w:t>四、</w:t>
      </w:r>
      <w:r>
        <w:rPr>
          <w:rFonts w:hint="eastAsia" w:ascii="仿宋" w:hAnsi="仿宋" w:eastAsia="仿宋"/>
          <w:b w:val="0"/>
          <w:color w:val="auto"/>
        </w:rPr>
        <w:t>财</w:t>
      </w:r>
      <w:r>
        <w:rPr>
          <w:rStyle w:val="26"/>
          <w:rFonts w:hint="eastAsia" w:ascii="仿宋" w:hAnsi="仿宋" w:eastAsia="仿宋"/>
          <w:b w:val="0"/>
          <w:bCs w:val="0"/>
          <w:color w:val="auto"/>
        </w:rPr>
        <w:t>政拨款收入支出决算总表</w:t>
      </w:r>
      <w:bookmarkEnd w:id="68"/>
    </w:p>
    <w:p w14:paraId="3283BCA4">
      <w:pPr>
        <w:pStyle w:val="4"/>
        <w:spacing w:line="360" w:lineRule="auto"/>
        <w:rPr>
          <w:rStyle w:val="26"/>
          <w:rFonts w:ascii="仿宋" w:hAnsi="仿宋" w:eastAsia="仿宋"/>
          <w:b w:val="0"/>
          <w:bCs w:val="0"/>
          <w:color w:val="auto"/>
        </w:rPr>
      </w:pPr>
      <w:bookmarkStart w:id="69" w:name="_Toc15396623"/>
      <w:r>
        <w:rPr>
          <w:rStyle w:val="26"/>
          <w:rFonts w:hint="eastAsia" w:ascii="仿宋" w:hAnsi="仿宋" w:eastAsia="仿宋"/>
          <w:b w:val="0"/>
          <w:bCs w:val="0"/>
          <w:color w:val="auto"/>
        </w:rPr>
        <w:t>五、</w:t>
      </w:r>
      <w:r>
        <w:rPr>
          <w:rFonts w:hint="eastAsia" w:ascii="仿宋" w:hAnsi="仿宋" w:eastAsia="仿宋"/>
          <w:b w:val="0"/>
          <w:color w:val="auto"/>
        </w:rPr>
        <w:t>财</w:t>
      </w:r>
      <w:r>
        <w:rPr>
          <w:rStyle w:val="26"/>
          <w:rFonts w:hint="eastAsia" w:ascii="仿宋" w:hAnsi="仿宋" w:eastAsia="仿宋"/>
          <w:b w:val="0"/>
          <w:bCs w:val="0"/>
          <w:color w:val="auto"/>
        </w:rPr>
        <w:t>政拨款支出决算明细表</w:t>
      </w:r>
      <w:bookmarkEnd w:id="69"/>
      <w:bookmarkStart w:id="70" w:name="_Toc15396624"/>
    </w:p>
    <w:p w14:paraId="7F463D7F">
      <w:pPr>
        <w:pStyle w:val="4"/>
        <w:spacing w:line="360" w:lineRule="auto"/>
        <w:rPr>
          <w:rFonts w:ascii="仿宋" w:hAnsi="仿宋" w:eastAsia="仿宋"/>
          <w:color w:val="auto"/>
        </w:rPr>
      </w:pPr>
      <w:r>
        <w:rPr>
          <w:rStyle w:val="26"/>
          <w:rFonts w:hint="eastAsia" w:ascii="仿宋" w:hAnsi="仿宋" w:eastAsia="仿宋"/>
          <w:b w:val="0"/>
          <w:bCs w:val="0"/>
          <w:color w:val="auto"/>
        </w:rPr>
        <w:t>六、</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般公共预算财政拨款支出决算表</w:t>
      </w:r>
      <w:bookmarkEnd w:id="70"/>
    </w:p>
    <w:p w14:paraId="63936EED">
      <w:pPr>
        <w:pStyle w:val="4"/>
        <w:spacing w:line="360" w:lineRule="auto"/>
        <w:rPr>
          <w:rFonts w:ascii="仿宋" w:hAnsi="仿宋" w:eastAsia="仿宋"/>
          <w:color w:val="auto"/>
        </w:rPr>
      </w:pPr>
      <w:bookmarkStart w:id="71" w:name="_Toc15396625"/>
      <w:r>
        <w:rPr>
          <w:rStyle w:val="26"/>
          <w:rFonts w:hint="eastAsia" w:ascii="仿宋" w:hAnsi="仿宋" w:eastAsia="仿宋"/>
          <w:b w:val="0"/>
          <w:bCs w:val="0"/>
          <w:color w:val="auto"/>
        </w:rPr>
        <w:t>七、</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般公共预算财政拨款支出决算明细表</w:t>
      </w:r>
      <w:bookmarkEnd w:id="71"/>
    </w:p>
    <w:p w14:paraId="1A4E1F89">
      <w:pPr>
        <w:pStyle w:val="4"/>
        <w:spacing w:line="360" w:lineRule="auto"/>
        <w:rPr>
          <w:rFonts w:ascii="仿宋" w:hAnsi="仿宋" w:eastAsia="仿宋"/>
          <w:color w:val="auto"/>
        </w:rPr>
      </w:pPr>
      <w:bookmarkStart w:id="72" w:name="_Toc15396626"/>
      <w:r>
        <w:rPr>
          <w:rStyle w:val="26"/>
          <w:rFonts w:hint="eastAsia" w:ascii="仿宋" w:hAnsi="仿宋" w:eastAsia="仿宋"/>
          <w:b w:val="0"/>
          <w:bCs w:val="0"/>
          <w:color w:val="auto"/>
        </w:rPr>
        <w:t>八、</w:t>
      </w:r>
      <w:r>
        <w:rPr>
          <w:rFonts w:hint="eastAsia" w:ascii="仿宋" w:hAnsi="仿宋" w:eastAsia="仿宋"/>
          <w:b w:val="0"/>
          <w:color w:val="auto"/>
        </w:rPr>
        <w:t>一</w:t>
      </w:r>
      <w:r>
        <w:rPr>
          <w:rStyle w:val="26"/>
          <w:rFonts w:hint="eastAsia" w:ascii="仿宋" w:hAnsi="仿宋" w:eastAsia="仿宋"/>
          <w:b w:val="0"/>
          <w:bCs w:val="0"/>
          <w:color w:val="auto"/>
        </w:rPr>
        <w:t>般公共预算财政拨款基本支出决算表</w:t>
      </w:r>
      <w:bookmarkEnd w:id="72"/>
    </w:p>
    <w:p w14:paraId="42293C88">
      <w:pPr>
        <w:pStyle w:val="4"/>
        <w:spacing w:line="360" w:lineRule="auto"/>
        <w:rPr>
          <w:rFonts w:ascii="仿宋" w:hAnsi="仿宋" w:eastAsia="仿宋"/>
          <w:color w:val="auto"/>
        </w:rPr>
      </w:pPr>
      <w:bookmarkStart w:id="73" w:name="_Toc15396627"/>
      <w:r>
        <w:rPr>
          <w:rStyle w:val="26"/>
          <w:rFonts w:hint="eastAsia" w:ascii="仿宋" w:hAnsi="仿宋" w:eastAsia="仿宋"/>
          <w:b w:val="0"/>
          <w:bCs w:val="0"/>
          <w:color w:val="auto"/>
        </w:rPr>
        <w:t>九、</w:t>
      </w:r>
      <w:r>
        <w:rPr>
          <w:rFonts w:hint="eastAsia" w:ascii="仿宋" w:hAnsi="仿宋" w:eastAsia="仿宋"/>
          <w:b w:val="0"/>
          <w:color w:val="auto"/>
        </w:rPr>
        <w:t>一</w:t>
      </w:r>
      <w:r>
        <w:rPr>
          <w:rStyle w:val="26"/>
          <w:rFonts w:hint="eastAsia" w:ascii="仿宋" w:hAnsi="仿宋" w:eastAsia="仿宋"/>
          <w:b w:val="0"/>
          <w:bCs w:val="0"/>
          <w:color w:val="auto"/>
        </w:rPr>
        <w:t>般公共预算财政拨款项目支出决算表</w:t>
      </w:r>
      <w:bookmarkEnd w:id="73"/>
    </w:p>
    <w:p w14:paraId="10418B2E">
      <w:pPr>
        <w:pStyle w:val="4"/>
        <w:spacing w:line="360" w:lineRule="auto"/>
        <w:rPr>
          <w:rFonts w:ascii="仿宋" w:hAnsi="仿宋" w:eastAsia="仿宋"/>
          <w:color w:val="auto"/>
        </w:rPr>
      </w:pPr>
      <w:bookmarkStart w:id="74" w:name="_Toc15396628"/>
      <w:r>
        <w:rPr>
          <w:rStyle w:val="26"/>
          <w:rFonts w:hint="eastAsia" w:ascii="仿宋" w:hAnsi="仿宋" w:eastAsia="仿宋"/>
          <w:b w:val="0"/>
          <w:bCs w:val="0"/>
          <w:color w:val="auto"/>
        </w:rPr>
        <w:t>十、</w:t>
      </w:r>
      <w:r>
        <w:rPr>
          <w:rFonts w:hint="eastAsia" w:ascii="仿宋" w:hAnsi="仿宋" w:eastAsia="仿宋"/>
          <w:b w:val="0"/>
          <w:color w:val="auto"/>
        </w:rPr>
        <w:t>一</w:t>
      </w:r>
      <w:r>
        <w:rPr>
          <w:rStyle w:val="26"/>
          <w:rFonts w:hint="eastAsia" w:ascii="仿宋" w:hAnsi="仿宋" w:eastAsia="仿宋"/>
          <w:b w:val="0"/>
          <w:bCs w:val="0"/>
          <w:color w:val="auto"/>
        </w:rPr>
        <w:t>般公共预算财政拨款“三公”经费支出决算表</w:t>
      </w:r>
      <w:bookmarkEnd w:id="74"/>
    </w:p>
    <w:p w14:paraId="32478DB7">
      <w:pPr>
        <w:pStyle w:val="4"/>
        <w:spacing w:line="360" w:lineRule="auto"/>
        <w:rPr>
          <w:rFonts w:ascii="仿宋" w:hAnsi="仿宋" w:eastAsia="仿宋"/>
          <w:color w:val="auto"/>
        </w:rPr>
      </w:pPr>
      <w:bookmarkStart w:id="75" w:name="_Toc15396629"/>
      <w:r>
        <w:rPr>
          <w:rStyle w:val="26"/>
          <w:rFonts w:hint="eastAsia" w:ascii="仿宋" w:hAnsi="仿宋" w:eastAsia="仿宋"/>
          <w:b w:val="0"/>
          <w:bCs w:val="0"/>
          <w:color w:val="auto"/>
        </w:rPr>
        <w:t>十一、</w:t>
      </w:r>
      <w:r>
        <w:rPr>
          <w:rFonts w:hint="eastAsia" w:ascii="仿宋" w:hAnsi="仿宋" w:eastAsia="仿宋"/>
          <w:b w:val="0"/>
          <w:color w:val="auto"/>
        </w:rPr>
        <w:t>政</w:t>
      </w:r>
      <w:r>
        <w:rPr>
          <w:rStyle w:val="26"/>
          <w:rFonts w:hint="eastAsia" w:ascii="仿宋" w:hAnsi="仿宋" w:eastAsia="仿宋"/>
          <w:b w:val="0"/>
          <w:bCs w:val="0"/>
          <w:color w:val="auto"/>
        </w:rPr>
        <w:t>府性基金预算财政拨款收入支出决算表</w:t>
      </w:r>
      <w:bookmarkEnd w:id="75"/>
    </w:p>
    <w:p w14:paraId="4903C943">
      <w:pPr>
        <w:pStyle w:val="4"/>
        <w:spacing w:line="360" w:lineRule="auto"/>
        <w:rPr>
          <w:rFonts w:ascii="仿宋" w:hAnsi="仿宋" w:eastAsia="仿宋"/>
          <w:color w:val="auto"/>
        </w:rPr>
      </w:pPr>
      <w:bookmarkStart w:id="76" w:name="_Toc15396630"/>
      <w:r>
        <w:rPr>
          <w:rStyle w:val="26"/>
          <w:rFonts w:hint="eastAsia" w:ascii="仿宋" w:hAnsi="仿宋" w:eastAsia="仿宋"/>
          <w:b w:val="0"/>
          <w:bCs w:val="0"/>
          <w:color w:val="auto"/>
        </w:rPr>
        <w:t>十二、</w:t>
      </w:r>
      <w:r>
        <w:rPr>
          <w:rFonts w:hint="eastAsia" w:ascii="仿宋" w:hAnsi="仿宋" w:eastAsia="仿宋"/>
          <w:b w:val="0"/>
          <w:color w:val="auto"/>
        </w:rPr>
        <w:t>政</w:t>
      </w:r>
      <w:r>
        <w:rPr>
          <w:rStyle w:val="26"/>
          <w:rFonts w:hint="eastAsia" w:ascii="仿宋" w:hAnsi="仿宋" w:eastAsia="仿宋"/>
          <w:b w:val="0"/>
          <w:bCs w:val="0"/>
          <w:color w:val="auto"/>
        </w:rPr>
        <w:t>府性基金预算财政拨款“三公”经费支出决算表</w:t>
      </w:r>
      <w:bookmarkEnd w:id="76"/>
    </w:p>
    <w:p w14:paraId="72D0FC35">
      <w:pPr>
        <w:pStyle w:val="4"/>
        <w:spacing w:line="360" w:lineRule="auto"/>
        <w:rPr>
          <w:rStyle w:val="26"/>
          <w:rFonts w:ascii="仿宋" w:hAnsi="仿宋" w:eastAsia="仿宋"/>
          <w:b w:val="0"/>
          <w:bCs w:val="0"/>
          <w:color w:val="auto"/>
        </w:rPr>
      </w:pPr>
      <w:bookmarkStart w:id="77" w:name="_Toc15396631"/>
      <w:r>
        <w:rPr>
          <w:rStyle w:val="26"/>
          <w:rFonts w:hint="eastAsia" w:ascii="仿宋" w:hAnsi="仿宋" w:eastAsia="仿宋"/>
          <w:b w:val="0"/>
          <w:bCs w:val="0"/>
          <w:color w:val="auto"/>
        </w:rPr>
        <w:t>十三、</w:t>
      </w:r>
      <w:r>
        <w:rPr>
          <w:rFonts w:hint="eastAsia" w:ascii="仿宋" w:hAnsi="仿宋" w:eastAsia="仿宋"/>
          <w:b w:val="0"/>
          <w:color w:val="auto"/>
        </w:rPr>
        <w:t>国</w:t>
      </w:r>
      <w:r>
        <w:rPr>
          <w:rStyle w:val="26"/>
          <w:rFonts w:hint="eastAsia" w:ascii="仿宋" w:hAnsi="仿宋" w:eastAsia="仿宋"/>
          <w:b w:val="0"/>
          <w:bCs w:val="0"/>
          <w:color w:val="auto"/>
        </w:rPr>
        <w:t>有资本经营预算财政拨款收入支出决算表</w:t>
      </w:r>
      <w:bookmarkEnd w:id="77"/>
    </w:p>
    <w:p w14:paraId="42FB9EDE">
      <w:pPr>
        <w:spacing w:line="360" w:lineRule="auto"/>
        <w:rPr>
          <w:rFonts w:eastAsia="仿宋"/>
          <w:color w:val="auto"/>
        </w:rPr>
      </w:pPr>
      <w:r>
        <w:rPr>
          <w:rStyle w:val="26"/>
          <w:rFonts w:hint="eastAsia" w:ascii="仿宋" w:hAnsi="仿宋" w:eastAsia="仿宋"/>
          <w:b w:val="0"/>
          <w:bCs w:val="0"/>
          <w:color w:val="auto"/>
        </w:rPr>
        <w:t>十四、国有资本经营预算财政拨款支出决算表</w:t>
      </w:r>
    </w:p>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626A8">
    <w:pPr>
      <w:pStyle w:val="9"/>
      <w:jc w:val="center"/>
    </w:pPr>
  </w:p>
  <w:p w14:paraId="2CF383E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FF83A">
    <w:pPr>
      <w:pStyle w:val="9"/>
      <w:jc w:val="center"/>
    </w:pPr>
  </w:p>
  <w:p w14:paraId="7CD7725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372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14:paraId="762EBA95">
                              <w:pPr>
                                <w:pStyle w:val="9"/>
                                <w:jc w:val="center"/>
                              </w:pPr>
                              <w:r>
                                <w:fldChar w:fldCharType="begin"/>
                              </w:r>
                              <w:r>
                                <w:instrText xml:space="preserve">PAGE   \* MERGEFORMAT</w:instrText>
                              </w:r>
                              <w:r>
                                <w:fldChar w:fldCharType="separate"/>
                              </w:r>
                              <w:r>
                                <w:rPr>
                                  <w:lang w:val="zh-CN"/>
                                </w:rPr>
                                <w:t>42</w:t>
                              </w:r>
                              <w:r>
                                <w:fldChar w:fldCharType="end"/>
                              </w:r>
                            </w:p>
                          </w:sdtContent>
                        </w:sdt>
                        <w:p w14:paraId="44C0512E">
                          <w:pPr>
                            <w:pStyle w:val="2"/>
                            <w:spacing w:before="7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MaTb8g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DGk2/IAQAAmQMAAA4AAAAAAAAAAQAgAAAAHgEAAGRycy9lMm9Eb2Mu&#10;eG1sUEsFBgAAAAAGAAYAWQEAAFgFAAAAAA==&#10;">
              <v:fill on="f" focussize="0,0"/>
              <v:stroke on="f"/>
              <v:imagedata o:title=""/>
              <o:lock v:ext="edit" aspectratio="f"/>
              <v:textbox inset="0mm,0mm,0mm,0mm" style="mso-fit-shape-to-text:t;">
                <w:txbxContent>
                  <w:sdt>
                    <w:sdtPr>
                      <w:id w:val="-1994781956"/>
                    </w:sdtPr>
                    <w:sdtContent>
                      <w:p w14:paraId="762EBA95">
                        <w:pPr>
                          <w:pStyle w:val="9"/>
                          <w:jc w:val="center"/>
                        </w:pPr>
                        <w:r>
                          <w:fldChar w:fldCharType="begin"/>
                        </w:r>
                        <w:r>
                          <w:instrText xml:space="preserve">PAGE   \* MERGEFORMAT</w:instrText>
                        </w:r>
                        <w:r>
                          <w:fldChar w:fldCharType="separate"/>
                        </w:r>
                        <w:r>
                          <w:rPr>
                            <w:lang w:val="zh-CN"/>
                          </w:rPr>
                          <w:t>42</w:t>
                        </w:r>
                        <w:r>
                          <w:fldChar w:fldCharType="end"/>
                        </w:r>
                      </w:p>
                    </w:sdtContent>
                  </w:sdt>
                  <w:p w14:paraId="44C0512E">
                    <w:pPr>
                      <w:pStyle w:val="2"/>
                      <w:spacing w:before="72"/>
                    </w:pPr>
                  </w:p>
                </w:txbxContent>
              </v:textbox>
            </v:shape>
          </w:pict>
        </mc:Fallback>
      </mc:AlternateContent>
    </w:r>
  </w:p>
  <w:p w14:paraId="17627BB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7FC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FC391E">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7PA8kBAACZAwAADgAAAGRycy9lMm9Eb2MueG1srVPNjtMwEL4j8Q6W&#10;79Rph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Ps8DyQEAAJkDAAAOAAAAAAAAAAEAIAAAAB4BAABkcnMvZTJvRG9j&#10;LnhtbFBLBQYAAAAABgAGAFkBAABZBQAAAAA=&#10;">
              <v:fill on="f" focussize="0,0"/>
              <v:stroke on="f"/>
              <v:imagedata o:title=""/>
              <o:lock v:ext="edit" aspectratio="f"/>
              <v:textbox inset="0mm,0mm,0mm,0mm" style="mso-fit-shape-to-text:t;">
                <w:txbxContent>
                  <w:p w14:paraId="64FC391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99485">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9ADE7A"/>
    <w:multiLevelType w:val="singleLevel"/>
    <w:tmpl w:val="949ADE7A"/>
    <w:lvl w:ilvl="0" w:tentative="0">
      <w:start w:val="2"/>
      <w:numFmt w:val="decimal"/>
      <w:suff w:val="nothing"/>
      <w:lvlText w:val="%1．"/>
      <w:lvlJc w:val="left"/>
    </w:lvl>
  </w:abstractNum>
  <w:abstractNum w:abstractNumId="1">
    <w:nsid w:val="B357CBDD"/>
    <w:multiLevelType w:val="singleLevel"/>
    <w:tmpl w:val="B357CBDD"/>
    <w:lvl w:ilvl="0" w:tentative="0">
      <w:start w:val="2"/>
      <w:numFmt w:val="decimal"/>
      <w:suff w:val="nothing"/>
      <w:lvlText w:val="%1．"/>
      <w:lvlJc w:val="left"/>
    </w:lvl>
  </w:abstractNum>
  <w:abstractNum w:abstractNumId="2">
    <w:nsid w:val="B54F88CA"/>
    <w:multiLevelType w:val="singleLevel"/>
    <w:tmpl w:val="B54F88CA"/>
    <w:lvl w:ilvl="0" w:tentative="0">
      <w:start w:val="1"/>
      <w:numFmt w:val="chineseCounting"/>
      <w:suff w:val="nothing"/>
      <w:lvlText w:val="（%1）"/>
      <w:lvlJc w:val="left"/>
      <w:rPr>
        <w:rFonts w:hint="eastAsia"/>
      </w:rPr>
    </w:lvl>
  </w:abstractNum>
  <w:abstractNum w:abstractNumId="3">
    <w:nsid w:val="BB2FEA2B"/>
    <w:multiLevelType w:val="singleLevel"/>
    <w:tmpl w:val="BB2FEA2B"/>
    <w:lvl w:ilvl="0" w:tentative="0">
      <w:start w:val="2"/>
      <w:numFmt w:val="decimal"/>
      <w:suff w:val="nothing"/>
      <w:lvlText w:val="%1．"/>
      <w:lvlJc w:val="left"/>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EA93F6D2"/>
    <w:multiLevelType w:val="singleLevel"/>
    <w:tmpl w:val="EA93F6D2"/>
    <w:lvl w:ilvl="0" w:tentative="0">
      <w:start w:val="2"/>
      <w:numFmt w:val="decimal"/>
      <w:suff w:val="nothing"/>
      <w:lvlText w:val="%1．"/>
      <w:lvlJc w:val="left"/>
    </w:lvl>
  </w:abstractNum>
  <w:abstractNum w:abstractNumId="7">
    <w:nsid w:val="04A09559"/>
    <w:multiLevelType w:val="singleLevel"/>
    <w:tmpl w:val="04A09559"/>
    <w:lvl w:ilvl="0" w:tentative="0">
      <w:start w:val="2"/>
      <w:numFmt w:val="decimal"/>
      <w:suff w:val="nothing"/>
      <w:lvlText w:val="%1．"/>
      <w:lvlJc w:val="left"/>
    </w:lvl>
  </w:abstractNum>
  <w:abstractNum w:abstractNumId="8">
    <w:nsid w:val="04FBD7A1"/>
    <w:multiLevelType w:val="singleLevel"/>
    <w:tmpl w:val="04FBD7A1"/>
    <w:lvl w:ilvl="0" w:tentative="0">
      <w:start w:val="2"/>
      <w:numFmt w:val="chineseCounting"/>
      <w:suff w:val="nothing"/>
      <w:lvlText w:val="（%1）"/>
      <w:lvlJc w:val="left"/>
      <w:rPr>
        <w:rFonts w:hint="eastAsia"/>
      </w:rPr>
    </w:lvl>
  </w:abstractNum>
  <w:abstractNum w:abstractNumId="9">
    <w:nsid w:val="0F234E11"/>
    <w:multiLevelType w:val="singleLevel"/>
    <w:tmpl w:val="0F234E11"/>
    <w:lvl w:ilvl="0" w:tentative="0">
      <w:start w:val="2"/>
      <w:numFmt w:val="decimal"/>
      <w:suff w:val="nothing"/>
      <w:lvlText w:val="%1．"/>
      <w:lvlJc w:val="left"/>
    </w:lvl>
  </w:abstractNum>
  <w:abstractNum w:abstractNumId="1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E794925"/>
    <w:multiLevelType w:val="singleLevel"/>
    <w:tmpl w:val="3E794925"/>
    <w:lvl w:ilvl="0" w:tentative="0">
      <w:start w:val="3"/>
      <w:numFmt w:val="chineseCounting"/>
      <w:suff w:val="nothing"/>
      <w:lvlText w:val="（%1）"/>
      <w:lvlJc w:val="left"/>
      <w:pPr>
        <w:ind w:left="-10"/>
      </w:pPr>
      <w:rPr>
        <w:rFonts w:hint="eastAsia"/>
      </w:rPr>
    </w:lvl>
  </w:abstractNum>
  <w:abstractNum w:abstractNumId="12">
    <w:nsid w:val="71DC035A"/>
    <w:multiLevelType w:val="singleLevel"/>
    <w:tmpl w:val="71DC035A"/>
    <w:lvl w:ilvl="0" w:tentative="0">
      <w:start w:val="2"/>
      <w:numFmt w:val="decimal"/>
      <w:suff w:val="nothing"/>
      <w:lvlText w:val="%1．"/>
      <w:lvlJc w:val="left"/>
    </w:lvl>
  </w:abstractNum>
  <w:abstractNum w:abstractNumId="13">
    <w:nsid w:val="757D4861"/>
    <w:multiLevelType w:val="singleLevel"/>
    <w:tmpl w:val="757D4861"/>
    <w:lvl w:ilvl="0" w:tentative="0">
      <w:start w:val="2"/>
      <w:numFmt w:val="decimal"/>
      <w:suff w:val="nothing"/>
      <w:lvlText w:val="%1．"/>
      <w:lvlJc w:val="left"/>
    </w:lvl>
  </w:abstractNum>
  <w:abstractNum w:abstractNumId="14">
    <w:nsid w:val="7C57AE9A"/>
    <w:multiLevelType w:val="singleLevel"/>
    <w:tmpl w:val="7C57AE9A"/>
    <w:lvl w:ilvl="0" w:tentative="0">
      <w:start w:val="2"/>
      <w:numFmt w:val="decimal"/>
      <w:suff w:val="nothing"/>
      <w:lvlText w:val="%1．"/>
      <w:lvlJc w:val="left"/>
    </w:lvl>
  </w:abstractNum>
  <w:num w:numId="1">
    <w:abstractNumId w:val="10"/>
  </w:num>
  <w:num w:numId="2">
    <w:abstractNumId w:val="4"/>
  </w:num>
  <w:num w:numId="3">
    <w:abstractNumId w:val="5"/>
  </w:num>
  <w:num w:numId="4">
    <w:abstractNumId w:val="8"/>
  </w:num>
  <w:num w:numId="5">
    <w:abstractNumId w:val="11"/>
  </w:num>
  <w:num w:numId="6">
    <w:abstractNumId w:val="0"/>
  </w:num>
  <w:num w:numId="7">
    <w:abstractNumId w:val="7"/>
  </w:num>
  <w:num w:numId="8">
    <w:abstractNumId w:val="9"/>
  </w:num>
  <w:num w:numId="9">
    <w:abstractNumId w:val="14"/>
  </w:num>
  <w:num w:numId="10">
    <w:abstractNumId w:val="6"/>
  </w:num>
  <w:num w:numId="11">
    <w:abstractNumId w:val="12"/>
  </w:num>
  <w:num w:numId="12">
    <w:abstractNumId w:val="2"/>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NzliNjBlMWE5Njc0Y2M3NGVjMjA4MmMxYWQ5M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2F76"/>
    <w:rsid w:val="003E6F55"/>
    <w:rsid w:val="00406254"/>
    <w:rsid w:val="00411F7A"/>
    <w:rsid w:val="004217EC"/>
    <w:rsid w:val="004223DE"/>
    <w:rsid w:val="00434489"/>
    <w:rsid w:val="00437085"/>
    <w:rsid w:val="00443880"/>
    <w:rsid w:val="004464F4"/>
    <w:rsid w:val="00457321"/>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47153"/>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72CB"/>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35A3"/>
    <w:rsid w:val="008C4DB1"/>
    <w:rsid w:val="008C4EAF"/>
    <w:rsid w:val="008C5176"/>
    <w:rsid w:val="008C7FD0"/>
    <w:rsid w:val="008E1DE7"/>
    <w:rsid w:val="008E707C"/>
    <w:rsid w:val="00900B08"/>
    <w:rsid w:val="00902155"/>
    <w:rsid w:val="00902FA3"/>
    <w:rsid w:val="009128E6"/>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2E62"/>
    <w:rsid w:val="009B2C43"/>
    <w:rsid w:val="009B4EAE"/>
    <w:rsid w:val="009B7573"/>
    <w:rsid w:val="009C22F4"/>
    <w:rsid w:val="009C2A4B"/>
    <w:rsid w:val="009C2E98"/>
    <w:rsid w:val="009D1B95"/>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6B60"/>
    <w:rsid w:val="00AB64C9"/>
    <w:rsid w:val="00AC3C6A"/>
    <w:rsid w:val="00AD0C2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2BD0"/>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C7662"/>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C223D"/>
    <w:rsid w:val="031C329A"/>
    <w:rsid w:val="045074EF"/>
    <w:rsid w:val="045D2E6A"/>
    <w:rsid w:val="066E0107"/>
    <w:rsid w:val="07996F6E"/>
    <w:rsid w:val="09B55D71"/>
    <w:rsid w:val="0A2032A3"/>
    <w:rsid w:val="0DD57ECE"/>
    <w:rsid w:val="101860EC"/>
    <w:rsid w:val="10C055FF"/>
    <w:rsid w:val="10FD1C16"/>
    <w:rsid w:val="118107EC"/>
    <w:rsid w:val="13897791"/>
    <w:rsid w:val="13D50BC4"/>
    <w:rsid w:val="16BB723D"/>
    <w:rsid w:val="19016D1D"/>
    <w:rsid w:val="1ABA46D4"/>
    <w:rsid w:val="1BE8440E"/>
    <w:rsid w:val="1D155CEE"/>
    <w:rsid w:val="1D38670A"/>
    <w:rsid w:val="23860B96"/>
    <w:rsid w:val="240371BF"/>
    <w:rsid w:val="29342C84"/>
    <w:rsid w:val="29FD04D3"/>
    <w:rsid w:val="2C8A61B5"/>
    <w:rsid w:val="2D0D788C"/>
    <w:rsid w:val="2DDD09AD"/>
    <w:rsid w:val="2DF04E50"/>
    <w:rsid w:val="319F7F4E"/>
    <w:rsid w:val="36AA5135"/>
    <w:rsid w:val="37E16F03"/>
    <w:rsid w:val="3D98207C"/>
    <w:rsid w:val="3E4631E8"/>
    <w:rsid w:val="3EC7548D"/>
    <w:rsid w:val="3FB54AC1"/>
    <w:rsid w:val="41AF2209"/>
    <w:rsid w:val="44E268DA"/>
    <w:rsid w:val="4A627F82"/>
    <w:rsid w:val="4B4F25DA"/>
    <w:rsid w:val="4B9366F7"/>
    <w:rsid w:val="4BE068DB"/>
    <w:rsid w:val="4C4A7526"/>
    <w:rsid w:val="4D577224"/>
    <w:rsid w:val="4EAB630A"/>
    <w:rsid w:val="4ECE2238"/>
    <w:rsid w:val="559B2E20"/>
    <w:rsid w:val="584E40D2"/>
    <w:rsid w:val="5AF92295"/>
    <w:rsid w:val="5CD71FC4"/>
    <w:rsid w:val="62AA4181"/>
    <w:rsid w:val="637F38AA"/>
    <w:rsid w:val="6796613D"/>
    <w:rsid w:val="6C4A05C8"/>
    <w:rsid w:val="6DB431CB"/>
    <w:rsid w:val="6E7E3605"/>
    <w:rsid w:val="6FF5CC65"/>
    <w:rsid w:val="70BF5715"/>
    <w:rsid w:val="715C0E4B"/>
    <w:rsid w:val="72734D90"/>
    <w:rsid w:val="73AD73D5"/>
    <w:rsid w:val="73B6EB34"/>
    <w:rsid w:val="77866F8C"/>
    <w:rsid w:val="79EE5BA4"/>
    <w:rsid w:val="7A894339"/>
    <w:rsid w:val="7EEF11D3"/>
    <w:rsid w:val="7F8C0EB8"/>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qFormat/>
    <w:uiPriority w:val="0"/>
    <w:rPr>
      <w:rFonts w:ascii="宋体" w:hAnsi="Courier New"/>
    </w:r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oleObject" Target="embeddings/oleObject3.bin"/><Relationship Id="rId16" Type="http://schemas.openxmlformats.org/officeDocument/2006/relationships/chart" Target="charts/chart4.xml"/><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chart" Target="charts/chart3.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1995.32</c:v>
                </c:pt>
                <c:pt idx="1">
                  <c:v>2156.02</c:v>
                </c:pt>
              </c:numCache>
            </c:numRef>
          </c:val>
        </c:ser>
        <c:dLbls>
          <c:showLegendKey val="0"/>
          <c:showVal val="1"/>
          <c:showCatName val="0"/>
          <c:showSerName val="0"/>
          <c:showPercent val="0"/>
          <c:showBubbleSize val="0"/>
        </c:dLbls>
        <c:gapWidth val="246"/>
        <c:overlap val="-28"/>
        <c:axId val="108955404"/>
        <c:axId val="226558631"/>
      </c:barChart>
      <c:catAx>
        <c:axId val="10895540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6558631"/>
        <c:crosses val="autoZero"/>
        <c:auto val="1"/>
        <c:lblAlgn val="ctr"/>
        <c:lblOffset val="100"/>
        <c:noMultiLvlLbl val="0"/>
      </c:catAx>
      <c:valAx>
        <c:axId val="22655863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89554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e3b069-f9e9-4b45-a82e-6f9efd97f37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534783752238709"/>
                  <c:y val="-0.0014382216058900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87832251923355"/>
                  <c:y val="-0.034948538149522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15847317544881"/>
                  <c:y val="-0.0039405951031101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其他收入</c:v>
                </c:pt>
                <c:pt idx="1">
                  <c:v>一般性公共预算财政拨款收入</c:v>
                </c:pt>
                <c:pt idx="2">
                  <c:v>政府性基金预算财政拨款收入</c:v>
                </c:pt>
              </c:strCache>
            </c:strRef>
          </c:cat>
          <c:val>
            <c:numRef>
              <c:f>Sheet1!$B$2:$B$4</c:f>
              <c:numCache>
                <c:formatCode>General</c:formatCode>
                <c:ptCount val="3"/>
                <c:pt idx="0">
                  <c:v>7</c:v>
                </c:pt>
                <c:pt idx="1">
                  <c:v>2094.51</c:v>
                </c:pt>
                <c:pt idx="2">
                  <c:v>35.4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bb9e2d4-eec6-4198-8c53-f0af03edaba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1995.32</c:v>
                </c:pt>
                <c:pt idx="1">
                  <c:v>2149.02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2020年</c:v>
                </c:pt>
                <c:pt idx="1">
                  <c:v>2021年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74028059"/>
        <c:axId val="656596196"/>
      </c:barChart>
      <c:catAx>
        <c:axId val="3740280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596196"/>
        <c:crosses val="autoZero"/>
        <c:auto val="1"/>
        <c:lblAlgn val="ctr"/>
        <c:lblOffset val="100"/>
        <c:noMultiLvlLbl val="0"/>
      </c:catAx>
      <c:valAx>
        <c:axId val="656596196"/>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4028059"/>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0c20d3-8e93-4ed9-b544-deaae7986d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888690415786827"/>
                  <c:y val="0.04664099513953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53404128882509"/>
                  <c:y val="-0.031613929181750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12200513256576"/>
                  <c:y val="0.024424725918756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97081782695723"/>
                  <c:y val="-0.003940664060247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935150159685936"/>
                  <c:y val="0.011061818397021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社会保障和就业支出</c:v>
                </c:pt>
                <c:pt idx="1">
                  <c:v>卫生健康支出</c:v>
                </c:pt>
                <c:pt idx="2">
                  <c:v>农林水支出</c:v>
                </c:pt>
                <c:pt idx="3">
                  <c:v>住房保障支出</c:v>
                </c:pt>
                <c:pt idx="4">
                  <c:v>其他支出</c:v>
                </c:pt>
              </c:strCache>
            </c:strRef>
          </c:cat>
          <c:val>
            <c:numRef>
              <c:f>Sheet1!$B$2:$B$6</c:f>
              <c:numCache>
                <c:formatCode>General</c:formatCode>
                <c:ptCount val="5"/>
                <c:pt idx="0">
                  <c:v>315.5</c:v>
                </c:pt>
                <c:pt idx="1">
                  <c:v>1439.88</c:v>
                </c:pt>
                <c:pt idx="2">
                  <c:v>328.06</c:v>
                </c:pt>
                <c:pt idx="3">
                  <c:v>24.9</c:v>
                </c:pt>
                <c:pt idx="4">
                  <c:v>5.3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f71762-820a-4bfd-8b11-241cdf5178b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54</Pages>
  <Words>528</Words>
  <Characters>566</Characters>
  <Lines>144</Lines>
  <Paragraphs>40</Paragraphs>
  <TotalTime>25</TotalTime>
  <ScaleCrop>false</ScaleCrop>
  <LinksUpToDate>false</LinksUpToDate>
  <CharactersWithSpaces>608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2022-10-07T01:09:00Z</dcterms:created>
  <dc:creator>曹颖</dc:creator>
  <cp:lastModifiedBy>张泽莉</cp:lastModifiedBy>
  <cp:lastPrinted>2022-10-18T03:20:00Z</cp:lastPrinted>
  <dcterms:modified xsi:type="dcterms:W3CDTF">2024-12-19T07:54:45Z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976273F1E56D4D7F874CD6785473E9FB</vt:lpwstr>
  </property>
</Properties>
</file>