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image/x-emf" PartName="/word/media/image1.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left"/>
        <w:outlineLvl w:val="0"/>
        <w:rPr>
          <w:rFonts w:hint="default" w:ascii="Times New Roman" w:hAnsi="Times New Roman" w:eastAsia="方正小标宋简体" w:cs="Times New Roman"/>
          <w:szCs w:val="21"/>
        </w:rPr>
      </w:pPr>
      <w:bookmarkStart w:id="0" w:name="_Toc15306267"/>
    </w:p>
    <w:p>
      <w:pPr>
        <w:pStyle w:val="6"/>
        <w:spacing w:before="93"/>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1" w:name="_Toc15396597"/>
      <w:bookmarkStart w:id="2" w:name="_Toc15396475"/>
      <w:bookmarkStart w:id="3" w:name="_Toc15377425"/>
      <w:bookmarkStart w:id="4" w:name="_Toc15377193"/>
      <w:bookmarkStart w:id="5" w:name="_Toc32472"/>
      <w:bookmarkStart w:id="6" w:name="_Toc15378441"/>
      <w:r>
        <w:rPr>
          <w:rFonts w:hint="default" w:ascii="Times New Roman" w:hAnsi="Times New Roman" w:eastAsia="方正小标宋简体" w:cs="Times New Roman"/>
          <w:sz w:val="72"/>
          <w:szCs w:val="72"/>
        </w:rPr>
        <w:t>2023年度</w:t>
      </w:r>
      <w:bookmarkEnd w:id="1"/>
      <w:bookmarkEnd w:id="2"/>
      <w:bookmarkEnd w:id="3"/>
      <w:bookmarkEnd w:id="4"/>
      <w:bookmarkEnd w:id="5"/>
      <w:bookmarkEnd w:id="6"/>
    </w:p>
    <w:p>
      <w:pPr>
        <w:adjustRightInd w:val="0"/>
        <w:snapToGrid w:val="0"/>
        <w:spacing w:line="360" w:lineRule="auto"/>
        <w:jc w:val="center"/>
        <w:outlineLvl w:val="0"/>
        <w:rPr>
          <w:rFonts w:hint="default" w:ascii="Times New Roman" w:hAnsi="Times New Roman" w:eastAsia="方正小标宋简体" w:cs="Times New Roman"/>
          <w:sz w:val="72"/>
          <w:szCs w:val="72"/>
        </w:rPr>
      </w:pPr>
      <w:bookmarkStart w:id="7" w:name="_Toc15396476"/>
      <w:bookmarkStart w:id="8" w:name="_Toc15378442"/>
      <w:bookmarkStart w:id="9" w:name="_Toc15396598"/>
      <w:bookmarkStart w:id="10" w:name="_Toc15377426"/>
      <w:bookmarkStart w:id="11" w:name="_Toc15377194"/>
      <w:bookmarkStart w:id="12" w:name="_Toc4102"/>
      <w:r>
        <w:rPr>
          <w:rFonts w:hint="default" w:ascii="Times New Roman" w:hAnsi="Times New Roman" w:eastAsia="方正小标宋简体" w:cs="Times New Roman"/>
          <w:sz w:val="72"/>
          <w:szCs w:val="72"/>
        </w:rPr>
        <w:t>四川省</w:t>
      </w:r>
      <w:bookmarkStart w:id="13" w:name="_Toc15306268"/>
      <w:bookmarkEnd w:id="0"/>
      <w:r>
        <w:rPr>
          <w:rFonts w:hint="default" w:ascii="Times New Roman" w:hAnsi="Times New Roman" w:eastAsia="方正小标宋简体" w:cs="Times New Roman"/>
          <w:sz w:val="72"/>
          <w:szCs w:val="72"/>
        </w:rPr>
        <w:t>盐边县就业创业</w:t>
      </w:r>
    </w:p>
    <w:p>
      <w:pPr>
        <w:adjustRightInd w:val="0"/>
        <w:snapToGrid w:val="0"/>
        <w:spacing w:line="360" w:lineRule="auto"/>
        <w:jc w:val="center"/>
        <w:outlineLvl w:val="0"/>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促进中心单位决算</w:t>
      </w:r>
      <w:bookmarkEnd w:id="7"/>
      <w:bookmarkEnd w:id="8"/>
      <w:bookmarkEnd w:id="9"/>
      <w:bookmarkEnd w:id="10"/>
      <w:bookmarkEnd w:id="11"/>
      <w:bookmarkEnd w:id="12"/>
      <w:bookmarkEnd w:id="13"/>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3"/>
        <w:rPr>
          <w:rFonts w:hint="default" w:ascii="Times New Roman" w:hAnsi="Times New Roman" w:cs="Times New Roman"/>
        </w:rPr>
      </w:pPr>
      <w:r>
        <w:rPr>
          <w:rFonts w:hint="default" w:ascii="Times New Roman" w:hAnsi="Times New Roman" w:cs="Times New Roman"/>
        </w:rPr>
        <w:t>公开时间：2024年10月28日</w:t>
      </w:r>
    </w:p>
    <w:p>
      <w:pPr>
        <w:rPr>
          <w:rFonts w:hint="default" w:ascii="Times New Roman" w:hAnsi="Times New Roman" w:cs="Times New Roman"/>
        </w:rPr>
      </w:pPr>
    </w:p>
    <w:p>
      <w:pPr>
        <w:pStyle w:val="13"/>
        <w:tabs>
          <w:tab w:val="right" w:leader="dot" w:pos="8306"/>
          <w:tab w:val="clear" w:pos="8296"/>
        </w:tabs>
        <w:spacing w:before="0"/>
        <w:rPr>
          <w:rFonts w:hint="default" w:ascii="Times New Roman" w:hAnsi="Times New Roman" w:eastAsia="宋体" w:cs="Times New Roman"/>
          <w:szCs w:val="24"/>
        </w:rPr>
      </w:pPr>
      <w:bookmarkStart w:id="14" w:name="_Toc15396599"/>
      <w:bookmarkStart w:id="15" w:name="_Toc15377196"/>
      <w:r>
        <w:rPr>
          <w:rFonts w:hint="default" w:ascii="Times New Roman" w:hAnsi="Times New Roman" w:cs="Times New Roman"/>
          <w:sz w:val="24"/>
        </w:rPr>
        <w:fldChar w:fldCharType="begin"/>
      </w:r>
      <w:r>
        <w:rPr>
          <w:rFonts w:hint="default" w:ascii="Times New Roman" w:hAnsi="Times New Roman" w:cs="Times New Roman"/>
          <w:sz w:val="24"/>
        </w:rPr>
        <w:instrText xml:space="preserve">TOC \o "1-3" \h  \u </w:instrText>
      </w:r>
      <w:r>
        <w:rPr>
          <w:rFonts w:hint="default" w:ascii="Times New Roman" w:hAnsi="Times New Roman" w:cs="Times New Roman"/>
          <w:sz w:val="24"/>
        </w:rPr>
        <w:fldChar w:fldCharType="separate"/>
      </w:r>
    </w:p>
    <w:p>
      <w:pPr>
        <w:pStyle w:val="13"/>
        <w:tabs>
          <w:tab w:val="right" w:leader="dot" w:pos="8306"/>
          <w:tab w:val="clear" w:pos="8296"/>
        </w:tabs>
        <w:spacing w:before="0"/>
        <w:rPr>
          <w:rFonts w:hint="default" w:ascii="Times New Roman" w:hAnsi="Times New Roman" w:eastAsia="宋体"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HYPERLINK  \l "_Toc21655" </w:instrText>
      </w:r>
      <w:r>
        <w:rPr>
          <w:rFonts w:hint="default" w:ascii="Times New Roman" w:hAnsi="Times New Roman" w:cs="Times New Roman"/>
        </w:rPr>
        <w:fldChar w:fldCharType="separate"/>
      </w:r>
      <w:r>
        <w:rPr>
          <w:rFonts w:hint="default" w:ascii="Times New Roman" w:hAnsi="Times New Roman" w:eastAsia="黑体" w:cs="Times New Roman"/>
          <w:szCs w:val="24"/>
        </w:rPr>
        <w:t>第一部分 单位概况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PAGEREF _Toc21655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sz w:val="21"/>
          <w:szCs w:val="24"/>
        </w:rPr>
        <w:t>1</w:t>
      </w:r>
      <w:r>
        <w:rPr>
          <w:rFonts w:hint="default" w:ascii="Times New Roman" w:hAnsi="Times New Roman" w:eastAsia="宋体" w:cs="Times New Roman"/>
          <w:sz w:val="21"/>
          <w:szCs w:val="24"/>
        </w:rPr>
        <w:fldChar w:fldCharType="end"/>
      </w:r>
      <w:r>
        <w:rPr>
          <w:rFonts w:hint="default" w:ascii="Times New Roman" w:hAnsi="Times New Roman" w:cs="Times New Roman"/>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"_Toc7045"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一、主要职责</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_Toc7045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cs="Times New Roman"/>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"_Toc21001"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二、机构设置</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_Toc21001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3"/>
        <w:tabs>
          <w:tab w:val="right" w:leader="dot" w:pos="8306"/>
          <w:tab w:val="clear" w:pos="8296"/>
        </w:tabs>
        <w:spacing w:before="0"/>
        <w:rPr>
          <w:rFonts w:hint="default" w:ascii="Times New Roman" w:hAnsi="Times New Roman" w:eastAsia="宋体"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HYPERLINK  \l "_Toc28932" </w:instrText>
      </w:r>
      <w:r>
        <w:rPr>
          <w:rFonts w:hint="default" w:ascii="Times New Roman" w:hAnsi="Times New Roman" w:cs="Times New Roman"/>
        </w:rPr>
        <w:fldChar w:fldCharType="separate"/>
      </w:r>
      <w:r>
        <w:rPr>
          <w:rFonts w:hint="default" w:ascii="Times New Roman" w:hAnsi="Times New Roman" w:eastAsia="黑体" w:cs="Times New Roman"/>
          <w:szCs w:val="24"/>
        </w:rPr>
        <w:t>第二部分 2023年度</w:t>
      </w:r>
      <w:r>
        <w:rPr>
          <w:rFonts w:hint="default" w:ascii="Times New Roman" w:hAnsi="Times New Roman" w:eastAsia="黑体" w:cs="Times New Roman"/>
          <w:bCs/>
          <w:szCs w:val="24"/>
        </w:rPr>
        <w:t>单位决算情况说明</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PAGEREF _Toc28932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sz w:val="21"/>
          <w:szCs w:val="24"/>
        </w:rPr>
        <w:t>2</w:t>
      </w:r>
      <w:r>
        <w:rPr>
          <w:rFonts w:hint="default" w:ascii="Times New Roman" w:hAnsi="Times New Roman" w:eastAsia="宋体" w:cs="Times New Roman"/>
          <w:sz w:val="21"/>
          <w:szCs w:val="24"/>
        </w:rPr>
        <w:fldChar w:fldCharType="end"/>
      </w:r>
      <w:r>
        <w:rPr>
          <w:rFonts w:hint="default" w:ascii="Times New Roman" w:hAnsi="Times New Roman" w:cs="Times New Roman"/>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"_Toc24371"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 收入支出决算总体情况说明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_Toc24371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"_Toc15155"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 收入决算情况说明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_Toc15155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"_Toc14246"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三、 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_Toc14246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"_Toc30456"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四、财政拨款收入支出决算总体情况说明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_Toc30456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"_Toc8657"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五、一般公共预算财政拨款支出决算情况说明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_Toc8657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"_Toc620"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（一）一般公共预算财政拨款支出决算总体情况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_Toc620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"_Toc13140"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（二）一般公共预算财政拨款支出决算结构情况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_Toc13140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"_Toc1505"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（三）一般公共预算财政拨款支出决算具体情况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_Toc1505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"_Toc1497"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六、一般公共预算财政拨款基本支出决算情况说明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_Toc1497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"_Toc30118"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七、财政拨款“三公”经费支出决算情况说明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_Toc30118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"_Toc19987"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（一）“三公”经费财政拨款支出决算总体情况说明</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_Toc19987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"_Toc24895"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（二）“三公”经费财政拨款支出决算具体情况说明</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_Toc24895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"_Toc22161"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八、政府性基金预算支出决算情况说明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_Toc22161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"_Toc7562"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九、 国有资本经营预算支出决算情况说明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_Toc7562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"_Toc31110"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十、 其他重要事项的情况说明</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_Toc31110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"_Toc8651"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（一）机关运行经费支出情况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_Toc8651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"_Toc18300"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（二）政府采购支出情况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_Toc18300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"_Toc16731"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（三）国有资产占有使用情况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_Toc16731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4"/>
        <w:tabs>
          <w:tab w:val="right" w:leader="dot" w:pos="8306"/>
          <w:tab w:val="clear" w:pos="829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HYPERLINK  \l "_Toc32660"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（四）预算绩效管理情况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_Toc32660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3"/>
        <w:tabs>
          <w:tab w:val="right" w:leader="dot" w:pos="8306"/>
          <w:tab w:val="clear" w:pos="8296"/>
        </w:tabs>
        <w:spacing w:before="0"/>
        <w:rPr>
          <w:rFonts w:hint="default" w:ascii="Times New Roman" w:hAnsi="Times New Roman" w:eastAsia="宋体"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HYPERLINK  \l "_Toc15194" </w:instrText>
      </w:r>
      <w:r>
        <w:rPr>
          <w:rFonts w:hint="default" w:ascii="Times New Roman" w:hAnsi="Times New Roman" w:cs="Times New Roman"/>
        </w:rPr>
        <w:fldChar w:fldCharType="separate"/>
      </w:r>
      <w:r>
        <w:rPr>
          <w:rFonts w:hint="default" w:ascii="Times New Roman" w:hAnsi="Times New Roman" w:eastAsia="黑体" w:cs="Times New Roman"/>
          <w:bCs/>
          <w:kern w:val="44"/>
          <w:szCs w:val="44"/>
        </w:rPr>
        <w:t xml:space="preserve">第三部分 </w:t>
      </w:r>
      <w:r>
        <w:rPr>
          <w:rFonts w:hint="default" w:ascii="Times New Roman" w:hAnsi="Times New Roman" w:eastAsia="黑体" w:cs="Times New Roman"/>
          <w:szCs w:val="44"/>
        </w:rPr>
        <w:t>名</w:t>
      </w:r>
      <w:r>
        <w:rPr>
          <w:rFonts w:hint="default" w:ascii="Times New Roman" w:hAnsi="Times New Roman" w:eastAsia="黑体" w:cs="Times New Roman"/>
          <w:szCs w:val="24"/>
        </w:rPr>
        <w:t>词解释</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PAGEREF _Toc15194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sz w:val="21"/>
          <w:szCs w:val="24"/>
        </w:rPr>
        <w:t>10</w:t>
      </w:r>
      <w:r>
        <w:rPr>
          <w:rFonts w:hint="default" w:ascii="Times New Roman" w:hAnsi="Times New Roman" w:eastAsia="宋体" w:cs="Times New Roman"/>
          <w:sz w:val="21"/>
          <w:szCs w:val="24"/>
        </w:rPr>
        <w:fldChar w:fldCharType="end"/>
      </w:r>
      <w:r>
        <w:rPr>
          <w:rFonts w:hint="default" w:ascii="Times New Roman" w:hAnsi="Times New Roman" w:cs="Times New Roman"/>
        </w:rPr>
        <w:fldChar w:fldCharType="end"/>
      </w:r>
    </w:p>
    <w:p>
      <w:pPr>
        <w:pStyle w:val="13"/>
        <w:tabs>
          <w:tab w:val="right" w:leader="dot" w:pos="8306"/>
          <w:tab w:val="clear" w:pos="8296"/>
        </w:tabs>
        <w:spacing w:before="0"/>
        <w:rPr>
          <w:rFonts w:hint="default" w:ascii="Times New Roman" w:hAnsi="Times New Roman" w:eastAsia="宋体"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HYPERLINK  \l "_Toc30444" </w:instrText>
      </w:r>
      <w:r>
        <w:rPr>
          <w:rFonts w:hint="default" w:ascii="Times New Roman" w:hAnsi="Times New Roman" w:cs="Times New Roman"/>
        </w:rP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szCs w:val="24"/>
        </w:rPr>
        <w:t>四部分 附件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PAGEREF _Toc30444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sz w:val="21"/>
          <w:szCs w:val="24"/>
        </w:rPr>
        <w:t>14</w:t>
      </w:r>
      <w:r>
        <w:rPr>
          <w:rFonts w:hint="default" w:ascii="Times New Roman" w:hAnsi="Times New Roman" w:eastAsia="宋体" w:cs="Times New Roman"/>
          <w:sz w:val="21"/>
          <w:szCs w:val="24"/>
        </w:rPr>
        <w:fldChar w:fldCharType="end"/>
      </w:r>
      <w:r>
        <w:rPr>
          <w:rFonts w:hint="default" w:ascii="Times New Roman" w:hAnsi="Times New Roman" w:cs="Times New Roman"/>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"_Toc16634"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部门预算项目支出绩效自评表（2023年度）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_Toc16634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3"/>
        <w:tabs>
          <w:tab w:val="right" w:leader="dot" w:pos="8306"/>
          <w:tab w:val="clear" w:pos="8296"/>
        </w:tabs>
        <w:spacing w:before="0"/>
        <w:rPr>
          <w:rFonts w:hint="default" w:ascii="Times New Roman" w:hAnsi="Times New Roman" w:eastAsia="宋体" w:cs="Times New Roman"/>
          <w:szCs w:val="24"/>
        </w:rPr>
      </w:pPr>
      <w:r>
        <w:rPr>
          <w:rFonts w:hint="default" w:ascii="Times New Roman" w:hAnsi="Times New Roman" w:cs="Times New Roman"/>
        </w:rPr>
        <w:fldChar w:fldCharType="begin"/>
      </w:r>
      <w:r>
        <w:rPr>
          <w:rFonts w:hint="default" w:ascii="Times New Roman" w:hAnsi="Times New Roman" w:cs="Times New Roman"/>
        </w:rPr>
        <w:instrText xml:space="preserve">HYPERLINK  \l "_Toc20527" </w:instrText>
      </w:r>
      <w:r>
        <w:rPr>
          <w:rFonts w:hint="default" w:ascii="Times New Roman" w:hAnsi="Times New Roman" w:cs="Times New Roman"/>
        </w:rP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szCs w:val="24"/>
        </w:rPr>
        <w:t>五部分 附表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4"/>
        </w:rPr>
        <w:fldChar w:fldCharType="begin"/>
      </w:r>
      <w:r>
        <w:rPr>
          <w:rFonts w:hint="default" w:ascii="Times New Roman" w:hAnsi="Times New Roman" w:eastAsia="宋体" w:cs="Times New Roman"/>
          <w:sz w:val="21"/>
          <w:szCs w:val="24"/>
        </w:rPr>
        <w:instrText xml:space="preserve"> PAGEREF _Toc20527 </w:instrText>
      </w:r>
      <w:r>
        <w:rPr>
          <w:rFonts w:hint="default" w:ascii="Times New Roman" w:hAnsi="Times New Roman" w:eastAsia="宋体" w:cs="Times New Roman"/>
          <w:sz w:val="21"/>
          <w:szCs w:val="24"/>
        </w:rPr>
        <w:fldChar w:fldCharType="separate"/>
      </w:r>
      <w:r>
        <w:rPr>
          <w:rFonts w:hint="default" w:ascii="Times New Roman" w:hAnsi="Times New Roman" w:eastAsia="宋体" w:cs="Times New Roman"/>
          <w:sz w:val="21"/>
          <w:szCs w:val="24"/>
        </w:rPr>
        <w:t>15</w:t>
      </w:r>
      <w:r>
        <w:rPr>
          <w:rFonts w:hint="default" w:ascii="Times New Roman" w:hAnsi="Times New Roman" w:eastAsia="宋体" w:cs="Times New Roman"/>
          <w:sz w:val="21"/>
          <w:szCs w:val="24"/>
        </w:rPr>
        <w:fldChar w:fldCharType="end"/>
      </w:r>
      <w:r>
        <w:rPr>
          <w:rFonts w:hint="default" w:ascii="Times New Roman" w:hAnsi="Times New Roman" w:cs="Times New Roman"/>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"_Toc28511"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一、收入支出决算总表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_Toc28511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"_Toc11412"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二、收入决算表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_Toc11412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"_Toc24856"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三、支出决算表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_Toc24856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"_Toc2515"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四、财政拨款收入支出决算总表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_Toc2515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"_Toc23740"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五、财政拨款支出决算明细表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_Toc23740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"_Toc23778"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六、一般公共预算财政拨款支出决算表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_Toc23778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"_Toc4414"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七、一般公共预算财政拨款支出决算明细表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_Toc4414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"_Toc14196"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八、一般公共预算财政拨款基本支出决算表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_Toc14196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"_Toc5604"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九、一般公共预算财政拨款项目支出决算表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_Toc5604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"_Toc30351"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十、政府性基金预算财政拨款收入支出决算表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_Toc30351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"_Toc21264"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十一、国有资本经营预算财政拨款收入支出决算表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_Toc21264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十二、国有资本经营预算财政拨款支出决算表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pStyle w:val="14"/>
        <w:tabs>
          <w:tab w:val="right" w:leader="dot" w:pos="8306"/>
          <w:tab w:val="clear" w:pos="8296"/>
        </w:tabs>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HYPERLINK  \l "_Toc25148"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十三、财政拨款“三公”经费支出决算表</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_Toc25148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pPr>
        <w:widowControl/>
        <w:adjustRightInd w:val="0"/>
        <w:snapToGrid w:val="0"/>
        <w:spacing w:line="440" w:lineRule="exact"/>
        <w:ind w:firstLine="1155" w:firstLineChars="550"/>
        <w:jc w:val="left"/>
        <w:rPr>
          <w:rFonts w:hint="default" w:ascii="Times New Roman" w:hAnsi="Times New Roman" w:eastAsia="仿宋" w:cs="Times New Roman"/>
          <w:sz w:val="24"/>
        </w:rPr>
      </w:pPr>
      <w:r>
        <w:rPr>
          <w:rFonts w:hint="default" w:ascii="Times New Roman" w:hAnsi="Times New Roman" w:eastAsia="仿宋" w:cs="Times New Roman"/>
        </w:rPr>
        <w:fldChar w:fldCharType="end"/>
      </w:r>
    </w:p>
    <w:p>
      <w:pPr>
        <w:widowControl/>
        <w:spacing w:line="440" w:lineRule="exact"/>
        <w:jc w:val="left"/>
        <w:rPr>
          <w:rFonts w:hint="default" w:ascii="Times New Roman" w:hAnsi="Times New Roman" w:eastAsia="仿宋" w:cs="Times New Roman"/>
          <w:bCs/>
          <w:kern w:val="44"/>
          <w:sz w:val="24"/>
        </w:rPr>
        <w:sectPr>
          <w:footerReference r:id="rId4" w:type="first"/>
          <w:pgSz w:w="11906" w:h="16838"/>
          <w:pgMar w:top="1440" w:right="1800" w:bottom="1440" w:left="1800" w:header="851" w:footer="992" w:gutter="0"/>
          <w:pgNumType w:fmt="decimal" w:start="1"/>
          <w:cols w:space="720" w:num="1"/>
          <w:titlePg/>
          <w:docGrid w:type="lines" w:linePitch="312" w:charSpace="0"/>
        </w:sectPr>
      </w:pPr>
    </w:p>
    <w:p>
      <w:pPr>
        <w:pStyle w:val="2"/>
        <w:rPr>
          <w:rFonts w:hint="default" w:ascii="Times New Roman" w:hAnsi="Times New Roman" w:cs="Times New Roman"/>
        </w:rPr>
      </w:pPr>
    </w:p>
    <w:p>
      <w:pPr>
        <w:pStyle w:val="3"/>
        <w:jc w:val="center"/>
        <w:rPr>
          <w:rStyle w:val="29"/>
          <w:rFonts w:hint="default" w:ascii="Times New Roman" w:hAnsi="Times New Roman" w:eastAsia="黑体" w:cs="Times New Roman"/>
          <w:b/>
          <w:bCs w:val="0"/>
        </w:rPr>
      </w:pPr>
      <w:bookmarkStart w:id="16" w:name="_Toc21655"/>
      <w:r>
        <w:rPr>
          <w:rFonts w:hint="default" w:ascii="Times New Roman" w:hAnsi="Times New Roman" w:eastAsia="黑体" w:cs="Times New Roman"/>
          <w:b w:val="0"/>
        </w:rPr>
        <w:t>第一部分 单位</w:t>
      </w:r>
      <w:r>
        <w:rPr>
          <w:rStyle w:val="29"/>
          <w:rFonts w:hint="default" w:ascii="Times New Roman" w:hAnsi="Times New Roman" w:eastAsia="黑体" w:cs="Times New Roman"/>
          <w:b w:val="0"/>
          <w:bCs w:val="0"/>
        </w:rPr>
        <w:t>概况</w:t>
      </w:r>
      <w:bookmarkEnd w:id="14"/>
      <w:bookmarkEnd w:id="15"/>
      <w:bookmarkEnd w:id="16"/>
    </w:p>
    <w:p>
      <w:pPr>
        <w:widowControl/>
        <w:jc w:val="left"/>
        <w:rPr>
          <w:rFonts w:hint="default" w:ascii="Times New Roman" w:hAnsi="Times New Roman" w:eastAsia="黑体" w:cs="Times New Roman"/>
          <w:sz w:val="32"/>
          <w:szCs w:val="32"/>
        </w:rPr>
      </w:pPr>
    </w:p>
    <w:p>
      <w:pPr>
        <w:pStyle w:val="4"/>
        <w:keepNext/>
        <w:keepLines/>
        <w:widowControl w:val="0"/>
        <w:numPr>
          <w:ilvl w:val="0"/>
          <w:numId w:val="1"/>
        </w:numPr>
        <w:wordWrap/>
        <w:adjustRightInd/>
        <w:snapToGrid/>
        <w:spacing w:before="0" w:after="0" w:line="560" w:lineRule="exact"/>
        <w:ind w:left="0" w:leftChars="0" w:right="0" w:firstLine="0" w:firstLineChars="0"/>
        <w:jc w:val="both"/>
        <w:textAlignment w:val="auto"/>
        <w:outlineLvl w:val="1"/>
        <w:rPr>
          <w:rStyle w:val="30"/>
          <w:rFonts w:hint="default" w:ascii="Times New Roman" w:hAnsi="Times New Roman" w:eastAsia="黑体" w:cs="Times New Roman"/>
          <w:b w:val="0"/>
          <w:bCs w:val="0"/>
        </w:rPr>
      </w:pPr>
      <w:bookmarkStart w:id="17" w:name="_Toc7045"/>
      <w:bookmarkStart w:id="18" w:name="_Toc15377197"/>
      <w:bookmarkStart w:id="19" w:name="_Toc15396600"/>
      <w:r>
        <w:rPr>
          <w:rStyle w:val="30"/>
          <w:rFonts w:hint="default" w:ascii="Times New Roman" w:hAnsi="Times New Roman" w:eastAsia="黑体" w:cs="Times New Roman"/>
          <w:b w:val="0"/>
          <w:bCs w:val="0"/>
        </w:rPr>
        <w:t>主要职责</w:t>
      </w:r>
      <w:bookmarkEnd w:id="17"/>
    </w:p>
    <w:p>
      <w:pPr>
        <w:pStyle w:val="22"/>
        <w:widowControl/>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cs="Times New Roman"/>
        </w:rPr>
      </w:pPr>
      <w:r>
        <w:rPr>
          <w:rFonts w:hint="default" w:ascii="Times New Roman" w:hAnsi="Times New Roman" w:eastAsia="仿宋" w:cs="Times New Roman"/>
          <w:sz w:val="32"/>
          <w:szCs w:val="32"/>
        </w:rPr>
        <w:t>贯彻执行国家、省、市有关劳动就业、失业保险的法律法规和方针政策;组织开展职业指导、职业介绍、职业培训、创业培训、就业援助等就业服务;全面开发就业岗位,做好人力资源市场职业供求信息收集发布;组织农村劳动力转移就业和劳务输出;建设街道(乡镇)和社区劳动就业平台;依法开展失业保险扩面征缴、失业保险金发放和基金管理等各项失业保险经办工作,负责市级失业保险市级统筹工作;对失业保险费申报和缴纳情况进行稽核检查,按照规定程序查处失业保险基金征缴、管理和使用中的违法乱纪案件。</w:t>
      </w:r>
    </w:p>
    <w:p>
      <w:pPr>
        <w:pStyle w:val="4"/>
        <w:keepNext/>
        <w:keepLines/>
        <w:widowControl w:val="0"/>
        <w:wordWrap/>
        <w:adjustRightInd/>
        <w:snapToGrid/>
        <w:spacing w:before="0" w:after="0" w:line="560" w:lineRule="exact"/>
        <w:ind w:left="0" w:leftChars="0" w:right="0" w:firstLine="0" w:firstLineChars="0"/>
        <w:jc w:val="both"/>
        <w:textAlignment w:val="auto"/>
        <w:outlineLvl w:val="1"/>
        <w:rPr>
          <w:rFonts w:hint="default" w:ascii="Times New Roman" w:hAnsi="Times New Roman" w:eastAsia="黑体" w:cs="Times New Roman"/>
          <w:b w:val="0"/>
        </w:rPr>
      </w:pPr>
      <w:bookmarkStart w:id="20" w:name="_Toc21001"/>
      <w:r>
        <w:rPr>
          <w:rFonts w:hint="default" w:ascii="Times New Roman" w:hAnsi="Times New Roman" w:eastAsia="黑体" w:cs="Times New Roman"/>
          <w:b w:val="0"/>
        </w:rPr>
        <w:t>二、机构设置</w:t>
      </w:r>
      <w:bookmarkEnd w:id="20"/>
    </w:p>
    <w:bookmarkEnd w:id="18"/>
    <w:bookmarkEnd w:id="19"/>
    <w:p>
      <w:pPr>
        <w:pStyle w:val="22"/>
        <w:wordWrap/>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盐边县就业创业促进中心隶属于盐边县人力资源和社会保障局的参公管理单位，无下属二级预算单位。</w:t>
      </w:r>
    </w:p>
    <w:p>
      <w:pPr>
        <w:widowControl/>
        <w:wordWrap/>
        <w:adjustRightInd/>
        <w:snapToGrid/>
        <w:spacing w:line="56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ind w:right="440"/>
        <w:jc w:val="center"/>
        <w:rPr>
          <w:rStyle w:val="29"/>
          <w:rFonts w:hint="default" w:ascii="Times New Roman" w:hAnsi="Times New Roman" w:eastAsia="黑体" w:cs="Times New Roman"/>
          <w:b w:val="0"/>
          <w:bCs/>
        </w:rPr>
      </w:pPr>
      <w:bookmarkStart w:id="21" w:name="_Toc15377204"/>
      <w:bookmarkStart w:id="22" w:name="_Toc28932"/>
      <w:bookmarkStart w:id="23" w:name="_Toc15396602"/>
      <w:r>
        <w:rPr>
          <w:rFonts w:hint="default" w:ascii="Times New Roman" w:hAnsi="Times New Roman" w:eastAsia="黑体" w:cs="Times New Roman"/>
          <w:b w:val="0"/>
        </w:rPr>
        <w:t>第二部分 2023年度</w:t>
      </w:r>
      <w:r>
        <w:rPr>
          <w:rStyle w:val="29"/>
          <w:rFonts w:hint="default" w:ascii="Times New Roman" w:hAnsi="Times New Roman" w:eastAsia="黑体" w:cs="Times New Roman"/>
          <w:b w:val="0"/>
          <w:bCs/>
        </w:rPr>
        <w:t>单位决算情况说明</w:t>
      </w:r>
      <w:bookmarkEnd w:id="21"/>
      <w:bookmarkEnd w:id="22"/>
      <w:bookmarkEnd w:id="23"/>
    </w:p>
    <w:p>
      <w:pPr>
        <w:rPr>
          <w:rFonts w:hint="default" w:ascii="Times New Roman" w:hAnsi="Times New Roman" w:cs="Times New Roman"/>
        </w:rPr>
      </w:pPr>
    </w:p>
    <w:p>
      <w:pPr>
        <w:pStyle w:val="19"/>
        <w:numPr>
          <w:ilvl w:val="0"/>
          <w:numId w:val="2"/>
        </w:numPr>
        <w:wordWrap/>
        <w:snapToGrid/>
        <w:spacing w:line="560" w:lineRule="exact"/>
        <w:ind w:firstLineChars="0"/>
        <w:textAlignment w:val="auto"/>
        <w:outlineLvl w:val="1"/>
        <w:rPr>
          <w:rStyle w:val="30"/>
          <w:rFonts w:hint="default" w:ascii="Times New Roman" w:hAnsi="Times New Roman" w:eastAsia="黑体" w:cs="Times New Roman"/>
          <w:b w:val="0"/>
        </w:rPr>
      </w:pPr>
      <w:bookmarkStart w:id="24" w:name="_Toc15377205"/>
      <w:bookmarkStart w:id="25" w:name="_Toc24371"/>
      <w:bookmarkStart w:id="26" w:name="_Toc15396603"/>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入支出决算总体情况说明</w:t>
      </w:r>
      <w:bookmarkEnd w:id="24"/>
      <w:bookmarkEnd w:id="25"/>
      <w:bookmarkEnd w:id="26"/>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2023年度收、支总计均为</w:t>
      </w:r>
      <w:r>
        <w:rPr>
          <w:rFonts w:hint="default" w:ascii="Times New Roman" w:hAnsi="Times New Roman" w:eastAsia="仿宋" w:cs="Times New Roman"/>
          <w:b w:val="0"/>
          <w:bCs/>
          <w:sz w:val="32"/>
          <w:szCs w:val="32"/>
        </w:rPr>
        <w:t>819.32</w:t>
      </w:r>
      <w:r>
        <w:rPr>
          <w:rFonts w:hint="default" w:ascii="Times New Roman" w:hAnsi="Times New Roman" w:eastAsia="仿宋" w:cs="Times New Roman"/>
          <w:sz w:val="32"/>
          <w:szCs w:val="32"/>
        </w:rPr>
        <w:t>万元。与2022年度（2022年度收、支总计均为741.67万元）相比，收、支总计各增加77.65万元，增长10.47%。主要变动原因是2023年度项目支出增加。</w:t>
      </w:r>
    </w:p>
    <w:p>
      <w:pPr>
        <w:pStyle w:val="2"/>
        <w:wordWrap/>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宋体" w:cs="Times New Roman"/>
          <w:b/>
          <w:kern w:val="2"/>
          <w:sz w:val="21"/>
          <w:szCs w:val="24"/>
          <w:lang w:val="en-US" w:eastAsia="zh-CN" w:bidi="ar-SA"/>
        </w:rPr>
        <w:pict>
          <v:shape id="_x0000_s1028" type="#_x0000_t75" style="position:absolute;left:0;margin-left:60.45pt;margin-top:8.25pt;height:164.25pt;width:245.3pt;mso-wrap-distance-bottom:0pt;mso-wrap-distance-left:9pt;mso-wrap-distance-right:9pt;mso-wrap-distance-top:0pt;rotation:0f;z-index:251659264;" o:ole="t" fillcolor="#FFFFFF" filled="f" o:preferrelative="t" stroked="f" coordorigin="0,0" coordsize="21600,21600">
            <v:fill on="f" color2="#FFFFFF" focus="0%"/>
            <v:imagedata gain="65536f" blacklevel="0f" gamma="0" o:title="" r:id="rId9"/>
            <o:lock v:ext="edit" position="f" selection="f" grouping="f" rotation="f" cropping="f" text="f" aspectratio="t"/>
            <w10:wrap type="square"/>
          </v:shape>
          <o:OLEObject Type="Embed" ProgID="MSGraph.Chart.8" ShapeID="_x0000_s1028" DrawAspect="Content" ObjectID="_1027" r:id="rId8"/>
        </w:pict>
      </w:r>
    </w:p>
    <w:p>
      <w:pPr>
        <w:wordWrap/>
        <w:snapToGrid/>
        <w:spacing w:line="560" w:lineRule="exact"/>
        <w:textAlignment w:val="auto"/>
        <w:rPr>
          <w:rFonts w:hint="default" w:ascii="Times New Roman" w:hAnsi="Times New Roman" w:eastAsia="仿宋" w:cs="Times New Roman"/>
          <w:sz w:val="32"/>
          <w:szCs w:val="32"/>
        </w:rPr>
      </w:pPr>
    </w:p>
    <w:p>
      <w:pPr>
        <w:pStyle w:val="2"/>
        <w:wordWrap/>
        <w:snapToGrid/>
        <w:spacing w:line="560" w:lineRule="exact"/>
        <w:textAlignment w:val="auto"/>
        <w:rPr>
          <w:rFonts w:hint="default" w:ascii="Times New Roman" w:hAnsi="Times New Roman" w:eastAsia="仿宋" w:cs="Times New Roman"/>
          <w:sz w:val="32"/>
          <w:szCs w:val="32"/>
        </w:rPr>
      </w:pPr>
    </w:p>
    <w:p>
      <w:pPr>
        <w:wordWrap/>
        <w:snapToGrid/>
        <w:spacing w:line="560" w:lineRule="exact"/>
        <w:textAlignment w:val="auto"/>
        <w:rPr>
          <w:rFonts w:hint="default" w:ascii="Times New Roman" w:hAnsi="Times New Roman" w:cs="Times New Roman"/>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（图1：收、支决算总计变动情况图）（柱状图）</w:t>
      </w:r>
    </w:p>
    <w:p>
      <w:pPr>
        <w:pStyle w:val="19"/>
        <w:numPr>
          <w:ilvl w:val="0"/>
          <w:numId w:val="2"/>
        </w:numPr>
        <w:wordWrap/>
        <w:snapToGrid/>
        <w:spacing w:line="560" w:lineRule="exact"/>
        <w:ind w:firstLineChars="0"/>
        <w:textAlignment w:val="auto"/>
        <w:outlineLvl w:val="1"/>
        <w:rPr>
          <w:rStyle w:val="30"/>
          <w:rFonts w:hint="default" w:ascii="Times New Roman" w:hAnsi="Times New Roman" w:eastAsia="黑体" w:cs="Times New Roman"/>
          <w:b w:val="0"/>
        </w:rPr>
      </w:pPr>
      <w:bookmarkStart w:id="27" w:name="_Toc15396604"/>
      <w:bookmarkStart w:id="28" w:name="_Toc15377206"/>
      <w:bookmarkStart w:id="29" w:name="_Toc15155"/>
      <w:r>
        <w:rPr>
          <w:rFonts w:hint="default" w:ascii="Times New Roman" w:hAnsi="Times New Roman" w:eastAsia="黑体" w:cs="Times New Roman"/>
          <w:sz w:val="32"/>
          <w:szCs w:val="32"/>
        </w:rPr>
        <w:t>收</w:t>
      </w:r>
      <w:r>
        <w:rPr>
          <w:rStyle w:val="30"/>
          <w:rFonts w:hint="default" w:ascii="Times New Roman" w:hAnsi="Times New Roman" w:eastAsia="黑体" w:cs="Times New Roman"/>
          <w:b w:val="0"/>
        </w:rPr>
        <w:t>入决算情况说明</w:t>
      </w:r>
      <w:bookmarkEnd w:id="27"/>
      <w:bookmarkEnd w:id="28"/>
      <w:bookmarkEnd w:id="29"/>
    </w:p>
    <w:p>
      <w:pPr>
        <w:wordWrap/>
        <w:snapToGrid/>
        <w:spacing w:line="560" w:lineRule="exact"/>
        <w:ind w:firstLine="640" w:firstLineChars="200"/>
        <w:textAlignment w:val="auto"/>
        <w:outlineLvl w:val="1"/>
        <w:rPr>
          <w:rFonts w:hint="default" w:ascii="Times New Roman" w:hAnsi="Times New Roman" w:eastAsia="仿宋" w:cs="Times New Roman"/>
          <w:b w:val="0"/>
          <w:bCs w:val="0"/>
          <w:sz w:val="32"/>
          <w:szCs w:val="32"/>
        </w:rPr>
      </w:pPr>
      <w:bookmarkStart w:id="30" w:name="_Toc23486"/>
      <w:r>
        <w:rPr>
          <w:rFonts w:hint="default" w:ascii="Times New Roman" w:hAnsi="Times New Roman" w:eastAsia="仿宋" w:cs="Times New Roman"/>
          <w:b w:val="0"/>
          <w:bCs w:val="0"/>
          <w:sz w:val="32"/>
          <w:szCs w:val="32"/>
        </w:rPr>
        <w:t>2023年度本年收入合计819.32万元，其中：一般公共预算财政拨款收入819.32万元，占100%。</w:t>
      </w:r>
      <w:bookmarkEnd w:id="30"/>
    </w:p>
    <w:p>
      <w:pPr>
        <w:wordWrap/>
        <w:snapToGrid/>
        <w:spacing w:line="560" w:lineRule="exact"/>
        <w:ind w:firstLine="420" w:firstLineChars="200"/>
        <w:textAlignment w:val="auto"/>
        <w:outlineLvl w:val="1"/>
        <w:rPr>
          <w:rFonts w:hint="default" w:ascii="Times New Roman" w:hAnsi="Times New Roman" w:eastAsia="仿宋" w:cs="Times New Roman"/>
          <w:sz w:val="32"/>
          <w:szCs w:val="32"/>
        </w:rPr>
      </w:pPr>
      <w:r>
        <w:rPr>
          <w:rFonts w:hint="default" w:ascii="Times New Roman" w:hAnsi="Times New Roman" w:eastAsia="宋体" w:cs="Times New Roman"/>
          <w:kern w:val="2"/>
          <w:sz w:val="21"/>
          <w:szCs w:val="24"/>
          <w:lang w:val="en-US" w:eastAsia="zh-CN" w:bidi="ar-SA"/>
        </w:rPr>
        <w:pict>
          <v:shape id="_x0000_s1029" type="#_x0000_t75" style="position:absolute;left:0;margin-left:164.25pt;margin-top:88.6pt;height:128.25pt;width:192pt;mso-position-horizontal-relative:page;mso-position-vertical-relative:page;mso-wrap-distance-bottom:0pt;mso-wrap-distance-left:9pt;mso-wrap-distance-right:9pt;mso-wrap-distance-top:0pt;rotation:0f;z-index:251658240;" o:ole="t" fillcolor="#FFFFFF" filled="f" o:preferrelative="t" stroked="f" coordorigin="0,0" coordsize="21600,21600">
            <v:fill on="f" color2="#FFFFFF" focus="0%"/>
            <v:imagedata gain="65536f" blacklevel="0f" gamma="0" o:title="" r:id="rId11"/>
            <o:lock v:ext="edit" position="f" selection="f" grouping="f" rotation="f" cropping="f" text="f" aspectratio="t"/>
            <w10:wrap type="square"/>
          </v:shape>
          <o:OLEObject Type="Embed" ProgID="MSGraph.Chart.8" ShapeID="_x0000_s1029" DrawAspect="Content" ObjectID="_1028" r:id="rId10"/>
        </w:pict>
      </w:r>
    </w:p>
    <w:p>
      <w:pPr>
        <w:wordWrap/>
        <w:snapToGrid/>
        <w:spacing w:line="560" w:lineRule="exact"/>
        <w:ind w:firstLine="640" w:firstLineChars="200"/>
        <w:textAlignment w:val="auto"/>
        <w:outlineLvl w:val="1"/>
        <w:rPr>
          <w:rFonts w:hint="default" w:ascii="Times New Roman" w:hAnsi="Times New Roman" w:eastAsia="仿宋" w:cs="Times New Roman"/>
          <w:sz w:val="32"/>
          <w:szCs w:val="32"/>
        </w:rPr>
      </w:pPr>
    </w:p>
    <w:p>
      <w:pPr>
        <w:wordWrap/>
        <w:snapToGrid/>
        <w:spacing w:line="560" w:lineRule="exact"/>
        <w:ind w:firstLine="640" w:firstLineChars="200"/>
        <w:textAlignment w:val="auto"/>
        <w:outlineLvl w:val="1"/>
        <w:rPr>
          <w:rFonts w:hint="default" w:ascii="Times New Roman" w:hAnsi="Times New Roman" w:eastAsia="仿宋" w:cs="Times New Roman"/>
          <w:sz w:val="32"/>
          <w:szCs w:val="32"/>
        </w:rPr>
      </w:pPr>
    </w:p>
    <w:p>
      <w:pPr>
        <w:wordWrap/>
        <w:snapToGrid/>
        <w:spacing w:line="560" w:lineRule="exact"/>
        <w:ind w:firstLine="640" w:firstLineChars="200"/>
        <w:textAlignment w:val="auto"/>
        <w:outlineLvl w:val="1"/>
        <w:rPr>
          <w:rFonts w:hint="default" w:ascii="Times New Roman" w:hAnsi="Times New Roman" w:eastAsia="仿宋" w:cs="Times New Roman"/>
          <w:sz w:val="32"/>
          <w:szCs w:val="32"/>
        </w:rPr>
      </w:pPr>
    </w:p>
    <w:p>
      <w:pPr>
        <w:wordWrap/>
        <w:snapToGrid/>
        <w:spacing w:line="560" w:lineRule="exact"/>
        <w:ind w:firstLine="640" w:firstLineChars="200"/>
        <w:textAlignment w:val="auto"/>
        <w:outlineLvl w:val="1"/>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（图2：收入决算结构图）（饼状图）</w:t>
      </w:r>
    </w:p>
    <w:p>
      <w:pPr>
        <w:pStyle w:val="19"/>
        <w:numPr>
          <w:ilvl w:val="0"/>
          <w:numId w:val="2"/>
        </w:numPr>
        <w:wordWrap/>
        <w:snapToGrid/>
        <w:spacing w:line="560" w:lineRule="exact"/>
        <w:ind w:firstLineChars="0"/>
        <w:textAlignment w:val="auto"/>
        <w:outlineLvl w:val="1"/>
        <w:rPr>
          <w:rStyle w:val="30"/>
          <w:rFonts w:hint="default" w:ascii="Times New Roman" w:hAnsi="Times New Roman" w:eastAsia="黑体" w:cs="Times New Roman"/>
          <w:b w:val="0"/>
        </w:rPr>
      </w:pPr>
      <w:bookmarkStart w:id="31" w:name="_Toc14246"/>
      <w:bookmarkStart w:id="32" w:name="_Toc15377207"/>
      <w:bookmarkStart w:id="33" w:name="_Toc15396605"/>
      <w:r>
        <w:rPr>
          <w:rFonts w:hint="default" w:ascii="Times New Roman" w:hAnsi="Times New Roman" w:eastAsia="黑体" w:cs="Times New Roman"/>
          <w:sz w:val="32"/>
          <w:szCs w:val="32"/>
        </w:rPr>
        <w:t>支</w:t>
      </w:r>
      <w:r>
        <w:rPr>
          <w:rStyle w:val="30"/>
          <w:rFonts w:hint="default" w:ascii="Times New Roman" w:hAnsi="Times New Roman" w:eastAsia="黑体" w:cs="Times New Roman"/>
          <w:b w:val="0"/>
        </w:rPr>
        <w:t>出决算情况说明</w:t>
      </w:r>
      <w:bookmarkEnd w:id="31"/>
      <w:bookmarkEnd w:id="32"/>
      <w:bookmarkEnd w:id="33"/>
    </w:p>
    <w:p>
      <w:pPr>
        <w:wordWrap/>
        <w:snapToGrid/>
        <w:spacing w:line="560" w:lineRule="exact"/>
        <w:ind w:firstLine="640" w:firstLineChars="200"/>
        <w:textAlignment w:val="auto"/>
        <w:outlineLvl w:val="1"/>
        <w:rPr>
          <w:rFonts w:hint="default" w:ascii="Times New Roman" w:hAnsi="Times New Roman" w:eastAsia="仿宋" w:cs="Times New Roman"/>
          <w:b w:val="0"/>
          <w:bCs w:val="0"/>
          <w:sz w:val="32"/>
          <w:szCs w:val="32"/>
        </w:rPr>
      </w:pPr>
      <w:bookmarkStart w:id="34" w:name="_Toc15003"/>
      <w:r>
        <w:rPr>
          <w:rFonts w:hint="default" w:ascii="Times New Roman" w:hAnsi="Times New Roman" w:eastAsia="仿宋" w:cs="Times New Roman"/>
          <w:b w:val="0"/>
          <w:bCs w:val="0"/>
          <w:sz w:val="32"/>
          <w:szCs w:val="32"/>
        </w:rPr>
        <w:t>2023年度本年支出合计819.32万元，其中：基本支出104.46万元，占12.74%；项目支出714.86万元，占87.25%。</w:t>
      </w:r>
      <w:bookmarkEnd w:id="34"/>
    </w:p>
    <w:p>
      <w:pPr>
        <w:wordWrap/>
        <w:snapToGrid/>
        <w:spacing w:line="560" w:lineRule="exact"/>
        <w:ind w:firstLine="640"/>
        <w:textAlignment w:val="auto"/>
        <w:rPr>
          <w:rFonts w:hint="default" w:ascii="Times New Roman" w:hAnsi="Times New Roman" w:eastAsia="仿宋" w:cs="Times New Roman"/>
          <w:sz w:val="32"/>
          <w:szCs w:val="32"/>
          <w:shd w:val="pct10" w:color="auto" w:fill="FFFFFF"/>
        </w:rPr>
      </w:pPr>
      <w:r>
        <w:rPr>
          <w:rFonts w:hint="default" w:ascii="Times New Roman" w:hAnsi="Times New Roman" w:eastAsia="宋体" w:cs="Times New Roman"/>
          <w:kern w:val="2"/>
          <w:sz w:val="21"/>
          <w:szCs w:val="24"/>
          <w:lang w:val="en-US" w:eastAsia="zh-CN" w:bidi="ar-SA"/>
        </w:rPr>
        <w:pict>
          <v:shape id="_x0000_s1030" type="#_x0000_t75" style="position:absolute;left:0;margin-left:63pt;margin-top:4.8pt;height:157.55pt;width:236.25pt;mso-wrap-distance-bottom:0pt;mso-wrap-distance-left:9pt;mso-wrap-distance-right:9pt;mso-wrap-distance-top:0pt;rotation:0f;z-index:251660288;" o:ole="t" fillcolor="#FFFFFF" filled="f" o:preferrelative="t" stroked="f" coordorigin="0,0" coordsize="21600,21600">
            <v:fill on="f" color2="#FFFFFF" focus="0%"/>
            <v:imagedata gain="65536f" blacklevel="0f" gamma="0" o:title="" r:id="rId13"/>
            <o:lock v:ext="edit" position="f" selection="f" grouping="f" rotation="f" cropping="f" text="f" aspectratio="t"/>
            <w10:wrap type="square"/>
          </v:shape>
          <o:OLEObject Type="Embed" ProgID="MSGraph.Chart.8" ShapeID="_x0000_s1030" DrawAspect="Content" ObjectID="_1029" r:id="rId12"/>
        </w:pict>
      </w: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（图3：支出决算结构图）（饼状图）</w:t>
      </w:r>
    </w:p>
    <w:p>
      <w:pPr>
        <w:wordWrap/>
        <w:snapToGrid/>
        <w:spacing w:line="560" w:lineRule="exact"/>
        <w:ind w:firstLine="640" w:firstLineChars="200"/>
        <w:textAlignment w:val="auto"/>
        <w:outlineLvl w:val="1"/>
        <w:rPr>
          <w:rStyle w:val="30"/>
          <w:rFonts w:hint="default" w:ascii="Times New Roman" w:hAnsi="Times New Roman" w:eastAsia="黑体" w:cs="Times New Roman"/>
          <w:b w:val="0"/>
        </w:rPr>
      </w:pPr>
      <w:bookmarkStart w:id="35" w:name="_Toc15396606"/>
      <w:bookmarkStart w:id="36" w:name="_Toc30456"/>
      <w:bookmarkStart w:id="37" w:name="_Toc15377208"/>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35"/>
      <w:bookmarkEnd w:id="36"/>
      <w:bookmarkEnd w:id="37"/>
    </w:p>
    <w:p>
      <w:pPr>
        <w:wordWrap/>
        <w:snapToGrid/>
        <w:spacing w:line="56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宋体" w:cs="Times New Roman"/>
          <w:kern w:val="2"/>
          <w:sz w:val="21"/>
          <w:szCs w:val="24"/>
          <w:lang w:val="en-US" w:eastAsia="zh-CN" w:bidi="ar-SA"/>
        </w:rPr>
        <w:pict>
          <v:shape id="_x0000_s1031" type="#_x0000_t75" style="position:absolute;left:0;margin-left:104.45pt;margin-top:121.5pt;height:144.4pt;width:215.8pt;mso-wrap-distance-bottom:0pt;mso-wrap-distance-left:9pt;mso-wrap-distance-right:9pt;mso-wrap-distance-top:0pt;rotation:0f;z-index:251661312;" o:ole="t" fillcolor="#FFFFFF" filled="f" o:preferrelative="t" stroked="f" coordorigin="0,0" coordsize="21600,21600">
            <v:fill on="f" color2="#FFFFFF" focus="0%"/>
            <v:imagedata gain="65536f" blacklevel="0f" gamma="0" o:title="" r:id="rId15"/>
            <o:lock v:ext="edit" position="f" selection="f" grouping="f" rotation="f" cropping="f" text="f" aspectratio="t"/>
            <w10:wrap type="square"/>
          </v:shape>
          <o:OLEObject Type="Embed" ProgID="MSGraph.Chart.8" ShapeID="_x0000_s1031" DrawAspect="Content" ObjectID="_1030" r:id="rId14"/>
        </w:pict>
      </w:r>
      <w:r>
        <w:rPr>
          <w:rFonts w:hint="default" w:ascii="Times New Roman" w:hAnsi="Times New Roman" w:eastAsia="仿宋" w:cs="Times New Roman"/>
          <w:sz w:val="32"/>
          <w:szCs w:val="32"/>
        </w:rPr>
        <w:t>2023年度财政拨款收、支总计均为</w:t>
      </w:r>
      <w:r>
        <w:rPr>
          <w:rFonts w:hint="default" w:ascii="Times New Roman" w:hAnsi="Times New Roman" w:eastAsia="仿宋" w:cs="Times New Roman"/>
          <w:b w:val="0"/>
          <w:bCs/>
          <w:sz w:val="32"/>
          <w:szCs w:val="32"/>
        </w:rPr>
        <w:t>819.32</w:t>
      </w:r>
      <w:r>
        <w:rPr>
          <w:rFonts w:hint="default" w:ascii="Times New Roman" w:hAnsi="Times New Roman" w:eastAsia="仿宋" w:cs="Times New Roman"/>
          <w:sz w:val="32"/>
          <w:szCs w:val="32"/>
        </w:rPr>
        <w:t>万元。与2022年度（2022年度收、支总计均为741.67万元）相比，财政拨款收、支总计各增加77.65万元，增长10.47%。主要变动原因是2023年度项目支出增加。</w:t>
      </w:r>
    </w:p>
    <w:p>
      <w:pPr>
        <w:wordWrap/>
        <w:snapToGrid/>
        <w:spacing w:line="560" w:lineRule="exact"/>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（图4：财政拨款收、支决算总计变动情况）（柱状图）</w:t>
      </w:r>
    </w:p>
    <w:p>
      <w:pPr>
        <w:wordWrap/>
        <w:snapToGrid/>
        <w:spacing w:line="560" w:lineRule="exact"/>
        <w:ind w:firstLine="640" w:firstLineChars="200"/>
        <w:textAlignment w:val="auto"/>
        <w:outlineLvl w:val="1"/>
        <w:rPr>
          <w:rStyle w:val="30"/>
          <w:rFonts w:hint="default" w:ascii="Times New Roman" w:hAnsi="Times New Roman" w:eastAsia="黑体" w:cs="Times New Roman"/>
          <w:b w:val="0"/>
        </w:rPr>
      </w:pPr>
      <w:bookmarkStart w:id="38" w:name="_Toc8657"/>
      <w:bookmarkStart w:id="39" w:name="_Toc15396607"/>
      <w:bookmarkStart w:id="40"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38"/>
      <w:bookmarkEnd w:id="39"/>
      <w:bookmarkEnd w:id="40"/>
    </w:p>
    <w:p>
      <w:pPr>
        <w:wordWrap/>
        <w:snapToGrid/>
        <w:spacing w:line="560" w:lineRule="exact"/>
        <w:ind w:firstLine="643" w:firstLineChars="200"/>
        <w:textAlignment w:val="auto"/>
        <w:outlineLvl w:val="2"/>
        <w:rPr>
          <w:rFonts w:hint="default" w:ascii="Times New Roman" w:hAnsi="Times New Roman" w:eastAsia="仿宋" w:cs="Times New Roman"/>
          <w:b/>
          <w:sz w:val="32"/>
          <w:szCs w:val="32"/>
        </w:rPr>
      </w:pPr>
      <w:bookmarkStart w:id="41" w:name="_Toc15377210"/>
      <w:bookmarkStart w:id="42" w:name="_Toc620"/>
      <w:r>
        <w:rPr>
          <w:rFonts w:hint="default" w:ascii="Times New Roman" w:hAnsi="Times New Roman" w:eastAsia="仿宋" w:cs="Times New Roman"/>
          <w:b/>
          <w:sz w:val="32"/>
          <w:szCs w:val="32"/>
        </w:rPr>
        <w:t>（一）一般公共预算财政拨款支出决算总体情况</w:t>
      </w:r>
      <w:bookmarkEnd w:id="41"/>
      <w:bookmarkEnd w:id="42"/>
    </w:p>
    <w:p>
      <w:pPr>
        <w:wordWrap/>
        <w:snapToGrid/>
        <w:spacing w:line="56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2023年度一般公共预算财政拨款支出819.32万元，占本年支出合计的100%。与2022年度（2022年度为741.67万元）相比，一般公共预算财政拨款支出增加77.65万元，增长10.47%。主要变动原因是2023年度项目收入增加。</w:t>
      </w:r>
    </w:p>
    <w:p>
      <w:pPr>
        <w:wordWrap/>
        <w:snapToGrid/>
        <w:spacing w:line="560" w:lineRule="exact"/>
        <w:ind w:firstLine="420" w:firstLineChars="200"/>
        <w:textAlignment w:val="auto"/>
        <w:rPr>
          <w:rFonts w:hint="default" w:ascii="Times New Roman" w:hAnsi="Times New Roman" w:eastAsia="仿宋" w:cs="Times New Roman"/>
          <w:sz w:val="32"/>
          <w:szCs w:val="32"/>
        </w:rPr>
      </w:pPr>
      <w:r>
        <w:rPr>
          <w:rFonts w:hint="default" w:ascii="Times New Roman" w:hAnsi="Times New Roman" w:eastAsia="宋体" w:cs="Times New Roman"/>
          <w:kern w:val="2"/>
          <w:sz w:val="21"/>
          <w:szCs w:val="24"/>
          <w:lang w:val="en-US" w:eastAsia="zh-CN" w:bidi="ar-SA"/>
        </w:rPr>
        <w:pict>
          <v:shape id="_x0000_s1032" type="#_x0000_t75" style="position:absolute;left:0;margin-left:78.75pt;margin-top:0.3pt;height:175.55pt;width:262.5pt;mso-wrap-distance-bottom:0pt;mso-wrap-distance-left:9pt;mso-wrap-distance-right:9pt;mso-wrap-distance-top:0pt;rotation:0f;z-index:251662336;" o:ole="t" fillcolor="#FFFFFF" filled="f" o:preferrelative="t" stroked="f" coordorigin="0,0" coordsize="21600,21600">
            <v:fill on="f" color2="#FFFFFF" focus="0%"/>
            <v:imagedata gain="65536f" blacklevel="0f" gamma="0" o:title="" r:id="rId17"/>
            <o:lock v:ext="edit" position="f" selection="f" grouping="f" rotation="f" cropping="f" text="f" aspectratio="t"/>
            <w10:wrap type="square"/>
          </v:shape>
          <o:OLEObject Type="Embed" ProgID="MSGraph.Chart.8" ShapeID="_x0000_s1032" DrawAspect="Content" ObjectID="_1031" r:id="rId16"/>
        </w:pict>
      </w: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（图5：一般公共预算财政拨款支出决算变动情况）（柱状图）</w:t>
      </w:r>
    </w:p>
    <w:p>
      <w:pPr>
        <w:wordWrap/>
        <w:snapToGrid/>
        <w:spacing w:line="560" w:lineRule="exact"/>
        <w:ind w:firstLine="643" w:firstLineChars="200"/>
        <w:textAlignment w:val="auto"/>
        <w:outlineLvl w:val="2"/>
        <w:rPr>
          <w:rFonts w:hint="default" w:ascii="Times New Roman" w:hAnsi="Times New Roman" w:eastAsia="仿宋" w:cs="Times New Roman"/>
          <w:b/>
          <w:sz w:val="32"/>
          <w:szCs w:val="32"/>
        </w:rPr>
      </w:pPr>
      <w:bookmarkStart w:id="43" w:name="_Toc15377211"/>
      <w:bookmarkStart w:id="44" w:name="_Toc13140"/>
      <w:r>
        <w:rPr>
          <w:rFonts w:hint="default" w:ascii="Times New Roman" w:hAnsi="Times New Roman" w:eastAsia="仿宋" w:cs="Times New Roman"/>
          <w:b/>
          <w:sz w:val="32"/>
          <w:szCs w:val="32"/>
        </w:rPr>
        <w:t>（二）一般公共预算财政拨款支出决算结构情况</w:t>
      </w:r>
      <w:bookmarkEnd w:id="43"/>
      <w:bookmarkEnd w:id="44"/>
    </w:p>
    <w:p>
      <w:pPr>
        <w:wordWrap/>
        <w:snapToGrid/>
        <w:spacing w:line="560" w:lineRule="exact"/>
        <w:ind w:firstLine="64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2023年度一般公共预算财政拨款支出819.32万元，主要用于以下方面:社会保障和就业支出805.8万元，占98.35%；卫生健康支出6.94万元，占0.85%；住房保障支出6.58万元，占0.8%。</w:t>
      </w:r>
    </w:p>
    <w:p>
      <w:pPr>
        <w:wordWrap/>
        <w:snapToGrid/>
        <w:spacing w:line="56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宋体" w:cs="Times New Roman"/>
          <w:kern w:val="2"/>
          <w:sz w:val="21"/>
          <w:szCs w:val="24"/>
          <w:lang w:val="en-US" w:eastAsia="zh-CN" w:bidi="ar-SA"/>
        </w:rPr>
        <w:pict>
          <v:shape id="_x0000_s1033" type="#_x0000_t75" style="position:absolute;left:0;margin-left:89.25pt;margin-top:4.7pt;height:129.95pt;width:194.2pt;mso-wrap-distance-bottom:0pt;mso-wrap-distance-left:9pt;mso-wrap-distance-right:9pt;mso-wrap-distance-top:0pt;rotation:0f;z-index:251663360;" o:ole="t" fillcolor="#FFFFFF" filled="f" o:preferrelative="t" stroked="f" coordorigin="0,0" coordsize="21600,21600">
            <v:fill on="f" color2="#FFFFFF" focus="0%"/>
            <v:imagedata gain="65536f" blacklevel="0f" gamma="0" o:title="" r:id="rId19"/>
            <o:lock v:ext="edit" position="f" selection="f" grouping="f" rotation="f" cropping="f" text="f" aspectratio="t"/>
            <w10:wrap type="square"/>
          </v:shape>
          <o:OLEObject Type="Embed" ProgID="MSGraph.Chart.8" ShapeID="_x0000_s1033" DrawAspect="Content" ObjectID="_1032" r:id="rId18"/>
        </w:pict>
      </w: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p>
    <w:p>
      <w:pPr>
        <w:wordWrap/>
        <w:snapToGrid/>
        <w:spacing w:line="560" w:lineRule="exact"/>
        <w:textAlignment w:val="auto"/>
        <w:rPr>
          <w:rFonts w:hint="default" w:ascii="Times New Roman" w:hAnsi="Times New Roman" w:eastAsia="仿宋" w:cs="Times New Roman"/>
          <w:sz w:val="32"/>
          <w:szCs w:val="32"/>
        </w:rPr>
      </w:pPr>
    </w:p>
    <w:p>
      <w:pPr>
        <w:wordWrap/>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（图6：一般公共预算财政拨款支出决算结构）（饼状图）</w:t>
      </w:r>
    </w:p>
    <w:p>
      <w:pPr>
        <w:wordWrap/>
        <w:snapToGrid/>
        <w:spacing w:line="560" w:lineRule="exact"/>
        <w:ind w:firstLine="643" w:firstLineChars="200"/>
        <w:textAlignment w:val="auto"/>
        <w:outlineLvl w:val="2"/>
        <w:rPr>
          <w:rFonts w:hint="default" w:ascii="Times New Roman" w:hAnsi="Times New Roman" w:eastAsia="仿宋" w:cs="Times New Roman"/>
          <w:b/>
          <w:sz w:val="32"/>
          <w:szCs w:val="32"/>
        </w:rPr>
      </w:pPr>
      <w:bookmarkStart w:id="45" w:name="_Toc15377212"/>
      <w:bookmarkStart w:id="46" w:name="_Toc1505"/>
      <w:r>
        <w:rPr>
          <w:rFonts w:hint="default" w:ascii="Times New Roman" w:hAnsi="Times New Roman" w:eastAsia="仿宋" w:cs="Times New Roman"/>
          <w:b/>
          <w:sz w:val="32"/>
          <w:szCs w:val="32"/>
        </w:rPr>
        <w:t>（三）一般公共预算财政拨款支出决算具体情况</w:t>
      </w:r>
      <w:bookmarkEnd w:id="45"/>
      <w:bookmarkEnd w:id="46"/>
    </w:p>
    <w:p>
      <w:pPr>
        <w:wordWrap/>
        <w:snapToGrid/>
        <w:spacing w:line="560" w:lineRule="exact"/>
        <w:ind w:firstLine="640"/>
        <w:textAlignment w:val="auto"/>
        <w:rPr>
          <w:rFonts w:hint="default" w:ascii="Times New Roman" w:hAnsi="Times New Roman" w:eastAsia="仿宋" w:cs="Times New Roman"/>
          <w:b w:val="0"/>
          <w:bCs/>
          <w:sz w:val="32"/>
          <w:szCs w:val="32"/>
        </w:rPr>
      </w:pPr>
      <w:bookmarkStart w:id="47" w:name="_Toc15377444"/>
      <w:bookmarkStart w:id="48" w:name="_Toc15378460"/>
      <w:bookmarkStart w:id="49" w:name="_Toc15377213"/>
      <w:bookmarkStart w:id="50" w:name="_Toc1560"/>
      <w:r>
        <w:rPr>
          <w:rFonts w:hint="default" w:ascii="Times New Roman" w:hAnsi="Times New Roman" w:eastAsia="仿宋" w:cs="Times New Roman"/>
          <w:b w:val="0"/>
          <w:bCs/>
          <w:sz w:val="32"/>
          <w:szCs w:val="32"/>
        </w:rPr>
        <w:t>2023年度一般公共预算支出决算数为819.32</w:t>
      </w:r>
      <w:r>
        <w:rPr>
          <w:rFonts w:hint="default" w:ascii="Times New Roman" w:hAnsi="Times New Roman" w:eastAsia="仿宋" w:cs="Times New Roman"/>
          <w:b w:val="0"/>
          <w:bCs/>
          <w:sz w:val="32"/>
          <w:szCs w:val="32"/>
          <w:lang w:eastAsia="zh-CN"/>
        </w:rPr>
        <w:t>万元</w:t>
      </w:r>
      <w:r>
        <w:rPr>
          <w:rFonts w:hint="default" w:ascii="Times New Roman" w:hAnsi="Times New Roman" w:eastAsia="仿宋" w:cs="Times New Roman"/>
          <w:b w:val="0"/>
          <w:bCs/>
          <w:sz w:val="32"/>
          <w:szCs w:val="32"/>
        </w:rPr>
        <w:t>，完成预算100%。其中：</w:t>
      </w:r>
      <w:bookmarkEnd w:id="47"/>
      <w:bookmarkEnd w:id="48"/>
      <w:bookmarkEnd w:id="49"/>
      <w:bookmarkEnd w:id="50"/>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1.社会保障和就业支出（类）人力资源和社会保障管理事务（款）行政运行（项）: 支出决算为69.7万元，完成预算100%。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2.社会保障和就业支出（类）行政事业单位养老支出（款）行政单位离退休（项）: 支出决算为11.58万元，完成预算100%。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3.社会保障和就业支出（类）行政事业单位养老支出（款）机关事业单位基本养老保险缴费支出（项）: 支出决算为9.53万元，完成预算100%。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4.社会保障和就业支出（类）行政事业单位养老支出（款）机关事业单位职业年金缴费支出（项）: 支出决算为0.12万元，完成预算100%。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5.社会保障和就业支出（类）就业补助（款）就业创业服务补贴（项）: 支出决算为72.05万元，完成预算100%。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6.社会保障和就业支出（类）就业补助（款）职业培训补贴（项）:支出决算为190.68万元，完成预算100%。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7.社会保障和就业支出（类）就业补助（款）公益性岗位补贴（项）:支出决算为286.88万元，完成预算100%。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8.社会保障和就业支出（类）就业补助（款）就业见习补贴（项）:支出决算为28.44万元，完成预算100%。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9.社会保障和就业支出（类）就业补助（款）促进创业补贴（项）:支出决算为18万元，完成预算100%。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10.社会保障和就业支出（类）就业补助（款）其他就业补助支出（项）:支出决算为118.81万元，完成预算100%。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11.卫生健康支出（类）行政事业单位医疗（款）行政单位医疗（项）:支出决算为4.26万元，完成预算100%。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12.卫生健康支出（类）行政事业单位医疗（款）公务员医疗补助（项）:支出决算为0.52万元，完成预算100%。</w:t>
      </w:r>
    </w:p>
    <w:p>
      <w:pPr>
        <w:wordWrap/>
        <w:snapToGrid/>
        <w:spacing w:line="560" w:lineRule="exact"/>
        <w:ind w:firstLine="640"/>
        <w:textAlignment w:val="auto"/>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13.卫生健康支出（类）行政事业单位医疗（款）其他行政事业单位医疗支出（项）:支出决算为2.16万元，完成预算100%。</w:t>
      </w:r>
    </w:p>
    <w:p>
      <w:pPr>
        <w:wordWrap/>
        <w:snapToGrid/>
        <w:spacing w:line="560" w:lineRule="exact"/>
        <w:ind w:firstLine="640"/>
        <w:textAlignment w:val="auto"/>
        <w:rPr>
          <w:rStyle w:val="33"/>
          <w:rFonts w:hint="default" w:ascii="Times New Roman" w:hAnsi="Times New Roman" w:eastAsia="仿宋" w:cs="Times New Roman"/>
          <w:b w:val="0"/>
          <w:bCs w:val="0"/>
          <w:sz w:val="32"/>
          <w:szCs w:val="32"/>
        </w:rPr>
      </w:pPr>
      <w:bookmarkStart w:id="51" w:name="_Toc13557"/>
      <w:bookmarkStart w:id="52" w:name="_Toc26316"/>
      <w:r>
        <w:rPr>
          <w:rFonts w:hint="default" w:ascii="Times New Roman" w:hAnsi="Times New Roman" w:eastAsia="仿宋" w:cs="Times New Roman"/>
          <w:b w:val="0"/>
          <w:bCs/>
          <w:sz w:val="32"/>
          <w:szCs w:val="32"/>
        </w:rPr>
        <w:t>14. 住房保障支出（类）住房改革支出（款）住房公积</w:t>
      </w:r>
      <w:r>
        <w:rPr>
          <w:rStyle w:val="33"/>
          <w:rFonts w:hint="default" w:ascii="Times New Roman" w:hAnsi="Times New Roman" w:eastAsia="仿宋" w:cs="Times New Roman"/>
          <w:sz w:val="32"/>
          <w:szCs w:val="32"/>
        </w:rPr>
        <w:t>金（项）:</w:t>
      </w:r>
      <w:r>
        <w:rPr>
          <w:rStyle w:val="33"/>
          <w:rFonts w:hint="default" w:ascii="Times New Roman" w:hAnsi="Times New Roman" w:eastAsia="仿宋" w:cs="Times New Roman"/>
          <w:b w:val="0"/>
          <w:bCs w:val="0"/>
          <w:sz w:val="32"/>
          <w:szCs w:val="32"/>
        </w:rPr>
        <w:t>支出决算为6.58万元，完成预算100%。</w:t>
      </w:r>
      <w:bookmarkEnd w:id="51"/>
      <w:bookmarkEnd w:id="52"/>
    </w:p>
    <w:p>
      <w:pPr>
        <w:tabs>
          <w:tab w:val="right" w:pos="8306"/>
        </w:tabs>
        <w:wordWrap/>
        <w:snapToGrid/>
        <w:spacing w:line="560" w:lineRule="exact"/>
        <w:ind w:firstLine="640"/>
        <w:textAlignment w:val="auto"/>
        <w:outlineLvl w:val="1"/>
        <w:rPr>
          <w:rStyle w:val="30"/>
          <w:rFonts w:hint="default" w:ascii="Times New Roman" w:hAnsi="Times New Roman" w:cs="Times New Roman"/>
        </w:rPr>
      </w:pPr>
      <w:bookmarkStart w:id="53" w:name="_Toc15377214"/>
      <w:bookmarkStart w:id="54" w:name="_Toc1497"/>
      <w:bookmarkStart w:id="55"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般公共预算财政拨款基本支出决算情况说明</w:t>
      </w:r>
      <w:bookmarkEnd w:id="53"/>
      <w:bookmarkEnd w:id="54"/>
      <w:bookmarkEnd w:id="55"/>
      <w:r>
        <w:rPr>
          <w:rStyle w:val="30"/>
          <w:rFonts w:hint="default" w:ascii="Times New Roman" w:hAnsi="Times New Roman" w:eastAsia="黑体" w:cs="Times New Roman"/>
          <w:b w:val="0"/>
        </w:rPr>
        <w:tab/>
      </w:r>
    </w:p>
    <w:p>
      <w:pPr>
        <w:wordWrap/>
        <w:snapToGrid/>
        <w:spacing w:line="560" w:lineRule="exact"/>
        <w:ind w:firstLine="645"/>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2023年度一般公共预算财政拨款基本支出104.46万元，其中：</w:t>
      </w:r>
    </w:p>
    <w:p>
      <w:pPr>
        <w:wordWrap/>
        <w:snapToGrid/>
        <w:spacing w:line="560" w:lineRule="exact"/>
        <w:ind w:firstLine="645"/>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人员经费97.81万元，主要包括：基本工资、津贴补贴、奖金、机关事业单位基本养老保险缴费、职业年金缴费、职工基本医疗保险缴费、公务员医疗补助缴费、其他社会保障缴费、生活补助、医疗费补助、住房公积金等。</w:t>
      </w:r>
    </w:p>
    <w:p>
      <w:pPr>
        <w:wordWrap/>
        <w:snapToGrid/>
        <w:spacing w:line="56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sz w:val="32"/>
          <w:szCs w:val="32"/>
        </w:rPr>
        <w:t>公用经费6.65万元，主要包括：办公费、差旅费、维修（护）费、公务接待费、工会经费、其他交通费等。</w:t>
      </w:r>
    </w:p>
    <w:p>
      <w:pPr>
        <w:wordWrap/>
        <w:snapToGrid/>
        <w:spacing w:line="560" w:lineRule="exact"/>
        <w:ind w:firstLine="640"/>
        <w:textAlignment w:val="auto"/>
        <w:outlineLvl w:val="1"/>
        <w:rPr>
          <w:rStyle w:val="30"/>
          <w:rFonts w:hint="default" w:ascii="Times New Roman" w:hAnsi="Times New Roman" w:eastAsia="黑体" w:cs="Times New Roman"/>
          <w:b w:val="0"/>
        </w:rPr>
      </w:pPr>
      <w:bookmarkStart w:id="56" w:name="_Toc15396609"/>
      <w:bookmarkStart w:id="57" w:name="_Toc15377215"/>
      <w:bookmarkStart w:id="58" w:name="_Toc30118"/>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rPr>
        <w:t>财政拨款</w:t>
      </w:r>
      <w:r>
        <w:rPr>
          <w:rStyle w:val="30"/>
          <w:rFonts w:hint="default" w:ascii="Times New Roman" w:hAnsi="Times New Roman" w:eastAsia="黑体" w:cs="Times New Roman"/>
        </w:rPr>
        <w:t>“</w:t>
      </w:r>
      <w:r>
        <w:rPr>
          <w:rStyle w:val="30"/>
          <w:rFonts w:hint="default" w:ascii="Times New Roman" w:hAnsi="Times New Roman" w:eastAsia="黑体" w:cs="Times New Roman"/>
          <w:b w:val="0"/>
        </w:rPr>
        <w:t>三公”经费支出决算情况说明</w:t>
      </w:r>
      <w:bookmarkEnd w:id="56"/>
      <w:bookmarkEnd w:id="57"/>
      <w:bookmarkEnd w:id="58"/>
    </w:p>
    <w:p>
      <w:pPr>
        <w:wordWrap/>
        <w:snapToGrid/>
        <w:spacing w:line="560" w:lineRule="exact"/>
        <w:ind w:firstLine="640"/>
        <w:textAlignment w:val="auto"/>
        <w:outlineLvl w:val="2"/>
        <w:rPr>
          <w:rFonts w:hint="default" w:ascii="Times New Roman" w:hAnsi="Times New Roman" w:eastAsia="仿宋" w:cs="Times New Roman"/>
          <w:b/>
          <w:sz w:val="32"/>
          <w:szCs w:val="32"/>
        </w:rPr>
      </w:pPr>
      <w:bookmarkStart w:id="59" w:name="_Toc15377216"/>
      <w:bookmarkStart w:id="60" w:name="_Toc19987"/>
      <w:r>
        <w:rPr>
          <w:rFonts w:hint="default" w:ascii="Times New Roman" w:hAnsi="Times New Roman" w:eastAsia="仿宋" w:cs="Times New Roman"/>
          <w:b/>
          <w:sz w:val="32"/>
          <w:szCs w:val="32"/>
        </w:rPr>
        <w:t>（一）“三公”经费财政拨款支出决算总体情况说明</w:t>
      </w:r>
      <w:bookmarkEnd w:id="59"/>
      <w:bookmarkEnd w:id="60"/>
    </w:p>
    <w:p>
      <w:pPr>
        <w:wordWrap/>
        <w:snapToGrid/>
        <w:spacing w:line="560" w:lineRule="exact"/>
        <w:ind w:firstLine="64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2023年度“三公”经费财政拨款支出决算为0.05万元，完成预算100%，较上年度减少0.03万元，下降37.5%。决算数与预算数持平。</w:t>
      </w:r>
    </w:p>
    <w:p>
      <w:pPr>
        <w:wordWrap/>
        <w:snapToGrid/>
        <w:spacing w:line="560" w:lineRule="exact"/>
        <w:ind w:firstLine="640"/>
        <w:textAlignment w:val="auto"/>
        <w:outlineLvl w:val="2"/>
        <w:rPr>
          <w:rFonts w:hint="default" w:ascii="Times New Roman" w:hAnsi="Times New Roman" w:eastAsia="仿宋" w:cs="Times New Roman"/>
          <w:b/>
          <w:sz w:val="32"/>
          <w:szCs w:val="32"/>
        </w:rPr>
      </w:pPr>
      <w:bookmarkStart w:id="61" w:name="_Toc15377217"/>
      <w:bookmarkStart w:id="62" w:name="_Toc24895"/>
      <w:r>
        <w:rPr>
          <w:rFonts w:hint="default" w:ascii="Times New Roman" w:hAnsi="Times New Roman" w:eastAsia="仿宋" w:cs="Times New Roman"/>
          <w:b/>
          <w:sz w:val="32"/>
          <w:szCs w:val="32"/>
        </w:rPr>
        <w:t>（二）“三公”经费财政拨款支出决算具体情况说明</w:t>
      </w:r>
      <w:bookmarkEnd w:id="61"/>
      <w:bookmarkEnd w:id="62"/>
    </w:p>
    <w:p>
      <w:pPr>
        <w:wordWrap/>
        <w:snapToGrid/>
        <w:spacing w:line="56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sz w:val="32"/>
          <w:szCs w:val="32"/>
        </w:rPr>
        <w:t>2023年度“三公”经费财政拨款支出决算中，因公出国（境）费支出决算0万元，占0%；公务用车购置及运行维护费支出决算0万元，占0%；公务接待费支出决算0.05万元，占100%。具体情况如下：</w:t>
      </w:r>
    </w:p>
    <w:p>
      <w:pPr>
        <w:pStyle w:val="2"/>
        <w:wordWrap/>
        <w:snapToGrid/>
        <w:spacing w:line="560" w:lineRule="exact"/>
        <w:textAlignment w:val="auto"/>
        <w:rPr>
          <w:rFonts w:hint="default" w:ascii="Times New Roman" w:hAnsi="Times New Roman" w:cs="Times New Roman"/>
        </w:rPr>
      </w:pPr>
      <w:r>
        <w:rPr>
          <w:rFonts w:hint="default" w:ascii="Times New Roman" w:hAnsi="Times New Roman" w:eastAsia="宋体" w:cs="Times New Roman"/>
          <w:b/>
          <w:kern w:val="2"/>
          <w:sz w:val="21"/>
          <w:szCs w:val="24"/>
          <w:lang w:val="en-US" w:eastAsia="zh-CN" w:bidi="ar-SA"/>
        </w:rPr>
        <w:pict>
          <v:shape id="_x0000_s1034" type="#_x0000_t75" style="position:absolute;left:0;margin-left:156.3pt;margin-top:361.3pt;height:144pt;width:213.75pt;mso-position-horizontal-relative:page;mso-position-vertical-relative:page;mso-wrap-distance-bottom:0pt;mso-wrap-distance-left:9pt;mso-wrap-distance-right:9pt;mso-wrap-distance-top:0pt;rotation:0f;z-index:251664384;" o:ole="t" fillcolor="#FFFFFF" filled="f" o:preferrelative="t" stroked="f" coordorigin="0,0" coordsize="21600,21600">
            <v:fill on="f" color2="#FFFFFF" focus="0%"/>
            <v:imagedata gain="65536f" blacklevel="0f" gamma="0" o:title="" r:id="rId21"/>
            <o:lock v:ext="edit" position="f" selection="f" grouping="f" rotation="f" cropping="f" text="f" aspectratio="t"/>
            <w10:wrap type="square"/>
          </v:shape>
          <o:OLEObject Type="Embed" ProgID="MSGraph.Chart.8" ShapeID="_x0000_s1034" DrawAspect="Content" ObjectID="_1033" r:id="rId20"/>
        </w:pict>
      </w:r>
    </w:p>
    <w:p>
      <w:pPr>
        <w:wordWrap/>
        <w:snapToGrid/>
        <w:spacing w:line="560" w:lineRule="exact"/>
        <w:ind w:firstLine="640"/>
        <w:textAlignment w:val="auto"/>
        <w:rPr>
          <w:rFonts w:hint="default" w:ascii="Times New Roman" w:hAnsi="Times New Roman" w:eastAsia="仿宋" w:cs="Times New Roman"/>
          <w:sz w:val="32"/>
          <w:szCs w:val="32"/>
        </w:rPr>
      </w:pPr>
    </w:p>
    <w:p>
      <w:pPr>
        <w:wordWrap/>
        <w:snapToGrid/>
        <w:spacing w:line="560" w:lineRule="exact"/>
        <w:ind w:firstLine="640"/>
        <w:textAlignment w:val="auto"/>
        <w:rPr>
          <w:rFonts w:hint="default" w:ascii="Times New Roman" w:hAnsi="Times New Roman" w:eastAsia="仿宋" w:cs="Times New Roman"/>
          <w:sz w:val="32"/>
          <w:szCs w:val="32"/>
        </w:rPr>
      </w:pPr>
    </w:p>
    <w:p>
      <w:pPr>
        <w:wordWrap/>
        <w:snapToGrid/>
        <w:spacing w:line="560" w:lineRule="exact"/>
        <w:ind w:firstLine="640"/>
        <w:textAlignment w:val="auto"/>
        <w:rPr>
          <w:rFonts w:hint="default" w:ascii="Times New Roman" w:hAnsi="Times New Roman" w:eastAsia="仿宋" w:cs="Times New Roman"/>
          <w:sz w:val="32"/>
          <w:szCs w:val="32"/>
        </w:rPr>
      </w:pPr>
    </w:p>
    <w:p>
      <w:pPr>
        <w:wordWrap/>
        <w:snapToGrid/>
        <w:spacing w:line="560" w:lineRule="exact"/>
        <w:ind w:firstLine="640"/>
        <w:textAlignment w:val="auto"/>
        <w:rPr>
          <w:rFonts w:hint="default" w:ascii="Times New Roman" w:hAnsi="Times New Roman" w:eastAsia="仿宋" w:cs="Times New Roman"/>
          <w:sz w:val="32"/>
          <w:szCs w:val="32"/>
        </w:rPr>
      </w:pPr>
    </w:p>
    <w:p>
      <w:pPr>
        <w:wordWrap/>
        <w:snapToGrid/>
        <w:spacing w:line="560" w:lineRule="exact"/>
        <w:ind w:firstLine="640"/>
        <w:textAlignment w:val="auto"/>
        <w:rPr>
          <w:rFonts w:hint="default" w:ascii="Times New Roman" w:hAnsi="Times New Roman" w:eastAsia="仿宋" w:cs="Times New Roman"/>
          <w:sz w:val="32"/>
          <w:szCs w:val="32"/>
        </w:rPr>
      </w:pPr>
    </w:p>
    <w:p>
      <w:pPr>
        <w:wordWrap/>
        <w:snapToGrid/>
        <w:spacing w:line="56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（图7：“三公”经费财政拨款支出结构）（饼状图）</w:t>
      </w:r>
    </w:p>
    <w:p>
      <w:pPr>
        <w:wordWrap/>
        <w:snapToGrid/>
        <w:spacing w:line="560" w:lineRule="exact"/>
        <w:ind w:firstLine="640"/>
        <w:textAlignment w:val="auto"/>
        <w:rPr>
          <w:rFonts w:hint="default" w:ascii="Times New Roman" w:hAnsi="Times New Roman" w:eastAsia="仿宋_GB2312" w:cs="Times New Roman"/>
          <w:b w:val="0"/>
          <w:bCs/>
          <w:sz w:val="32"/>
          <w:szCs w:val="32"/>
        </w:rPr>
      </w:pPr>
      <w:bookmarkStart w:id="63" w:name="_Toc15377218"/>
      <w:bookmarkStart w:id="64" w:name="_Toc15396610"/>
      <w:r>
        <w:rPr>
          <w:rFonts w:hint="default" w:ascii="Times New Roman" w:hAnsi="Times New Roman" w:eastAsia="仿宋_GB2312" w:cs="Times New Roman"/>
          <w:b w:val="0"/>
          <w:bCs/>
          <w:sz w:val="32"/>
          <w:szCs w:val="32"/>
        </w:rPr>
        <w:t>1.因公出国（境）经费支出</w:t>
      </w:r>
      <w:r>
        <w:rPr>
          <w:rFonts w:hint="default" w:ascii="Times New Roman" w:hAnsi="Times New Roman" w:eastAsia="仿宋" w:cs="Times New Roman"/>
          <w:b w:val="0"/>
          <w:bCs/>
          <w:sz w:val="32"/>
          <w:szCs w:val="32"/>
        </w:rPr>
        <w:t>0</w:t>
      </w:r>
      <w:r>
        <w:rPr>
          <w:rFonts w:hint="default" w:ascii="Times New Roman" w:hAnsi="Times New Roman" w:eastAsia="仿宋_GB2312" w:cs="Times New Roman"/>
          <w:b w:val="0"/>
          <w:bCs/>
          <w:sz w:val="32"/>
          <w:szCs w:val="32"/>
        </w:rPr>
        <w:t>万元，</w:t>
      </w:r>
      <w:r>
        <w:rPr>
          <w:rStyle w:val="16"/>
          <w:rFonts w:hint="default" w:ascii="Times New Roman" w:hAnsi="Times New Roman" w:eastAsia="仿宋" w:cs="Times New Roman"/>
          <w:b w:val="0"/>
          <w:bCs/>
          <w:sz w:val="32"/>
          <w:szCs w:val="32"/>
        </w:rPr>
        <w:t>完成预算0%。</w:t>
      </w:r>
      <w:r>
        <w:rPr>
          <w:rFonts w:hint="default" w:ascii="Times New Roman" w:hAnsi="Times New Roman" w:eastAsia="仿宋_GB2312" w:cs="Times New Roman"/>
          <w:b w:val="0"/>
          <w:bCs/>
          <w:sz w:val="32"/>
          <w:szCs w:val="32"/>
        </w:rPr>
        <w:t>全年安排因公出国（境）团组0次，出国（境）0人。因公出国（境）支出决算与2022年持平，无增减变动。主要原因是2023年无因公出国（境）任务安排，无出国（境）团组人次，无出国（境）拨款支出。</w:t>
      </w:r>
    </w:p>
    <w:p>
      <w:pPr>
        <w:pStyle w:val="22"/>
        <w:wordWrap/>
        <w:snapToGrid/>
        <w:spacing w:line="560" w:lineRule="exact"/>
        <w:ind w:firstLine="643"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2.公务用车购置及运行维护费支出0万元,完成预算0%。公务用车购置及运行维护费支出决算与2022年持平。主要原因是我中心未保留公务用车，未产生公务用车运行维护费用支出。</w:t>
      </w:r>
    </w:p>
    <w:p>
      <w:pPr>
        <w:wordWrap/>
        <w:snapToGrid/>
        <w:spacing w:line="560" w:lineRule="exact"/>
        <w:ind w:firstLine="64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3.公务接待费支出0.05万元，完成预算100%。公务接待费支出决算比2022年度减少0.03万元，下降37.5%。主要原因是节约使用公用经费。其中：</w:t>
      </w:r>
    </w:p>
    <w:p>
      <w:pPr>
        <w:wordWrap/>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kern w:val="2"/>
          <w:sz w:val="32"/>
          <w:szCs w:val="32"/>
          <w:lang w:val="en-US" w:eastAsia="zh-CN" w:bidi="ar-SA"/>
        </w:rPr>
        <w:t>国内公务接待支出0.05万元，主</w:t>
      </w:r>
      <w:r>
        <w:rPr>
          <w:rFonts w:hint="default" w:ascii="Times New Roman" w:hAnsi="Times New Roman" w:eastAsia="仿宋_GB2312" w:cs="Times New Roman"/>
          <w:sz w:val="32"/>
          <w:szCs w:val="32"/>
        </w:rPr>
        <w:t>要用于米易县来我县开展风险防控交叉检查工作开支的用餐费。国内公务接待1批次，5人次（不包括陪同人员），共计支出0.05万元，具体内容包括：米易县来我县开展风险防控交叉检查工作开支的用餐费0.05万元。</w:t>
      </w:r>
    </w:p>
    <w:p>
      <w:pPr>
        <w:wordWrap/>
        <w:snapToGrid/>
        <w:spacing w:line="560" w:lineRule="exact"/>
        <w:ind w:firstLine="640"/>
        <w:textAlignment w:val="auto"/>
        <w:outlineLvl w:val="1"/>
        <w:rPr>
          <w:rStyle w:val="30"/>
          <w:rFonts w:hint="default" w:ascii="Times New Roman" w:hAnsi="Times New Roman" w:eastAsia="黑体" w:cs="Times New Roman"/>
        </w:rPr>
      </w:pPr>
      <w:bookmarkStart w:id="65" w:name="_Toc22161"/>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rPr>
        <w:t>政府性基金预算支出决算情况说明</w:t>
      </w:r>
      <w:bookmarkEnd w:id="63"/>
      <w:bookmarkEnd w:id="64"/>
      <w:bookmarkEnd w:id="65"/>
    </w:p>
    <w:p>
      <w:pPr>
        <w:wordWrap/>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2023年度政府性基金预算财政拨款支出</w:t>
      </w:r>
      <w:r>
        <w:rPr>
          <w:rFonts w:hint="default" w:ascii="Times New Roman" w:hAnsi="Times New Roman" w:eastAsia="仿宋" w:cs="Times New Roman"/>
          <w:b w:val="0"/>
          <w:bCs/>
          <w:sz w:val="32"/>
          <w:szCs w:val="32"/>
        </w:rPr>
        <w:t>0</w:t>
      </w:r>
      <w:r>
        <w:rPr>
          <w:rFonts w:hint="default" w:ascii="Times New Roman" w:hAnsi="Times New Roman" w:eastAsia="仿宋_GB2312" w:cs="Times New Roman"/>
          <w:sz w:val="32"/>
          <w:szCs w:val="32"/>
        </w:rPr>
        <w:t>万元。</w:t>
      </w:r>
    </w:p>
    <w:p>
      <w:pPr>
        <w:numPr>
          <w:ilvl w:val="0"/>
          <w:numId w:val="3"/>
        </w:numPr>
        <w:wordWrap/>
        <w:snapToGrid/>
        <w:spacing w:line="560" w:lineRule="exact"/>
        <w:ind w:firstLine="640"/>
        <w:textAlignment w:val="auto"/>
        <w:outlineLvl w:val="1"/>
        <w:rPr>
          <w:rStyle w:val="30"/>
          <w:rFonts w:hint="default" w:ascii="Times New Roman" w:hAnsi="Times New Roman" w:eastAsia="黑体" w:cs="Times New Roman"/>
          <w:b w:val="0"/>
        </w:rPr>
      </w:pPr>
      <w:bookmarkStart w:id="66" w:name="_Toc15396611"/>
      <w:bookmarkStart w:id="67" w:name="_Toc7562"/>
      <w:bookmarkStart w:id="68" w:name="_Toc15377219"/>
      <w:r>
        <w:rPr>
          <w:rStyle w:val="30"/>
          <w:rFonts w:hint="default" w:ascii="Times New Roman" w:hAnsi="Times New Roman" w:eastAsia="黑体" w:cs="Times New Roman"/>
          <w:b w:val="0"/>
        </w:rPr>
        <w:t>国有资本经营预算支出决算情况说明</w:t>
      </w:r>
      <w:bookmarkEnd w:id="66"/>
      <w:bookmarkEnd w:id="67"/>
      <w:bookmarkEnd w:id="68"/>
      <w:bookmarkStart w:id="114" w:name="_GoBack"/>
      <w:bookmarkEnd w:id="114"/>
    </w:p>
    <w:p>
      <w:pPr>
        <w:wordWrap/>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2023年度国有资本经营预算财政拨款支出</w:t>
      </w:r>
      <w:r>
        <w:rPr>
          <w:rFonts w:hint="default" w:ascii="Times New Roman" w:hAnsi="Times New Roman" w:eastAsia="仿宋" w:cs="Times New Roman"/>
          <w:b w:val="0"/>
          <w:bCs/>
          <w:sz w:val="32"/>
          <w:szCs w:val="32"/>
        </w:rPr>
        <w:t>0</w:t>
      </w:r>
      <w:r>
        <w:rPr>
          <w:rFonts w:hint="default" w:ascii="Times New Roman" w:hAnsi="Times New Roman" w:eastAsia="仿宋_GB2312" w:cs="Times New Roman"/>
          <w:sz w:val="32"/>
          <w:szCs w:val="32"/>
        </w:rPr>
        <w:t>万元。</w:t>
      </w:r>
    </w:p>
    <w:p>
      <w:pPr>
        <w:numPr>
          <w:ilvl w:val="0"/>
          <w:numId w:val="3"/>
        </w:numPr>
        <w:wordWrap/>
        <w:snapToGrid/>
        <w:spacing w:line="560" w:lineRule="exact"/>
        <w:ind w:firstLine="640"/>
        <w:textAlignment w:val="auto"/>
        <w:outlineLvl w:val="1"/>
        <w:rPr>
          <w:rStyle w:val="30"/>
          <w:rFonts w:hint="default" w:ascii="Times New Roman" w:hAnsi="Times New Roman" w:eastAsia="黑体" w:cs="Times New Roman"/>
          <w:b w:val="0"/>
        </w:rPr>
      </w:pPr>
      <w:bookmarkStart w:id="69" w:name="_Toc15377221"/>
      <w:bookmarkStart w:id="70" w:name="_Toc15396612"/>
      <w:bookmarkStart w:id="71" w:name="_Toc31110"/>
      <w:r>
        <w:rPr>
          <w:rStyle w:val="30"/>
          <w:rFonts w:hint="default" w:ascii="Times New Roman" w:hAnsi="Times New Roman" w:eastAsia="黑体" w:cs="Times New Roman"/>
          <w:b w:val="0"/>
        </w:rPr>
        <w:t>其他重要事项的情况说明</w:t>
      </w:r>
      <w:bookmarkEnd w:id="69"/>
      <w:bookmarkEnd w:id="70"/>
      <w:bookmarkEnd w:id="71"/>
    </w:p>
    <w:p>
      <w:pPr>
        <w:wordWrap/>
        <w:snapToGrid/>
        <w:spacing w:line="560" w:lineRule="exact"/>
        <w:ind w:firstLine="643" w:firstLineChars="200"/>
        <w:textAlignment w:val="auto"/>
        <w:outlineLvl w:val="2"/>
        <w:rPr>
          <w:rFonts w:hint="default" w:ascii="Times New Roman" w:hAnsi="Times New Roman" w:eastAsia="仿宋" w:cs="Times New Roman"/>
          <w:sz w:val="32"/>
          <w:szCs w:val="32"/>
        </w:rPr>
      </w:pPr>
      <w:bookmarkStart w:id="72" w:name="_Toc15377222"/>
      <w:bookmarkStart w:id="73" w:name="_Toc8651"/>
      <w:r>
        <w:rPr>
          <w:rFonts w:hint="default" w:ascii="Times New Roman" w:hAnsi="Times New Roman" w:eastAsia="仿宋" w:cs="Times New Roman"/>
          <w:b/>
          <w:sz w:val="32"/>
          <w:szCs w:val="32"/>
        </w:rPr>
        <w:t>（一）机关运行经费支出情况</w:t>
      </w:r>
      <w:bookmarkEnd w:id="72"/>
      <w:bookmarkEnd w:id="73"/>
    </w:p>
    <w:p>
      <w:pPr>
        <w:wordWrap/>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2023年度，盐边县就业创业促进中心机关运行经费支出</w:t>
      </w:r>
      <w:r>
        <w:rPr>
          <w:rFonts w:hint="default" w:ascii="Times New Roman" w:hAnsi="Times New Roman" w:eastAsia="仿宋" w:cs="Times New Roman"/>
          <w:b w:val="0"/>
          <w:bCs w:val="0"/>
          <w:sz w:val="32"/>
          <w:szCs w:val="32"/>
        </w:rPr>
        <w:t>6.65</w:t>
      </w:r>
      <w:r>
        <w:rPr>
          <w:rFonts w:hint="default" w:ascii="Times New Roman" w:hAnsi="Times New Roman" w:eastAsia="仿宋_GB2312" w:cs="Times New Roman"/>
          <w:b w:val="0"/>
          <w:bCs w:val="0"/>
          <w:sz w:val="32"/>
          <w:szCs w:val="32"/>
        </w:rPr>
        <w:t>万元，比2022年度（2022年度为9.74万元）减少3.09万元，下降31.72%。主要原因是2023年度节约使用公用经费。</w:t>
      </w:r>
    </w:p>
    <w:p>
      <w:pPr>
        <w:wordWrap/>
        <w:autoSpaceDE w:val="0"/>
        <w:autoSpaceDN w:val="0"/>
        <w:adjustRightInd w:val="0"/>
        <w:snapToGrid/>
        <w:spacing w:line="560" w:lineRule="exact"/>
        <w:ind w:firstLine="643" w:firstLineChars="200"/>
        <w:jc w:val="left"/>
        <w:textAlignment w:val="auto"/>
        <w:outlineLvl w:val="2"/>
        <w:rPr>
          <w:rFonts w:hint="default" w:ascii="Times New Roman" w:hAnsi="Times New Roman" w:eastAsia="仿宋" w:cs="Times New Roman"/>
          <w:b/>
          <w:sz w:val="32"/>
          <w:szCs w:val="32"/>
        </w:rPr>
      </w:pPr>
      <w:bookmarkStart w:id="74" w:name="_Toc18300"/>
      <w:bookmarkStart w:id="75" w:name="_Toc15377223"/>
      <w:r>
        <w:rPr>
          <w:rFonts w:hint="default" w:ascii="Times New Roman" w:hAnsi="Times New Roman" w:eastAsia="仿宋" w:cs="Times New Roman"/>
          <w:b/>
          <w:sz w:val="32"/>
          <w:szCs w:val="32"/>
        </w:rPr>
        <w:t>（二）政府采购支出情况</w:t>
      </w:r>
      <w:bookmarkEnd w:id="74"/>
      <w:bookmarkEnd w:id="75"/>
    </w:p>
    <w:p>
      <w:pPr>
        <w:wordWrap/>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2023年度，盐边县就业创业促进中心政府采购支出总额</w:t>
      </w:r>
      <w:r>
        <w:rPr>
          <w:rFonts w:hint="default" w:ascii="Times New Roman" w:hAnsi="Times New Roman" w:eastAsia="仿宋" w:cs="Times New Roman"/>
          <w:b w:val="0"/>
          <w:bCs w:val="0"/>
          <w:sz w:val="32"/>
          <w:szCs w:val="32"/>
        </w:rPr>
        <w:t>6.48</w:t>
      </w:r>
      <w:r>
        <w:rPr>
          <w:rFonts w:hint="default" w:ascii="Times New Roman" w:hAnsi="Times New Roman" w:eastAsia="仿宋_GB2312" w:cs="Times New Roman"/>
          <w:b w:val="0"/>
          <w:bCs w:val="0"/>
          <w:sz w:val="32"/>
          <w:szCs w:val="32"/>
        </w:rPr>
        <w:t>万元，其中：政府采购货物支出</w:t>
      </w:r>
      <w:r>
        <w:rPr>
          <w:rFonts w:hint="default" w:ascii="Times New Roman" w:hAnsi="Times New Roman" w:eastAsia="仿宋" w:cs="Times New Roman"/>
          <w:b w:val="0"/>
          <w:bCs w:val="0"/>
          <w:sz w:val="32"/>
          <w:szCs w:val="32"/>
        </w:rPr>
        <w:t>6.48</w:t>
      </w:r>
      <w:r>
        <w:rPr>
          <w:rFonts w:hint="default" w:ascii="Times New Roman" w:hAnsi="Times New Roman" w:eastAsia="仿宋_GB2312" w:cs="Times New Roman"/>
          <w:b w:val="0"/>
          <w:bCs w:val="0"/>
          <w:sz w:val="32"/>
          <w:szCs w:val="32"/>
        </w:rPr>
        <w:t>万元。主要用于采购办公用电脑13台。授予中小企业合同金额</w:t>
      </w:r>
      <w:r>
        <w:rPr>
          <w:rFonts w:hint="default" w:ascii="Times New Roman" w:hAnsi="Times New Roman" w:eastAsia="仿宋" w:cs="Times New Roman"/>
          <w:b w:val="0"/>
          <w:bCs w:val="0"/>
          <w:sz w:val="32"/>
          <w:szCs w:val="32"/>
        </w:rPr>
        <w:t>6.48</w:t>
      </w:r>
      <w:r>
        <w:rPr>
          <w:rFonts w:hint="default" w:ascii="Times New Roman" w:hAnsi="Times New Roman" w:eastAsia="仿宋_GB2312" w:cs="Times New Roman"/>
          <w:b w:val="0"/>
          <w:bCs w:val="0"/>
          <w:sz w:val="32"/>
          <w:szCs w:val="32"/>
        </w:rPr>
        <w:t>万元，占政府采购支出总额的100%，其中：授予小微企业合同金额</w:t>
      </w:r>
      <w:r>
        <w:rPr>
          <w:rFonts w:hint="default" w:ascii="Times New Roman" w:hAnsi="Times New Roman" w:eastAsia="仿宋" w:cs="Times New Roman"/>
          <w:b w:val="0"/>
          <w:bCs w:val="0"/>
          <w:sz w:val="32"/>
          <w:szCs w:val="32"/>
        </w:rPr>
        <w:t>6.48</w:t>
      </w:r>
      <w:r>
        <w:rPr>
          <w:rFonts w:hint="default" w:ascii="Times New Roman" w:hAnsi="Times New Roman" w:eastAsia="仿宋_GB2312" w:cs="Times New Roman"/>
          <w:b w:val="0"/>
          <w:bCs w:val="0"/>
          <w:sz w:val="32"/>
          <w:szCs w:val="32"/>
        </w:rPr>
        <w:t>万元，占政府采购支出总额的100%。</w:t>
      </w:r>
    </w:p>
    <w:p>
      <w:pPr>
        <w:wordWrap/>
        <w:autoSpaceDE w:val="0"/>
        <w:autoSpaceDN w:val="0"/>
        <w:adjustRightInd w:val="0"/>
        <w:snapToGrid/>
        <w:spacing w:line="560" w:lineRule="exact"/>
        <w:ind w:firstLine="643" w:firstLineChars="200"/>
        <w:jc w:val="left"/>
        <w:textAlignment w:val="auto"/>
        <w:outlineLvl w:val="2"/>
        <w:rPr>
          <w:rFonts w:hint="default" w:ascii="Times New Roman" w:hAnsi="Times New Roman" w:eastAsia="仿宋" w:cs="Times New Roman"/>
          <w:b/>
          <w:sz w:val="32"/>
          <w:szCs w:val="32"/>
        </w:rPr>
      </w:pPr>
      <w:bookmarkStart w:id="76" w:name="_Toc15377224"/>
      <w:bookmarkStart w:id="77" w:name="_Toc16731"/>
      <w:r>
        <w:rPr>
          <w:rFonts w:hint="default" w:ascii="Times New Roman" w:hAnsi="Times New Roman" w:eastAsia="仿宋" w:cs="Times New Roman"/>
          <w:b/>
          <w:sz w:val="32"/>
          <w:szCs w:val="32"/>
        </w:rPr>
        <w:t>（三）国有资产占有使用情况</w:t>
      </w:r>
      <w:bookmarkEnd w:id="76"/>
      <w:bookmarkEnd w:id="77"/>
    </w:p>
    <w:p>
      <w:pPr>
        <w:wordWrap/>
        <w:autoSpaceDE w:val="0"/>
        <w:autoSpaceDN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截至2023年12月31日，我中心未保留公务用车。单价50万元以上通用设备0台（套），单价100万元以上专用设备0台（套）。</w:t>
      </w:r>
    </w:p>
    <w:p>
      <w:pPr>
        <w:wordWrap/>
        <w:autoSpaceDE w:val="0"/>
        <w:autoSpaceDN w:val="0"/>
        <w:adjustRightInd w:val="0"/>
        <w:snapToGrid/>
        <w:spacing w:line="560" w:lineRule="exact"/>
        <w:ind w:firstLine="643" w:firstLineChars="200"/>
        <w:jc w:val="left"/>
        <w:textAlignment w:val="auto"/>
        <w:outlineLvl w:val="2"/>
        <w:rPr>
          <w:rFonts w:hint="default" w:ascii="Times New Roman" w:hAnsi="Times New Roman" w:eastAsia="仿宋" w:cs="Times New Roman"/>
          <w:b/>
          <w:sz w:val="32"/>
          <w:szCs w:val="32"/>
        </w:rPr>
      </w:pPr>
      <w:bookmarkStart w:id="78" w:name="_Toc32660"/>
      <w:r>
        <w:rPr>
          <w:rFonts w:hint="default" w:ascii="Times New Roman" w:hAnsi="Times New Roman" w:eastAsia="仿宋" w:cs="Times New Roman"/>
          <w:b/>
          <w:sz w:val="32"/>
          <w:szCs w:val="32"/>
        </w:rPr>
        <w:t>（四）预算绩效管理情况</w:t>
      </w:r>
      <w:bookmarkEnd w:id="78"/>
    </w:p>
    <w:p>
      <w:pPr>
        <w:wordWrap/>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2023年度预算编制阶段，组织对就业创业补助资金项目1个项目开展了预算事前绩效评估，对该项目编制了绩效目标，预算执行过程中，对该项目开展绩效监控，组织对该项目开展绩效自评，绩效自评表详见第四部分附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numPr>
          <w:ilvl w:val="0"/>
          <w:numId w:val="4"/>
        </w:numPr>
        <w:spacing w:line="600" w:lineRule="exact"/>
        <w:ind w:firstLine="660" w:firstLineChars="150"/>
        <w:jc w:val="center"/>
        <w:outlineLvl w:val="0"/>
        <w:rPr>
          <w:rStyle w:val="29"/>
          <w:rFonts w:hint="default" w:ascii="Times New Roman" w:hAnsi="Times New Roman" w:eastAsia="黑体" w:cs="Times New Roman"/>
          <w:b w:val="0"/>
        </w:rPr>
      </w:pPr>
      <w:bookmarkStart w:id="79" w:name="_Toc15194"/>
      <w:bookmarkStart w:id="80" w:name="_Toc15396613"/>
      <w:bookmarkStart w:id="81" w:name="_Toc15377225"/>
      <w:r>
        <w:rPr>
          <w:rFonts w:hint="default" w:ascii="Times New Roman" w:hAnsi="Times New Roman" w:eastAsia="黑体" w:cs="Times New Roman"/>
          <w:sz w:val="44"/>
          <w:szCs w:val="44"/>
        </w:rPr>
        <w:t>名</w:t>
      </w:r>
      <w:r>
        <w:rPr>
          <w:rStyle w:val="29"/>
          <w:rFonts w:hint="default" w:ascii="Times New Roman" w:hAnsi="Times New Roman" w:eastAsia="黑体" w:cs="Times New Roman"/>
          <w:b w:val="0"/>
        </w:rPr>
        <w:t>词解释</w:t>
      </w:r>
      <w:bookmarkEnd w:id="79"/>
      <w:bookmarkEnd w:id="80"/>
      <w:bookmarkEnd w:id="81"/>
    </w:p>
    <w:p>
      <w:pPr>
        <w:spacing w:line="600" w:lineRule="exact"/>
        <w:jc w:val="left"/>
        <w:rPr>
          <w:rFonts w:hint="default" w:ascii="Times New Roman" w:hAnsi="Times New Roman" w:cs="Times New Roman"/>
          <w:b/>
          <w:sz w:val="44"/>
          <w:szCs w:val="44"/>
        </w:rPr>
      </w:pP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2.事业收入：指事业单位开展专业业务活动及辅助活动取得的收入。如二级预算单位事业收入情况等。</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3.经营收入：指事业单位在专业业务活动及其辅助活动之外开展非独立核算经营活动取得的收入。如二级预算单位经营收入情况等。</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4.其他收入：指单位取得的除上述收入以外的各项收入。 </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sz w:val="32"/>
          <w:szCs w:val="32"/>
        </w:rPr>
        <w:t>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8.年末结转和结余：指单位按有关规定结转到下年或以后年度继续使用的资金。</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9.社会保障和就业支出（类）人力资源和社会保障管理事务（款）行政运行（项）：指行政单位（包括实行公务员管理的事业单位）的基本支出。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10.社会保障和就业支出（类）行政事业单位养老支出（款）行政单位离退休（项）：指行政单位（包括实行公务员管理的事业单位）开支的离退休经费。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11.社会保障和就业支出（类）行政事业单位养老支出（款）机关事业单位基本养老保险缴费支出（项）：指机关事业单位实施养老保险制度由单位缴纳的基本养老保险费支出。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12.社会保障和就业支出（类）行政事业单位养老支出（款）机关事业单位职业年金缴费支出（项）：指机关事业单位实施养老保险制度由单位实际缴纳的职业年金支出。</w:t>
      </w:r>
    </w:p>
    <w:p>
      <w:pPr>
        <w:spacing w:line="600" w:lineRule="exact"/>
        <w:ind w:firstLine="640" w:firstLineChars="200"/>
        <w:rPr>
          <w:rFonts w:hint="default" w:ascii="Times New Roman" w:hAnsi="Times New Roman" w:eastAsia="仿宋" w:cs="Times New Roman"/>
          <w:b/>
          <w:sz w:val="32"/>
          <w:szCs w:val="32"/>
        </w:rPr>
      </w:pPr>
      <w:r>
        <w:rPr>
          <w:rFonts w:hint="default" w:ascii="Times New Roman" w:hAnsi="Times New Roman" w:eastAsia="仿宋_GB2312" w:cs="Times New Roman"/>
          <w:kern w:val="0"/>
          <w:sz w:val="32"/>
          <w:szCs w:val="32"/>
        </w:rPr>
        <w:t>13.社会保障和就业支出（类）就业补助（款）就业创业服务补贴（项）:</w:t>
      </w:r>
      <w:r>
        <w:rPr>
          <w:rStyle w:val="16"/>
          <w:rFonts w:hint="default" w:ascii="Times New Roman" w:hAnsi="Times New Roman" w:eastAsia="仿宋" w:cs="Times New Roman"/>
          <w:b w:val="0"/>
          <w:bCs/>
          <w:sz w:val="32"/>
          <w:szCs w:val="32"/>
        </w:rPr>
        <w:t xml:space="preserve"> </w:t>
      </w:r>
      <w:r>
        <w:rPr>
          <w:rFonts w:hint="default" w:ascii="Times New Roman" w:hAnsi="Times New Roman" w:eastAsia="仿宋_GB2312" w:cs="Times New Roman"/>
          <w:kern w:val="0"/>
          <w:sz w:val="32"/>
          <w:szCs w:val="32"/>
        </w:rPr>
        <w:t>指财政用于支持加强公共就业服务机构提升创业服务能力和向社会力量购买就业创业服务成果的补助支出</w:t>
      </w:r>
      <w:r>
        <w:rPr>
          <w:rStyle w:val="16"/>
          <w:rFonts w:hint="default" w:ascii="Times New Roman" w:hAnsi="Times New Roman" w:eastAsia="仿宋" w:cs="Times New Roman"/>
          <w:b w:val="0"/>
          <w:bCs/>
          <w:sz w:val="32"/>
          <w:szCs w:val="32"/>
        </w:rPr>
        <w:t>。</w:t>
      </w:r>
    </w:p>
    <w:p>
      <w:pPr>
        <w:spacing w:line="600" w:lineRule="exact"/>
        <w:ind w:firstLine="640" w:firstLineChars="200"/>
        <w:rPr>
          <w:rStyle w:val="16"/>
          <w:rFonts w:hint="default" w:ascii="Times New Roman" w:hAnsi="Times New Roman" w:eastAsia="仿宋" w:cs="Times New Roman"/>
          <w:b w:val="0"/>
          <w:bCs/>
          <w:sz w:val="32"/>
          <w:szCs w:val="32"/>
        </w:rPr>
      </w:pPr>
      <w:r>
        <w:rPr>
          <w:rFonts w:hint="default" w:ascii="Times New Roman" w:hAnsi="Times New Roman" w:eastAsia="仿宋_GB2312" w:cs="Times New Roman"/>
          <w:kern w:val="0"/>
          <w:sz w:val="32"/>
          <w:szCs w:val="32"/>
        </w:rPr>
        <w:t>14.社会保障和就业支出（类）就业补助（款）职业培训补贴（项）:指财政用于落实相关职业培训政策方面的补贴支出</w:t>
      </w:r>
      <w:r>
        <w:rPr>
          <w:rStyle w:val="16"/>
          <w:rFonts w:hint="default" w:ascii="Times New Roman" w:hAnsi="Times New Roman" w:eastAsia="仿宋" w:cs="Times New Roman"/>
          <w:b w:val="0"/>
          <w:bCs/>
          <w:sz w:val="32"/>
          <w:szCs w:val="32"/>
        </w:rPr>
        <w:t>。</w:t>
      </w:r>
    </w:p>
    <w:p>
      <w:pPr>
        <w:spacing w:line="600" w:lineRule="exact"/>
        <w:ind w:firstLine="640" w:firstLineChars="200"/>
        <w:rPr>
          <w:rStyle w:val="16"/>
          <w:rFonts w:hint="default" w:ascii="Times New Roman" w:hAnsi="Times New Roman" w:eastAsia="仿宋" w:cs="Times New Roman"/>
          <w:b w:val="0"/>
          <w:bCs/>
          <w:sz w:val="32"/>
          <w:szCs w:val="32"/>
        </w:rPr>
      </w:pPr>
      <w:r>
        <w:rPr>
          <w:rFonts w:hint="default" w:ascii="Times New Roman" w:hAnsi="Times New Roman" w:eastAsia="仿宋_GB2312" w:cs="Times New Roman"/>
          <w:kern w:val="0"/>
          <w:sz w:val="32"/>
          <w:szCs w:val="32"/>
        </w:rPr>
        <w:t>15.社会保障和就业支出（类）就业补助（款）公益性岗位补贴（项）:指财政对符合条件的就业困难人员在公益性岗位就业给予的岗位补贴支出</w:t>
      </w:r>
      <w:r>
        <w:rPr>
          <w:rStyle w:val="16"/>
          <w:rFonts w:hint="default" w:ascii="Times New Roman" w:hAnsi="Times New Roman" w:eastAsia="仿宋" w:cs="Times New Roman"/>
          <w:b w:val="0"/>
          <w:bCs/>
          <w:sz w:val="32"/>
          <w:szCs w:val="32"/>
        </w:rPr>
        <w:t>。</w:t>
      </w:r>
    </w:p>
    <w:p>
      <w:pPr>
        <w:spacing w:line="600" w:lineRule="exact"/>
        <w:ind w:firstLine="640" w:firstLineChars="200"/>
        <w:rPr>
          <w:rStyle w:val="16"/>
          <w:rFonts w:hint="default" w:ascii="Times New Roman" w:hAnsi="Times New Roman" w:eastAsia="仿宋" w:cs="Times New Roman"/>
          <w:b w:val="0"/>
          <w:bCs/>
          <w:sz w:val="32"/>
          <w:szCs w:val="32"/>
        </w:rPr>
      </w:pPr>
      <w:r>
        <w:rPr>
          <w:rFonts w:hint="default" w:ascii="Times New Roman" w:hAnsi="Times New Roman" w:eastAsia="仿宋_GB2312" w:cs="Times New Roman"/>
          <w:kern w:val="0"/>
          <w:sz w:val="32"/>
          <w:szCs w:val="32"/>
        </w:rPr>
        <w:t>16.社会保障和就业支出（类）就业补助（款）就业见习补贴（项）:</w:t>
      </w:r>
      <w:r>
        <w:rPr>
          <w:rStyle w:val="16"/>
          <w:rFonts w:hint="default" w:ascii="Times New Roman" w:hAnsi="Times New Roman" w:eastAsia="仿宋" w:cs="Times New Roman"/>
          <w:b w:val="0"/>
          <w:bCs/>
          <w:sz w:val="32"/>
          <w:szCs w:val="32"/>
        </w:rPr>
        <w:t>指财政对高校毕业生就业见习基本生活费给予的补贴支出。</w:t>
      </w:r>
    </w:p>
    <w:p>
      <w:pPr>
        <w:spacing w:line="600" w:lineRule="exact"/>
        <w:ind w:firstLine="640" w:firstLineChars="200"/>
        <w:rPr>
          <w:rStyle w:val="16"/>
          <w:rFonts w:hint="default" w:ascii="Times New Roman" w:hAnsi="Times New Roman" w:eastAsia="仿宋" w:cs="Times New Roman"/>
          <w:b w:val="0"/>
          <w:bCs/>
          <w:sz w:val="32"/>
          <w:szCs w:val="32"/>
        </w:rPr>
      </w:pPr>
      <w:r>
        <w:rPr>
          <w:rFonts w:hint="default" w:ascii="Times New Roman" w:hAnsi="Times New Roman" w:eastAsia="仿宋_GB2312" w:cs="Times New Roman"/>
          <w:kern w:val="0"/>
          <w:sz w:val="32"/>
          <w:szCs w:val="32"/>
        </w:rPr>
        <w:t>17.社会保障和就业支出（类）就业补助（款）促进创业补贴（项）:</w:t>
      </w:r>
      <w:r>
        <w:rPr>
          <w:rStyle w:val="16"/>
          <w:rFonts w:hint="default" w:ascii="Times New Roman" w:hAnsi="Times New Roman" w:eastAsia="仿宋" w:cs="Times New Roman"/>
          <w:b w:val="0"/>
          <w:bCs/>
          <w:sz w:val="32"/>
          <w:szCs w:val="32"/>
        </w:rPr>
        <w:t>指财政为支持符合条件的高校毕业生求职创业给予的求职创业补贴，以及为支持符合规定条件的群体灵活就业、自主创业给予的一次性创业补贴等相关支出。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18.社会保障和就业支出（类）就业补助（款）其他就业补助支出（项）：指社会保障和就业（类）就业补助（款）已有项目以外按规定确定的其他用于促进就业的补助支出。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19.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20.卫生健康支出（类）行政事业单位医疗（款）公务员医疗补助（项）：指财政部门安排的公务员医疗补助经费。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21.卫生健康支出（类）行政事业单位医疗（款）其他行政事业单位医疗支出（项）：指卫生健康支出（类）行政事业单位医疗（款）已有项目以外的其他用于行政事业单位医疗方面的支出。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22.住房保障支出（类）住房改革支出（款）住房公积金（项）：指行政事业单位按人力资源和社会保障部、财政部规定的基本工资和津贴补贴以及规定比例为职工缴纳的</w:t>
      </w:r>
      <w:r>
        <w:rPr>
          <w:rFonts w:hint="default" w:ascii="Times New Roman" w:hAnsi="Times New Roman" w:eastAsia="仿宋_GB2312" w:cs="Times New Roman"/>
          <w:sz w:val="32"/>
          <w:szCs w:val="32"/>
        </w:rPr>
        <w:t>住房公积金。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23.基本支出：指为保障机构正常运转、完成日常工作任务而发生的人员支出和公用支出。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24.项目支出：指在基本支出之外为完成特定行政任务和事业发展目标所发生的支出。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25.经营支出：指事业单位在专业业务活动及其辅助活动之外开展非独立核算经营活动发生的支出。</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26.“三公”经费：指单位用财政拨款安排的因公出国（境）费、公务用车运行费和公务接待费。其中，因公出国（境）费反映机关和参公事业单位公务出国（境）的国际旅费、国外城市间交通费、住宿费、伙食费、培训费、公杂费等支出；公务用车运行费反映机关和参公事业单位按规定保留的公务用车燃料费、维修费、过路过桥费、保险费、安全奖励费用等支出；公务接待费反映机关和参公事业单位按规定开支的各类公务接待（含外宾接待）费用。</w:t>
      </w:r>
    </w:p>
    <w:p>
      <w:pPr>
        <w:pStyle w:val="18"/>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hint="default" w:ascii="Times New Roman" w:hAnsi="Times New Roman" w:eastAsia="黑体" w:cs="Times New Roman"/>
          <w:b w:val="0"/>
        </w:rPr>
      </w:pPr>
      <w:bookmarkStart w:id="82" w:name="_Toc15377226"/>
      <w:r>
        <w:rPr>
          <w:rFonts w:hint="default" w:ascii="Times New Roman" w:hAnsi="Times New Roman" w:cs="Times New Roman"/>
          <w:b/>
          <w:sz w:val="44"/>
          <w:szCs w:val="44"/>
        </w:rPr>
        <w:br w:type="page"/>
      </w:r>
      <w:bookmarkStart w:id="83" w:name="_Toc15396614"/>
      <w:bookmarkStart w:id="84" w:name="_Toc30444"/>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四部分 附件</w:t>
      </w:r>
      <w:bookmarkEnd w:id="83"/>
      <w:bookmarkEnd w:id="84"/>
    </w:p>
    <w:p>
      <w:pPr>
        <w:spacing w:line="572" w:lineRule="exact"/>
        <w:jc w:val="left"/>
        <w:outlineLvl w:val="0"/>
        <w:rPr>
          <w:rFonts w:hint="default" w:ascii="Times New Roman" w:hAnsi="Times New Roman" w:eastAsia="仿宋_GB2312" w:cs="Times New Roman"/>
          <w:sz w:val="32"/>
          <w:szCs w:val="32"/>
        </w:rPr>
      </w:pPr>
    </w:p>
    <w:p>
      <w:pPr>
        <w:spacing w:line="600" w:lineRule="exact"/>
        <w:jc w:val="center"/>
        <w:outlineLvl w:val="0"/>
        <w:rPr>
          <w:rFonts w:hint="default" w:ascii="Times New Roman" w:hAnsi="Times New Roman" w:eastAsia="仿宋_GB2312" w:cs="Times New Roman"/>
          <w:color w:val="auto"/>
          <w:kern w:val="0"/>
          <w:sz w:val="32"/>
          <w:szCs w:val="32"/>
          <w:lang w:val="en-US" w:eastAsia="zh-CN" w:bidi="ar-SA"/>
        </w:rPr>
      </w:pPr>
      <w:bookmarkStart w:id="85" w:name="_Toc16634"/>
      <w:bookmarkStart w:id="86" w:name="_Toc15396618"/>
      <w:r>
        <w:rPr>
          <w:rFonts w:hint="default" w:ascii="Times New Roman" w:hAnsi="Times New Roman" w:eastAsia="仿宋_GB2312" w:cs="Times New Roman"/>
          <w:color w:val="auto"/>
          <w:kern w:val="0"/>
          <w:sz w:val="32"/>
          <w:szCs w:val="32"/>
          <w:lang w:val="en-US" w:eastAsia="zh-CN" w:bidi="ar-SA"/>
        </w:rPr>
        <w:t>部门预算项目支出绩效自评表（2023年度）</w:t>
      </w:r>
      <w:bookmarkEnd w:id="85"/>
    </w:p>
    <w:p>
      <w:pPr>
        <w:pStyle w:val="11"/>
        <w:spacing w:line="560" w:lineRule="exact"/>
        <w:ind w:left="0" w:leftChars="0" w:firstLine="640"/>
        <w:rPr>
          <w:rFonts w:hint="default" w:ascii="Times New Roman" w:hAnsi="Times New Roman" w:eastAsia="仿宋_GB2312" w:cs="Times New Roman"/>
          <w:color w:val="auto"/>
          <w:kern w:val="0"/>
          <w:sz w:val="32"/>
          <w:szCs w:val="32"/>
          <w:lang w:val="en-US" w:eastAsia="zh-CN" w:bidi="ar-SA"/>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pStyle w:val="6"/>
        <w:spacing w:before="93"/>
        <w:rPr>
          <w:rFonts w:hint="default" w:ascii="Times New Roman" w:hAnsi="Times New Roman" w:cs="Times New Roman"/>
          <w:sz w:val="32"/>
          <w:szCs w:val="32"/>
        </w:rPr>
      </w:pPr>
    </w:p>
    <w:p>
      <w:pPr>
        <w:spacing w:line="600" w:lineRule="exact"/>
        <w:jc w:val="center"/>
        <w:outlineLvl w:val="0"/>
        <w:rPr>
          <w:rFonts w:hint="default" w:ascii="Times New Roman" w:hAnsi="Times New Roman" w:eastAsia="仿宋" w:cs="Times New Roman"/>
        </w:rPr>
      </w:pPr>
      <w:bookmarkStart w:id="87" w:name="_Toc20527"/>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 附表</w:t>
      </w:r>
      <w:bookmarkEnd w:id="82"/>
      <w:bookmarkEnd w:id="86"/>
      <w:bookmarkEnd w:id="87"/>
      <w:bookmarkStart w:id="88" w:name="_Toc15396619"/>
    </w:p>
    <w:p>
      <w:pPr>
        <w:pStyle w:val="4"/>
        <w:rPr>
          <w:rFonts w:hint="default" w:ascii="Times New Roman" w:hAnsi="Times New Roman" w:eastAsia="仿宋" w:cs="Times New Roman"/>
        </w:rPr>
      </w:pPr>
      <w:bookmarkStart w:id="89" w:name="_Toc28511"/>
      <w:r>
        <w:rPr>
          <w:rFonts w:hint="default" w:ascii="Times New Roman" w:hAnsi="Times New Roman" w:eastAsia="仿宋" w:cs="Times New Roman"/>
          <w:b w:val="0"/>
        </w:rPr>
        <w:t>一、收</w:t>
      </w:r>
      <w:r>
        <w:rPr>
          <w:rStyle w:val="30"/>
          <w:rFonts w:hint="default" w:ascii="Times New Roman" w:hAnsi="Times New Roman" w:eastAsia="仿宋" w:cs="Times New Roman"/>
          <w:b w:val="0"/>
          <w:bCs w:val="0"/>
        </w:rPr>
        <w:t>入支出决算总表</w:t>
      </w:r>
      <w:bookmarkEnd w:id="88"/>
      <w:bookmarkEnd w:id="89"/>
    </w:p>
    <w:p>
      <w:pPr>
        <w:pStyle w:val="4"/>
        <w:rPr>
          <w:rFonts w:hint="default" w:ascii="Times New Roman" w:hAnsi="Times New Roman" w:eastAsia="仿宋" w:cs="Times New Roman"/>
        </w:rPr>
      </w:pPr>
      <w:bookmarkStart w:id="90" w:name="_Toc15396620"/>
      <w:bookmarkStart w:id="91" w:name="_Toc11412"/>
      <w:r>
        <w:rPr>
          <w:rFonts w:hint="default" w:ascii="Times New Roman" w:hAnsi="Times New Roman" w:eastAsia="仿宋" w:cs="Times New Roman"/>
          <w:b w:val="0"/>
        </w:rPr>
        <w:t>二、收</w:t>
      </w:r>
      <w:r>
        <w:rPr>
          <w:rStyle w:val="30"/>
          <w:rFonts w:hint="default" w:ascii="Times New Roman" w:hAnsi="Times New Roman" w:eastAsia="仿宋" w:cs="Times New Roman"/>
          <w:b w:val="0"/>
          <w:bCs w:val="0"/>
        </w:rPr>
        <w:t>入决算表</w:t>
      </w:r>
      <w:bookmarkEnd w:id="90"/>
      <w:bookmarkEnd w:id="91"/>
    </w:p>
    <w:p>
      <w:pPr>
        <w:pStyle w:val="4"/>
        <w:rPr>
          <w:rFonts w:hint="default" w:ascii="Times New Roman" w:hAnsi="Times New Roman" w:eastAsia="仿宋" w:cs="Times New Roman"/>
        </w:rPr>
      </w:pPr>
      <w:bookmarkStart w:id="92" w:name="_Toc15396621"/>
      <w:bookmarkStart w:id="93" w:name="_Toc24856"/>
      <w:r>
        <w:rPr>
          <w:rStyle w:val="30"/>
          <w:rFonts w:hint="default" w:ascii="Times New Roman" w:hAnsi="Times New Roman" w:eastAsia="仿宋" w:cs="Times New Roman"/>
          <w:b w:val="0"/>
          <w:bCs w:val="0"/>
        </w:rPr>
        <w:t>三、</w:t>
      </w:r>
      <w:r>
        <w:rPr>
          <w:rFonts w:hint="default" w:ascii="Times New Roman" w:hAnsi="Times New Roman" w:eastAsia="仿宋" w:cs="Times New Roman"/>
          <w:b w:val="0"/>
        </w:rPr>
        <w:t>支</w:t>
      </w:r>
      <w:r>
        <w:rPr>
          <w:rStyle w:val="30"/>
          <w:rFonts w:hint="default" w:ascii="Times New Roman" w:hAnsi="Times New Roman" w:eastAsia="仿宋" w:cs="Times New Roman"/>
          <w:b w:val="0"/>
          <w:bCs w:val="0"/>
        </w:rPr>
        <w:t>出决算表</w:t>
      </w:r>
      <w:bookmarkEnd w:id="92"/>
      <w:bookmarkEnd w:id="93"/>
    </w:p>
    <w:p>
      <w:pPr>
        <w:pStyle w:val="4"/>
        <w:rPr>
          <w:rFonts w:hint="default" w:ascii="Times New Roman" w:hAnsi="Times New Roman" w:eastAsia="仿宋" w:cs="Times New Roman"/>
          <w:b w:val="0"/>
        </w:rPr>
      </w:pPr>
      <w:bookmarkStart w:id="94" w:name="_Toc2515"/>
      <w:bookmarkStart w:id="95" w:name="_Toc15396622"/>
      <w:r>
        <w:rPr>
          <w:rStyle w:val="30"/>
          <w:rFonts w:hint="default" w:ascii="Times New Roman" w:hAnsi="Times New Roman" w:eastAsia="仿宋" w:cs="Times New Roman"/>
          <w:b w:val="0"/>
          <w:bCs w:val="0"/>
        </w:rPr>
        <w:t>四、</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政拨款收入支出决算总表</w:t>
      </w:r>
      <w:bookmarkEnd w:id="94"/>
      <w:bookmarkEnd w:id="95"/>
    </w:p>
    <w:p>
      <w:pPr>
        <w:pStyle w:val="4"/>
        <w:rPr>
          <w:rStyle w:val="30"/>
          <w:rFonts w:hint="default" w:ascii="Times New Roman" w:hAnsi="Times New Roman" w:eastAsia="仿宋" w:cs="Times New Roman"/>
          <w:b w:val="0"/>
          <w:bCs w:val="0"/>
        </w:rPr>
      </w:pPr>
      <w:bookmarkStart w:id="96" w:name="_Toc23740"/>
      <w:bookmarkStart w:id="97" w:name="_Toc15396623"/>
      <w:r>
        <w:rPr>
          <w:rStyle w:val="30"/>
          <w:rFonts w:hint="default" w:ascii="Times New Roman" w:hAnsi="Times New Roman" w:eastAsia="仿宋" w:cs="Times New Roman"/>
          <w:b w:val="0"/>
          <w:bCs w:val="0"/>
        </w:rPr>
        <w:t>五、</w:t>
      </w:r>
      <w:r>
        <w:rPr>
          <w:rFonts w:hint="default" w:ascii="Times New Roman" w:hAnsi="Times New Roman" w:eastAsia="仿宋" w:cs="Times New Roman"/>
          <w:b w:val="0"/>
        </w:rPr>
        <w:t>财</w:t>
      </w:r>
      <w:r>
        <w:rPr>
          <w:rStyle w:val="30"/>
          <w:rFonts w:hint="default" w:ascii="Times New Roman" w:hAnsi="Times New Roman" w:eastAsia="仿宋" w:cs="Times New Roman"/>
          <w:b w:val="0"/>
          <w:bCs w:val="0"/>
        </w:rPr>
        <w:t>政拨款支出决算明细表</w:t>
      </w:r>
      <w:bookmarkEnd w:id="96"/>
      <w:bookmarkEnd w:id="97"/>
      <w:bookmarkStart w:id="98" w:name="_Toc15396624"/>
    </w:p>
    <w:p>
      <w:pPr>
        <w:pStyle w:val="4"/>
        <w:rPr>
          <w:rFonts w:hint="default" w:ascii="Times New Roman" w:hAnsi="Times New Roman" w:eastAsia="仿宋" w:cs="Times New Roman"/>
        </w:rPr>
      </w:pPr>
      <w:bookmarkStart w:id="99" w:name="_Toc23778"/>
      <w:r>
        <w:rPr>
          <w:rStyle w:val="30"/>
          <w:rFonts w:hint="default" w:ascii="Times New Roman" w:hAnsi="Times New Roman" w:eastAsia="仿宋" w:cs="Times New Roman"/>
          <w:b w:val="0"/>
          <w:bCs w:val="0"/>
        </w:rPr>
        <w:t>六、</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般公共预算财政拨款支出决算表</w:t>
      </w:r>
      <w:bookmarkEnd w:id="98"/>
      <w:bookmarkEnd w:id="99"/>
    </w:p>
    <w:p>
      <w:pPr>
        <w:pStyle w:val="4"/>
        <w:rPr>
          <w:rFonts w:hint="default" w:ascii="Times New Roman" w:hAnsi="Times New Roman" w:eastAsia="仿宋" w:cs="Times New Roman"/>
        </w:rPr>
      </w:pPr>
      <w:bookmarkStart w:id="100" w:name="_Toc15396625"/>
      <w:bookmarkStart w:id="101" w:name="_Toc4414"/>
      <w:r>
        <w:rPr>
          <w:rStyle w:val="30"/>
          <w:rFonts w:hint="default" w:ascii="Times New Roman" w:hAnsi="Times New Roman" w:eastAsia="仿宋" w:cs="Times New Roman"/>
          <w:b w:val="0"/>
          <w:bCs w:val="0"/>
        </w:rPr>
        <w:t>七、</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般公共预算财政拨款支出决算明细表</w:t>
      </w:r>
      <w:bookmarkEnd w:id="100"/>
      <w:bookmarkEnd w:id="101"/>
    </w:p>
    <w:p>
      <w:pPr>
        <w:pStyle w:val="4"/>
        <w:rPr>
          <w:rFonts w:hint="default" w:ascii="Times New Roman" w:hAnsi="Times New Roman" w:eastAsia="仿宋" w:cs="Times New Roman"/>
        </w:rPr>
      </w:pPr>
      <w:bookmarkStart w:id="102" w:name="_Toc15396626"/>
      <w:bookmarkStart w:id="103" w:name="_Toc14196"/>
      <w:r>
        <w:rPr>
          <w:rStyle w:val="30"/>
          <w:rFonts w:hint="default" w:ascii="Times New Roman" w:hAnsi="Times New Roman" w:eastAsia="仿宋" w:cs="Times New Roman"/>
          <w:b w:val="0"/>
          <w:bCs w:val="0"/>
        </w:rPr>
        <w:t>八、</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般公共预算财政拨款基本支出决算表</w:t>
      </w:r>
      <w:bookmarkEnd w:id="102"/>
      <w:bookmarkEnd w:id="103"/>
    </w:p>
    <w:p>
      <w:pPr>
        <w:pStyle w:val="4"/>
        <w:rPr>
          <w:rFonts w:hint="default" w:ascii="Times New Roman" w:hAnsi="Times New Roman" w:eastAsia="仿宋" w:cs="Times New Roman"/>
        </w:rPr>
      </w:pPr>
      <w:bookmarkStart w:id="104" w:name="_Toc15396627"/>
      <w:bookmarkStart w:id="105" w:name="_Toc5604"/>
      <w:r>
        <w:rPr>
          <w:rStyle w:val="30"/>
          <w:rFonts w:hint="default" w:ascii="Times New Roman" w:hAnsi="Times New Roman" w:eastAsia="仿宋" w:cs="Times New Roman"/>
          <w:b w:val="0"/>
          <w:bCs w:val="0"/>
        </w:rPr>
        <w:t>九、</w:t>
      </w:r>
      <w:r>
        <w:rPr>
          <w:rFonts w:hint="default" w:ascii="Times New Roman" w:hAnsi="Times New Roman" w:eastAsia="仿宋" w:cs="Times New Roman"/>
          <w:b w:val="0"/>
        </w:rPr>
        <w:t>一</w:t>
      </w:r>
      <w:r>
        <w:rPr>
          <w:rStyle w:val="30"/>
          <w:rFonts w:hint="default" w:ascii="Times New Roman" w:hAnsi="Times New Roman" w:eastAsia="仿宋" w:cs="Times New Roman"/>
          <w:b w:val="0"/>
          <w:bCs w:val="0"/>
        </w:rPr>
        <w:t>般公共预算财政拨款项目支出决算表</w:t>
      </w:r>
      <w:bookmarkEnd w:id="104"/>
      <w:bookmarkEnd w:id="105"/>
    </w:p>
    <w:p>
      <w:pPr>
        <w:pStyle w:val="4"/>
        <w:rPr>
          <w:rFonts w:hint="default" w:ascii="Times New Roman" w:hAnsi="Times New Roman" w:eastAsia="仿宋" w:cs="Times New Roman"/>
        </w:rPr>
      </w:pPr>
      <w:bookmarkStart w:id="106" w:name="_Toc15396628"/>
      <w:bookmarkStart w:id="107" w:name="_Toc30351"/>
      <w:r>
        <w:rPr>
          <w:rStyle w:val="30"/>
          <w:rFonts w:hint="default" w:ascii="Times New Roman" w:hAnsi="Times New Roman" w:eastAsia="仿宋" w:cs="Times New Roman"/>
          <w:b w:val="0"/>
          <w:bCs w:val="0"/>
        </w:rPr>
        <w:t>十、</w:t>
      </w:r>
      <w:bookmarkEnd w:id="106"/>
      <w:r>
        <w:rPr>
          <w:rFonts w:hint="default" w:ascii="Times New Roman" w:hAnsi="Times New Roman" w:eastAsia="仿宋" w:cs="Times New Roman"/>
          <w:b w:val="0"/>
        </w:rPr>
        <w:t>政</w:t>
      </w:r>
      <w:r>
        <w:rPr>
          <w:rStyle w:val="30"/>
          <w:rFonts w:hint="default" w:ascii="Times New Roman" w:hAnsi="Times New Roman" w:eastAsia="仿宋" w:cs="Times New Roman"/>
          <w:b w:val="0"/>
          <w:bCs w:val="0"/>
        </w:rPr>
        <w:t>府性基金预算财政拨款收入支出决算表</w:t>
      </w:r>
      <w:bookmarkEnd w:id="107"/>
    </w:p>
    <w:p>
      <w:pPr>
        <w:pStyle w:val="4"/>
        <w:rPr>
          <w:rFonts w:hint="default" w:ascii="Times New Roman" w:hAnsi="Times New Roman" w:eastAsia="仿宋" w:cs="Times New Roman"/>
        </w:rPr>
      </w:pPr>
      <w:bookmarkStart w:id="108" w:name="_Toc15396629"/>
      <w:bookmarkStart w:id="109" w:name="_Toc21264"/>
      <w:r>
        <w:rPr>
          <w:rStyle w:val="30"/>
          <w:rFonts w:hint="default" w:ascii="Times New Roman" w:hAnsi="Times New Roman" w:eastAsia="仿宋" w:cs="Times New Roman"/>
          <w:b w:val="0"/>
          <w:bCs w:val="0"/>
        </w:rPr>
        <w:t>十一、</w:t>
      </w:r>
      <w:bookmarkEnd w:id="108"/>
      <w:r>
        <w:rPr>
          <w:rFonts w:hint="default" w:ascii="Times New Roman" w:hAnsi="Times New Roman" w:eastAsia="仿宋" w:cs="Times New Roman"/>
          <w:b w:val="0"/>
        </w:rPr>
        <w:t>国</w:t>
      </w:r>
      <w:r>
        <w:rPr>
          <w:rStyle w:val="30"/>
          <w:rFonts w:hint="default" w:ascii="Times New Roman" w:hAnsi="Times New Roman" w:eastAsia="仿宋" w:cs="Times New Roman"/>
          <w:b w:val="0"/>
          <w:bCs w:val="0"/>
        </w:rPr>
        <w:t>有资本经营预算财政拨款收入支出决算表</w:t>
      </w:r>
      <w:bookmarkEnd w:id="109"/>
    </w:p>
    <w:p>
      <w:pPr>
        <w:pStyle w:val="4"/>
        <w:rPr>
          <w:rFonts w:hint="default" w:ascii="Times New Roman" w:hAnsi="Times New Roman" w:eastAsia="仿宋" w:cs="Times New Roman"/>
        </w:rPr>
      </w:pPr>
      <w:bookmarkStart w:id="110" w:name="_Toc15396630"/>
      <w:bookmarkStart w:id="111" w:name="_Toc10933"/>
      <w:r>
        <w:rPr>
          <w:rStyle w:val="30"/>
          <w:rFonts w:hint="default" w:ascii="Times New Roman" w:hAnsi="Times New Roman" w:eastAsia="仿宋" w:cs="Times New Roman"/>
          <w:b w:val="0"/>
          <w:bCs w:val="0"/>
        </w:rPr>
        <w:t>十二、</w:t>
      </w:r>
      <w:bookmarkEnd w:id="110"/>
      <w:r>
        <w:rPr>
          <w:rStyle w:val="30"/>
          <w:rFonts w:hint="default" w:ascii="Times New Roman" w:hAnsi="Times New Roman" w:eastAsia="仿宋" w:cs="Times New Roman"/>
          <w:b w:val="0"/>
          <w:bCs w:val="0"/>
        </w:rPr>
        <w:t>国有资本经营预算财政拨款支出决算表</w:t>
      </w:r>
      <w:bookmarkEnd w:id="111"/>
    </w:p>
    <w:p>
      <w:pPr>
        <w:pStyle w:val="4"/>
        <w:rPr>
          <w:rFonts w:hint="default" w:ascii="Times New Roman" w:hAnsi="Times New Roman" w:eastAsia="仿宋" w:cs="Times New Roman"/>
        </w:rPr>
      </w:pPr>
      <w:bookmarkStart w:id="112" w:name="_Toc15396631"/>
      <w:bookmarkStart w:id="113" w:name="_Toc25148"/>
      <w:r>
        <w:rPr>
          <w:rStyle w:val="30"/>
          <w:rFonts w:hint="default" w:ascii="Times New Roman" w:hAnsi="Times New Roman" w:eastAsia="仿宋" w:cs="Times New Roman"/>
          <w:b w:val="0"/>
          <w:bCs w:val="0"/>
        </w:rPr>
        <w:t>十三、</w:t>
      </w:r>
      <w:bookmarkEnd w:id="112"/>
      <w:r>
        <w:rPr>
          <w:rStyle w:val="30"/>
          <w:rFonts w:hint="default" w:ascii="Times New Roman" w:hAnsi="Times New Roman" w:eastAsia="仿宋" w:cs="Times New Roman"/>
          <w:b w:val="0"/>
          <w:bCs w:val="0"/>
        </w:rPr>
        <w:t>财政拨款“三公”经费支出决算表</w:t>
      </w:r>
      <w:bookmarkEnd w:id="113"/>
    </w:p>
    <w:sectPr>
      <w:footerReference r:id="rId6" w:type="first"/>
      <w:footerReference r:id="rId5"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10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宋黑_GBK">
    <w:altName w:val="宋体"/>
    <w:panose1 w:val="03000509000000000000"/>
    <w:charset w:val="86"/>
    <w:family w:val="auto"/>
    <w:pitch w:val="default"/>
    <w:sig w:usb0="00000001" w:usb1="080E0000" w:usb2="00000000" w:usb3="00000000" w:csb0="00040000" w:csb1="00000000"/>
  </w:font>
  <w:font w:name="方正超粗黑_GBK">
    <w:altName w:val="黑体"/>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隶书">
    <w:altName w:val="微软雅黑"/>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shape id="文本框10"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shape id="文本框11"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08035965">
    <w:nsid w:val="E2FA047D"/>
    <w:multiLevelType w:val="singleLevel"/>
    <w:tmpl w:val="E2FA047D"/>
    <w:lvl w:ilvl="0" w:tentative="1">
      <w:start w:val="3"/>
      <w:numFmt w:val="chineseCounting"/>
      <w:suff w:val="space"/>
      <w:lvlText w:val="第%1部分"/>
      <w:lvlJc w:val="left"/>
      <w:rPr>
        <w:rFonts w:hint="eastAsia" w:ascii="黑体" w:hAnsi="黑体" w:eastAsia="黑体" w:cs="黑体"/>
        <w:sz w:val="44"/>
        <w:szCs w:val="44"/>
      </w:rPr>
    </w:lvl>
  </w:abstractNum>
  <w:abstractNum w:abstractNumId="3479514348">
    <w:nsid w:val="CF652CEC"/>
    <w:multiLevelType w:val="singleLevel"/>
    <w:tmpl w:val="CF652CEC"/>
    <w:lvl w:ilvl="0" w:tentative="1">
      <w:start w:val="9"/>
      <w:numFmt w:val="chineseCounting"/>
      <w:suff w:val="nothing"/>
      <w:lvlText w:val="%1、"/>
      <w:lvlJc w:val="left"/>
      <w:rPr>
        <w:rFonts w:hint="eastAsia"/>
      </w:rPr>
    </w:lvl>
  </w:abstractNum>
  <w:abstractNum w:abstractNumId="309482763">
    <w:nsid w:val="1272550B"/>
    <w:multiLevelType w:val="multilevel"/>
    <w:tmpl w:val="1272550B"/>
    <w:lvl w:ilvl="0" w:tentative="1">
      <w:start w:val="1"/>
      <w:numFmt w:val="japaneseCounting"/>
      <w:lvlText w:val="%1、"/>
      <w:lvlJc w:val="left"/>
      <w:pPr>
        <w:ind w:left="1360" w:hanging="720"/>
      </w:pPr>
      <w:rPr>
        <w:rFonts w:hint="default"/>
        <w:b w:val="0"/>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941138074">
    <w:nsid w:val="3818A09A"/>
    <w:multiLevelType w:val="singleLevel"/>
    <w:tmpl w:val="3818A09A"/>
    <w:lvl w:ilvl="0" w:tentative="1">
      <w:start w:val="1"/>
      <w:numFmt w:val="chineseCounting"/>
      <w:suff w:val="nothing"/>
      <w:lvlText w:val="%1、"/>
      <w:lvlJc w:val="left"/>
      <w:rPr>
        <w:rFonts w:hint="eastAsia"/>
      </w:rPr>
    </w:lvl>
  </w:abstractNum>
  <w:num w:numId="1">
    <w:abstractNumId w:val="941138074"/>
  </w:num>
  <w:num w:numId="2">
    <w:abstractNumId w:val="309482763"/>
  </w:num>
  <w:num w:numId="3">
    <w:abstractNumId w:val="3479514348"/>
  </w:num>
  <w:num w:numId="4">
    <w:abstractNumId w:val="38080359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ind w:firstLine="420" w:firstLineChars="200"/>
    </w:p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qFormat/>
    <w:uiPriority w:val="99"/>
    <w:rPr>
      <w:b/>
    </w:rPr>
  </w:style>
  <w:style w:type="character" w:styleId="17">
    <w:name w:val="Hyperlink"/>
    <w:unhideWhenUsed/>
    <w:qFormat/>
    <w:uiPriority w:val="99"/>
    <w:rPr>
      <w:color w:val="0000FF"/>
      <w:u w:val="single"/>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列出段落1"/>
    <w:basedOn w:val="1"/>
    <w:qFormat/>
    <w:uiPriority w:val="34"/>
    <w:pPr>
      <w:ind w:firstLine="420" w:firstLineChars="200"/>
    </w:pPr>
  </w:style>
  <w:style w:type="paragraph" w:customStyle="1" w:styleId="20">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1">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22">
    <w:name w:val="p0"/>
    <w:basedOn w:val="1"/>
    <w:qFormat/>
    <w:uiPriority w:val="99"/>
    <w:pPr>
      <w:widowControl/>
    </w:pPr>
    <w:rPr>
      <w:kern w:val="0"/>
      <w:szCs w:val="21"/>
    </w:rPr>
  </w:style>
  <w:style w:type="character" w:customStyle="1" w:styleId="23">
    <w:name w:val="Header Char"/>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character" w:customStyle="1" w:styleId="29">
    <w:name w:val="标题 1 Char"/>
    <w:link w:val="3"/>
    <w:qFormat/>
    <w:uiPriority w:val="9"/>
    <w:rPr>
      <w:rFonts w:ascii="Times New Roman" w:hAnsi="Times New Roman"/>
      <w:b/>
      <w:bCs/>
      <w:kern w:val="44"/>
      <w:sz w:val="44"/>
      <w:szCs w:val="44"/>
    </w:rPr>
  </w:style>
  <w:style w:type="character" w:customStyle="1" w:styleId="30">
    <w:name w:val="标题 2 Char"/>
    <w:link w:val="4"/>
    <w:qFormat/>
    <w:uiPriority w:val="9"/>
    <w:rPr>
      <w:rFonts w:ascii="Cambria" w:hAnsi="Cambria" w:eastAsia="宋体" w:cs="黑体"/>
      <w:b/>
      <w:bCs/>
      <w:kern w:val="2"/>
      <w:sz w:val="32"/>
      <w:szCs w:val="32"/>
    </w:rPr>
  </w:style>
  <w:style w:type="character" w:customStyle="1" w:styleId="31">
    <w:name w:val="批注框文本 Char"/>
    <w:link w:val="9"/>
    <w:semiHidden/>
    <w:qFormat/>
    <w:uiPriority w:val="99"/>
    <w:rPr>
      <w:rFonts w:ascii="Times New Roman" w:hAnsi="Times New Roman"/>
      <w:kern w:val="2"/>
      <w:sz w:val="18"/>
      <w:szCs w:val="18"/>
    </w:rPr>
  </w:style>
  <w:style w:type="character" w:customStyle="1" w:styleId="32">
    <w:name w:val="标题 3 Char"/>
    <w:link w:val="5"/>
    <w:qFormat/>
    <w:uiPriority w:val="9"/>
    <w:rPr>
      <w:rFonts w:ascii="Times New Roman" w:hAnsi="Times New Roman"/>
      <w:b/>
      <w:bCs/>
      <w:kern w:val="2"/>
      <w:sz w:val="32"/>
      <w:szCs w:val="32"/>
    </w:rPr>
  </w:style>
  <w:style w:type="character" w:customStyle="1" w:styleId="33">
    <w:name w:val="15"/>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oleObject" Target="embeddings/oleObject2.bin"/><Relationship Id="rId11" Type="http://schemas.openxmlformats.org/officeDocument/2006/relationships/image" Target="media/image2.emf"/><Relationship Id="rId12" Type="http://schemas.openxmlformats.org/officeDocument/2006/relationships/oleObject" Target="embeddings/oleObject3.bin"/><Relationship Id="rId13" Type="http://schemas.openxmlformats.org/officeDocument/2006/relationships/image" Target="media/image3.emf"/><Relationship Id="rId14" Type="http://schemas.openxmlformats.org/officeDocument/2006/relationships/oleObject" Target="embeddings/oleObject4.bin"/><Relationship Id="rId15" Type="http://schemas.openxmlformats.org/officeDocument/2006/relationships/image" Target="media/image4.emf"/><Relationship Id="rId16" Type="http://schemas.openxmlformats.org/officeDocument/2006/relationships/oleObject" Target="embeddings/oleObject5.bin"/><Relationship Id="rId17" Type="http://schemas.openxmlformats.org/officeDocument/2006/relationships/image" Target="media/image5.emf"/><Relationship Id="rId18" Type="http://schemas.openxmlformats.org/officeDocument/2006/relationships/oleObject" Target="embeddings/oleObject6.bin"/><Relationship Id="rId19" Type="http://schemas.openxmlformats.org/officeDocument/2006/relationships/image" Target="media/image6.emf"/><Relationship Id="rId2" Type="http://schemas.openxmlformats.org/officeDocument/2006/relationships/styles" Target="styles.xml"/><Relationship Id="rId20" Type="http://schemas.openxmlformats.org/officeDocument/2006/relationships/oleObject" Target="embeddings/oleObject7.bin"/><Relationship Id="rId21" Type="http://schemas.openxmlformats.org/officeDocument/2006/relationships/image" Target="media/image7.emf"/><Relationship Id="rId22" Type="http://schemas.openxmlformats.org/officeDocument/2006/relationships/customXml" Target="../customXml/item1.xml"/><Relationship Id="rId23"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theme" Target="theme/theme1.xml"/><Relationship Id="rId8" Type="http://schemas.openxmlformats.org/officeDocument/2006/relationships/oleObject" Target="embeddings/oleObject1.bin"/><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5637</Words>
  <Characters>6159</Characters>
  <Lines>59</Lines>
  <Paragraphs>16</Paragraphs>
  <TotalTime>0</TotalTime>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hp3330</cp:lastModifiedBy>
  <cp:lastPrinted>2023-08-03T02:35:00Z</cp:lastPrinted>
  <dcterms:modified xsi:type="dcterms:W3CDTF">2024-10-27T01:17:33Z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y fmtid="{D5CDD505-2E9C-101B-9397-08002B2CF9AE}" pid="3" name="ICV">
    <vt:lpwstr>B41CDC0EBC01430C98E3CF657D9F8241_12</vt:lpwstr>
  </property>
</Properties>
</file>