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03358">
      <w:pPr>
        <w:spacing w:line="600" w:lineRule="exact"/>
        <w:jc w:val="center"/>
        <w:outlineLvl w:val="9"/>
        <w:rPr>
          <w:rFonts w:hint="default" w:ascii="Times New Roman" w:hAnsi="Times New Roman" w:eastAsia="方正小标宋简体" w:cs="Times New Roman"/>
          <w:sz w:val="72"/>
          <w:szCs w:val="72"/>
        </w:rPr>
      </w:pPr>
      <w:bookmarkStart w:id="0" w:name="_Toc15396475"/>
      <w:bookmarkStart w:id="1" w:name="_Toc15377425"/>
      <w:bookmarkStart w:id="2" w:name="_Toc15378441"/>
      <w:bookmarkStart w:id="3" w:name="_Toc15377193"/>
      <w:bookmarkStart w:id="4" w:name="_Toc15396597"/>
      <w:bookmarkStart w:id="5" w:name="_Toc15306267"/>
    </w:p>
    <w:p w14:paraId="311E840D">
      <w:pPr>
        <w:pStyle w:val="5"/>
        <w:spacing w:before="93"/>
        <w:rPr>
          <w:rFonts w:hint="default" w:ascii="Times New Roman" w:hAnsi="Times New Roman" w:cs="Times New Roman"/>
        </w:rPr>
      </w:pPr>
    </w:p>
    <w:p w14:paraId="0EDC1223">
      <w:pPr>
        <w:spacing w:line="600" w:lineRule="exact"/>
        <w:jc w:val="center"/>
        <w:outlineLvl w:val="9"/>
        <w:rPr>
          <w:rFonts w:hint="default" w:ascii="Times New Roman" w:hAnsi="Times New Roman" w:eastAsia="方正小标宋简体" w:cs="Times New Roman"/>
          <w:sz w:val="72"/>
          <w:szCs w:val="72"/>
        </w:rPr>
      </w:pPr>
    </w:p>
    <w:p w14:paraId="5801A72D">
      <w:pPr>
        <w:spacing w:line="600" w:lineRule="exact"/>
        <w:jc w:val="center"/>
        <w:outlineLvl w:val="9"/>
        <w:rPr>
          <w:rFonts w:hint="default" w:ascii="Times New Roman" w:hAnsi="Times New Roman" w:eastAsia="方正小标宋简体" w:cs="Times New Roman"/>
          <w:sz w:val="72"/>
          <w:szCs w:val="72"/>
        </w:rPr>
      </w:pPr>
    </w:p>
    <w:p w14:paraId="147B741A">
      <w:pPr>
        <w:adjustRightInd w:val="0"/>
        <w:snapToGrid w:val="0"/>
        <w:spacing w:line="360" w:lineRule="auto"/>
        <w:jc w:val="center"/>
        <w:outlineLvl w:val="0"/>
        <w:rPr>
          <w:rFonts w:hint="default" w:ascii="Times New Roman" w:hAnsi="Times New Roman" w:eastAsia="方正小标宋简体" w:cs="Times New Roman"/>
          <w:sz w:val="72"/>
          <w:szCs w:val="72"/>
        </w:rPr>
      </w:pPr>
      <w:bookmarkStart w:id="6" w:name="_Toc21630"/>
      <w:bookmarkStart w:id="7" w:name="_Toc17511"/>
      <w:r>
        <w:rPr>
          <w:rFonts w:hint="default" w:ascii="Times New Roman" w:hAnsi="Times New Roman" w:eastAsia="方正小标宋简体" w:cs="Times New Roman"/>
          <w:sz w:val="72"/>
          <w:szCs w:val="72"/>
        </w:rPr>
        <w:t>2023年度</w:t>
      </w:r>
      <w:bookmarkEnd w:id="0"/>
      <w:bookmarkEnd w:id="1"/>
      <w:bookmarkEnd w:id="2"/>
      <w:bookmarkEnd w:id="3"/>
      <w:bookmarkEnd w:id="4"/>
      <w:bookmarkEnd w:id="6"/>
      <w:bookmarkEnd w:id="7"/>
    </w:p>
    <w:bookmarkEnd w:id="5"/>
    <w:p w14:paraId="5172BCF1">
      <w:pPr>
        <w:adjustRightInd w:val="0"/>
        <w:snapToGrid w:val="0"/>
        <w:spacing w:line="360" w:lineRule="auto"/>
        <w:jc w:val="center"/>
        <w:outlineLvl w:val="0"/>
        <w:rPr>
          <w:rFonts w:hint="default" w:ascii="Times New Roman" w:hAnsi="Times New Roman" w:eastAsia="方正小标宋简体" w:cs="Times New Roman"/>
          <w:sz w:val="72"/>
          <w:szCs w:val="72"/>
        </w:rPr>
      </w:pPr>
      <w:bookmarkStart w:id="8" w:name="_Toc5591"/>
      <w:bookmarkStart w:id="9" w:name="_Toc21275"/>
      <w:bookmarkStart w:id="10" w:name="_Toc15396598"/>
      <w:bookmarkStart w:id="11" w:name="_Toc15306268"/>
      <w:bookmarkStart w:id="12" w:name="_Toc15378442"/>
      <w:bookmarkStart w:id="13" w:name="_Toc15377426"/>
      <w:bookmarkStart w:id="14" w:name="_Toc15377194"/>
      <w:bookmarkStart w:id="15" w:name="_Toc15396476"/>
      <w:r>
        <w:rPr>
          <w:rFonts w:hint="default" w:ascii="Times New Roman" w:hAnsi="Times New Roman" w:eastAsia="方正小标宋简体" w:cs="Times New Roman"/>
          <w:sz w:val="72"/>
          <w:szCs w:val="72"/>
        </w:rPr>
        <w:t>盐边县城第一小学校</w:t>
      </w:r>
      <w:bookmarkEnd w:id="8"/>
      <w:bookmarkEnd w:id="9"/>
    </w:p>
    <w:p w14:paraId="59D86C63">
      <w:pPr>
        <w:adjustRightInd w:val="0"/>
        <w:snapToGrid w:val="0"/>
        <w:spacing w:line="360" w:lineRule="auto"/>
        <w:jc w:val="center"/>
        <w:outlineLvl w:val="0"/>
        <w:rPr>
          <w:rFonts w:hint="default" w:ascii="Times New Roman" w:hAnsi="Times New Roman" w:eastAsia="方正小标宋简体" w:cs="Times New Roman"/>
          <w:sz w:val="72"/>
          <w:szCs w:val="72"/>
        </w:rPr>
      </w:pPr>
      <w:bookmarkStart w:id="16" w:name="_Toc17364"/>
      <w:bookmarkStart w:id="17" w:name="_Toc6485"/>
      <w:r>
        <w:rPr>
          <w:rFonts w:hint="default" w:ascii="Times New Roman" w:hAnsi="Times New Roman" w:eastAsia="方正小标宋简体" w:cs="Times New Roman"/>
          <w:sz w:val="72"/>
          <w:szCs w:val="72"/>
          <w:lang w:val="en-US" w:eastAsia="zh-CN"/>
        </w:rPr>
        <w:t>单位</w:t>
      </w:r>
      <w:r>
        <w:rPr>
          <w:rFonts w:hint="default" w:ascii="Times New Roman" w:hAnsi="Times New Roman" w:eastAsia="方正小标宋简体" w:cs="Times New Roman"/>
          <w:sz w:val="72"/>
          <w:szCs w:val="72"/>
        </w:rPr>
        <w:t>决算</w:t>
      </w:r>
      <w:bookmarkEnd w:id="10"/>
      <w:bookmarkEnd w:id="11"/>
      <w:bookmarkEnd w:id="12"/>
      <w:bookmarkEnd w:id="13"/>
      <w:bookmarkEnd w:id="14"/>
      <w:bookmarkEnd w:id="15"/>
      <w:bookmarkEnd w:id="16"/>
      <w:bookmarkEnd w:id="17"/>
    </w:p>
    <w:p w14:paraId="70F14212">
      <w:pPr>
        <w:pStyle w:val="12"/>
        <w:adjustRightInd w:val="0"/>
        <w:snapToGrid w:val="0"/>
        <w:spacing w:line="600" w:lineRule="exact"/>
        <w:jc w:val="left"/>
        <w:rPr>
          <w:rFonts w:hint="default" w:ascii="Times New Roman" w:hAnsi="Times New Roman" w:cs="Times New Roman"/>
        </w:rPr>
      </w:pPr>
      <w:r>
        <w:rPr>
          <w:rFonts w:hint="default" w:ascii="Times New Roman" w:hAnsi="Times New Roman" w:eastAsia="方正小标宋简体" w:cs="Times New Roman"/>
          <w:sz w:val="36"/>
          <w:szCs w:val="36"/>
        </w:rPr>
        <w:br w:type="page"/>
      </w:r>
    </w:p>
    <w:sdt>
      <w:sdtPr>
        <w:rPr>
          <w:rFonts w:hint="default" w:ascii="Times New Roman" w:hAnsi="Times New Roman" w:eastAsia="黑体" w:cs="Times New Roman"/>
          <w:kern w:val="2"/>
          <w:sz w:val="48"/>
          <w:szCs w:val="48"/>
          <w:lang w:val="en-US" w:eastAsia="zh-CN" w:bidi="ar-SA"/>
        </w:rPr>
        <w:id w:val="147463238"/>
        <w15:color w:val="DBDBDB"/>
        <w:docPartObj>
          <w:docPartGallery w:val="Table of Contents"/>
          <w:docPartUnique/>
        </w:docPartObj>
      </w:sdtPr>
      <w:sdtEndPr>
        <w:rPr>
          <w:rFonts w:hint="default" w:ascii="Times New Roman" w:hAnsi="Times New Roman" w:eastAsia="宋体" w:cs="Times New Roman"/>
          <w:b/>
          <w:kern w:val="2"/>
          <w:sz w:val="21"/>
          <w:szCs w:val="24"/>
          <w:lang w:val="en-US" w:eastAsia="zh-CN" w:bidi="ar-SA"/>
        </w:rPr>
      </w:sdtEndPr>
      <w:sdtContent>
        <w:p w14:paraId="41CA6840">
          <w:pPr>
            <w:pStyle w:val="12"/>
            <w:adjustRightInd w:val="0"/>
            <w:snapToGrid w:val="0"/>
            <w:spacing w:line="600" w:lineRule="exact"/>
            <w:ind w:left="420" w:leftChars="200"/>
            <w:jc w:val="center"/>
            <w:rPr>
              <w:rFonts w:hint="default" w:ascii="Times New Roman" w:hAnsi="Times New Roman" w:eastAsia="黑体" w:cs="Times New Roman"/>
              <w:kern w:val="2"/>
              <w:sz w:val="48"/>
              <w:szCs w:val="48"/>
              <w:lang w:val="en-US" w:eastAsia="zh-CN" w:bidi="ar-SA"/>
            </w:rPr>
          </w:pPr>
          <w:r>
            <w:rPr>
              <w:rFonts w:hint="default" w:ascii="Times New Roman" w:hAnsi="Times New Roman" w:eastAsia="黑体" w:cs="Times New Roman"/>
              <w:kern w:val="2"/>
              <w:sz w:val="48"/>
              <w:szCs w:val="48"/>
              <w:lang w:val="en-US" w:eastAsia="zh-CN" w:bidi="ar-SA"/>
            </w:rPr>
            <w:t>目录</w:t>
          </w:r>
        </w:p>
        <w:p w14:paraId="2C358DD3">
          <w:pPr>
            <w:rPr>
              <w:rFonts w:hint="default" w:ascii="Times New Roman" w:hAnsi="Times New Roman" w:cs="Times New Roman"/>
              <w:lang w:val="en-US" w:eastAsia="zh-CN"/>
            </w:rPr>
          </w:pPr>
        </w:p>
        <w:p w14:paraId="01F98EE7">
          <w:pPr>
            <w:pStyle w:val="12"/>
            <w:keepNext w:val="0"/>
            <w:keepLines w:val="0"/>
            <w:pageBreakBefore w:val="0"/>
            <w:widowControl w:val="0"/>
            <w:kinsoku/>
            <w:wordWrap/>
            <w:overflowPunct/>
            <w:topLinePunct w:val="0"/>
            <w:autoSpaceDE/>
            <w:autoSpaceDN/>
            <w:bidi w:val="0"/>
            <w:adjustRightInd w:val="0"/>
            <w:snapToGrid w:val="0"/>
            <w:spacing w:line="520" w:lineRule="exact"/>
            <w:ind w:left="420" w:leftChars="20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2"/>
              <w:sz w:val="28"/>
              <w:szCs w:val="28"/>
              <w:lang w:val="en-US" w:eastAsia="zh-CN" w:bidi="ar-SA"/>
            </w:rPr>
            <w:t>公开时间2024年10月28日</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TOC \o "1-2" \h \u </w:instrText>
          </w:r>
          <w:r>
            <w:rPr>
              <w:rFonts w:hint="default" w:ascii="Times New Roman" w:hAnsi="Times New Roman" w:eastAsia="仿宋_GB2312" w:cs="Times New Roman"/>
              <w:sz w:val="24"/>
              <w:szCs w:val="24"/>
            </w:rPr>
            <w:fldChar w:fldCharType="separate"/>
          </w:r>
        </w:p>
        <w:p w14:paraId="29B4A0B7">
          <w:pPr>
            <w:pStyle w:val="11"/>
            <w:keepNext w:val="0"/>
            <w:keepLines w:val="0"/>
            <w:pageBreakBefore w:val="0"/>
            <w:widowControl w:val="0"/>
            <w:tabs>
              <w:tab w:val="right" w:leader="dot" w:pos="8844"/>
              <w:tab w:val="clear" w:pos="8296"/>
            </w:tabs>
            <w:kinsoku/>
            <w:wordWrap/>
            <w:overflowPunct/>
            <w:topLinePunct w:val="0"/>
            <w:autoSpaceDE/>
            <w:autoSpaceDN/>
            <w:bidi w:val="0"/>
            <w:spacing w:line="52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_Toc18327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第一部分 部门概况</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_Toc18327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4</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78F466C2">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_Toc29232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一、部门职责</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_Toc29232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4</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0B3E6E23">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_Toc27065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二、机构设置</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_Toc27065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4</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3E65E273">
          <w:pPr>
            <w:pStyle w:val="11"/>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_Toc5845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第二部分 2023年度部门决算情况说明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_Toc5845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5</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62BB4AF3">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_Toc10056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一、收入支出决算总体情况说明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_Toc10056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5</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16CD5795">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_Toc30151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二、收入决算情况说明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_Toc30151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5</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5B78D5F6">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_Toc14054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三、支出决算情况说明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_Toc14054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13B22C61">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_Toc20753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四、财政拨款收入支出决算总体情况说明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_Toc20753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63B43183">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_Toc13998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五、一般公共预算财政拨款支出决算情况说明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_Toc13998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6CC993E1">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_Toc9784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六、一般公共预算财政拨款基本支出决算情况说明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_Toc9784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10</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3BF1BFE1">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_Toc15685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七、财政拨款“三公”经费支出决算情况说明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_Toc15685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10</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3C3BEB60">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_Toc27221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八、政府性基金预算支出决算情况说明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_Toc27221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19C29C4B">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_Toc11054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九、国有资本经营预算支出决算情况说明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_Toc11054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3BB18E62">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_Toc29817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十、其他重要事项的情况说明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_Toc29817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4AD8163D">
          <w:pPr>
            <w:pStyle w:val="11"/>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bookmarkStart w:id="126" w:name="_GoBack"/>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_Toc2371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第三部分 名词解释</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_Toc2371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bookmarkEnd w:id="126"/>
        <w:p w14:paraId="55B3ACB9">
          <w:pPr>
            <w:pStyle w:val="11"/>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_Toc9964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第</w:t>
          </w:r>
          <w:r>
            <w:rPr>
              <w:rFonts w:hint="default" w:ascii="Times New Roman" w:hAnsi="Times New Roman" w:eastAsia="仿宋_GB2312" w:cs="Times New Roman"/>
              <w:sz w:val="24"/>
              <w:szCs w:val="24"/>
              <w:lang w:val="en-US" w:eastAsia="zh-CN"/>
            </w:rPr>
            <w:t>四</w:t>
          </w:r>
          <w:r>
            <w:rPr>
              <w:rFonts w:hint="default" w:ascii="Times New Roman" w:hAnsi="Times New Roman" w:eastAsia="仿宋_GB2312" w:cs="Times New Roman"/>
              <w:sz w:val="24"/>
              <w:szCs w:val="24"/>
            </w:rPr>
            <w:t xml:space="preserve">部分 </w:t>
          </w:r>
          <w:r>
            <w:rPr>
              <w:rFonts w:hint="default" w:ascii="Times New Roman" w:hAnsi="Times New Roman" w:eastAsia="仿宋_GB2312" w:cs="Times New Roman"/>
              <w:sz w:val="24"/>
              <w:szCs w:val="24"/>
              <w:lang w:eastAsia="zh-CN"/>
            </w:rPr>
            <w:t>附件</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_Toc9964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0CB45FFD">
          <w:pPr>
            <w:pStyle w:val="11"/>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_Toc3884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sz w:val="24"/>
              <w:szCs w:val="24"/>
            </w:rPr>
            <w:t>第五部分 附表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_Toc3884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1967EF2B">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_Toc30888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一、收</w:t>
          </w:r>
          <w:r>
            <w:rPr>
              <w:rFonts w:hint="default" w:ascii="Times New Roman" w:hAnsi="Times New Roman" w:eastAsia="仿宋_GB2312" w:cs="Times New Roman"/>
              <w:bCs w:val="0"/>
              <w:sz w:val="24"/>
              <w:szCs w:val="24"/>
            </w:rPr>
            <w:t>入支出决算总表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_Toc30888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094574B8">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_Toc1160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二、收</w:t>
          </w:r>
          <w:r>
            <w:rPr>
              <w:rFonts w:hint="default" w:ascii="Times New Roman" w:hAnsi="Times New Roman" w:eastAsia="仿宋_GB2312" w:cs="Times New Roman"/>
              <w:bCs w:val="0"/>
              <w:sz w:val="24"/>
              <w:szCs w:val="24"/>
            </w:rPr>
            <w:t>入决算表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_Toc1160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1DFC1792">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_Toc27167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val="0"/>
              <w:sz w:val="24"/>
              <w:szCs w:val="24"/>
            </w:rPr>
            <w:t>三、</w:t>
          </w:r>
          <w:r>
            <w:rPr>
              <w:rFonts w:hint="default" w:ascii="Times New Roman" w:hAnsi="Times New Roman" w:eastAsia="仿宋_GB2312" w:cs="Times New Roman"/>
              <w:sz w:val="24"/>
              <w:szCs w:val="24"/>
            </w:rPr>
            <w:t>支</w:t>
          </w:r>
          <w:r>
            <w:rPr>
              <w:rFonts w:hint="default" w:ascii="Times New Roman" w:hAnsi="Times New Roman" w:eastAsia="仿宋_GB2312" w:cs="Times New Roman"/>
              <w:bCs w:val="0"/>
              <w:sz w:val="24"/>
              <w:szCs w:val="24"/>
            </w:rPr>
            <w:t>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_Toc27167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10D329A5">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_Toc14116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val="0"/>
              <w:sz w:val="24"/>
              <w:szCs w:val="24"/>
            </w:rPr>
            <w:t>四、</w:t>
          </w:r>
          <w:r>
            <w:rPr>
              <w:rFonts w:hint="default" w:ascii="Times New Roman" w:hAnsi="Times New Roman" w:eastAsia="仿宋_GB2312" w:cs="Times New Roman"/>
              <w:sz w:val="24"/>
              <w:szCs w:val="24"/>
            </w:rPr>
            <w:t>财</w:t>
          </w:r>
          <w:r>
            <w:rPr>
              <w:rFonts w:hint="default" w:ascii="Times New Roman" w:hAnsi="Times New Roman" w:eastAsia="仿宋_GB2312" w:cs="Times New Roman"/>
              <w:bCs w:val="0"/>
              <w:sz w:val="24"/>
              <w:szCs w:val="24"/>
            </w:rPr>
            <w:t>政拨款收入支出决算总表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_Toc14116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12898374">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_Toc19049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val="0"/>
              <w:sz w:val="24"/>
              <w:szCs w:val="24"/>
            </w:rPr>
            <w:t>五、</w:t>
          </w:r>
          <w:r>
            <w:rPr>
              <w:rFonts w:hint="default" w:ascii="Times New Roman" w:hAnsi="Times New Roman" w:eastAsia="仿宋_GB2312" w:cs="Times New Roman"/>
              <w:sz w:val="24"/>
              <w:szCs w:val="24"/>
            </w:rPr>
            <w:t>财</w:t>
          </w:r>
          <w:r>
            <w:rPr>
              <w:rFonts w:hint="default" w:ascii="Times New Roman" w:hAnsi="Times New Roman" w:eastAsia="仿宋_GB2312" w:cs="Times New Roman"/>
              <w:bCs w:val="0"/>
              <w:sz w:val="24"/>
              <w:szCs w:val="24"/>
            </w:rPr>
            <w:t>政拨款支出决算明细表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_Toc19049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0F7EB7CF">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_Toc1677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val="0"/>
              <w:sz w:val="24"/>
              <w:szCs w:val="24"/>
            </w:rPr>
            <w:t>六、</w:t>
          </w:r>
          <w:r>
            <w:rPr>
              <w:rFonts w:hint="default" w:ascii="Times New Roman" w:hAnsi="Times New Roman" w:eastAsia="仿宋_GB2312" w:cs="Times New Roman"/>
              <w:sz w:val="24"/>
              <w:szCs w:val="24"/>
            </w:rPr>
            <w:t>一</w:t>
          </w:r>
          <w:r>
            <w:rPr>
              <w:rFonts w:hint="default" w:ascii="Times New Roman" w:hAnsi="Times New Roman" w:eastAsia="仿宋_GB2312" w:cs="Times New Roman"/>
              <w:bCs w:val="0"/>
              <w:sz w:val="24"/>
              <w:szCs w:val="24"/>
            </w:rPr>
            <w:t>般公共预算财政拨款支出决算表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_Toc1677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0F829298">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_Toc378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val="0"/>
              <w:sz w:val="24"/>
              <w:szCs w:val="24"/>
            </w:rPr>
            <w:t>七、</w:t>
          </w:r>
          <w:r>
            <w:rPr>
              <w:rFonts w:hint="default" w:ascii="Times New Roman" w:hAnsi="Times New Roman" w:eastAsia="仿宋_GB2312" w:cs="Times New Roman"/>
              <w:sz w:val="24"/>
              <w:szCs w:val="24"/>
            </w:rPr>
            <w:t>一</w:t>
          </w:r>
          <w:r>
            <w:rPr>
              <w:rFonts w:hint="default" w:ascii="Times New Roman" w:hAnsi="Times New Roman" w:eastAsia="仿宋_GB2312" w:cs="Times New Roman"/>
              <w:bCs w:val="0"/>
              <w:sz w:val="24"/>
              <w:szCs w:val="24"/>
            </w:rPr>
            <w:t>般公共预算财政拨款支出决算明细表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_Toc378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0517C913">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_Toc3866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val="0"/>
              <w:sz w:val="24"/>
              <w:szCs w:val="24"/>
            </w:rPr>
            <w:t>八、</w:t>
          </w:r>
          <w:r>
            <w:rPr>
              <w:rFonts w:hint="default" w:ascii="Times New Roman" w:hAnsi="Times New Roman" w:eastAsia="仿宋_GB2312" w:cs="Times New Roman"/>
              <w:sz w:val="24"/>
              <w:szCs w:val="24"/>
            </w:rPr>
            <w:t>一</w:t>
          </w:r>
          <w:r>
            <w:rPr>
              <w:rFonts w:hint="default" w:ascii="Times New Roman" w:hAnsi="Times New Roman" w:eastAsia="仿宋_GB2312" w:cs="Times New Roman"/>
              <w:bCs w:val="0"/>
              <w:sz w:val="24"/>
              <w:szCs w:val="24"/>
            </w:rPr>
            <w:t>般公共预算财政拨款基本支出决算表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_Toc3866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2026A98C">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_Toc1459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val="0"/>
              <w:sz w:val="24"/>
              <w:szCs w:val="24"/>
            </w:rPr>
            <w:t>九、</w:t>
          </w:r>
          <w:r>
            <w:rPr>
              <w:rFonts w:hint="default" w:ascii="Times New Roman" w:hAnsi="Times New Roman" w:eastAsia="仿宋_GB2312" w:cs="Times New Roman"/>
              <w:sz w:val="24"/>
              <w:szCs w:val="24"/>
            </w:rPr>
            <w:t>一</w:t>
          </w:r>
          <w:r>
            <w:rPr>
              <w:rFonts w:hint="default" w:ascii="Times New Roman" w:hAnsi="Times New Roman" w:eastAsia="仿宋_GB2312" w:cs="Times New Roman"/>
              <w:bCs w:val="0"/>
              <w:sz w:val="24"/>
              <w:szCs w:val="24"/>
            </w:rPr>
            <w:t>般公共预算财政拨款项目支出决算表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_Toc1459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059BD804">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_Toc13159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val="0"/>
              <w:sz w:val="24"/>
              <w:szCs w:val="24"/>
            </w:rPr>
            <w:t>十、</w:t>
          </w:r>
          <w:r>
            <w:rPr>
              <w:rFonts w:hint="default" w:ascii="Times New Roman" w:hAnsi="Times New Roman" w:eastAsia="仿宋_GB2312" w:cs="Times New Roman"/>
              <w:sz w:val="24"/>
              <w:szCs w:val="24"/>
            </w:rPr>
            <w:t>政</w:t>
          </w:r>
          <w:r>
            <w:rPr>
              <w:rFonts w:hint="default" w:ascii="Times New Roman" w:hAnsi="Times New Roman" w:eastAsia="仿宋_GB2312" w:cs="Times New Roman"/>
              <w:bCs w:val="0"/>
              <w:sz w:val="24"/>
              <w:szCs w:val="24"/>
            </w:rPr>
            <w:t>府性基金预算财政拨款收入支出决算表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_Toc13159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3708FFE4">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_Toc26113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val="0"/>
              <w:sz w:val="24"/>
              <w:szCs w:val="24"/>
            </w:rPr>
            <w:t>十一、</w:t>
          </w:r>
          <w:r>
            <w:rPr>
              <w:rFonts w:hint="default" w:ascii="Times New Roman" w:hAnsi="Times New Roman" w:eastAsia="仿宋_GB2312" w:cs="Times New Roman"/>
              <w:sz w:val="24"/>
              <w:szCs w:val="24"/>
            </w:rPr>
            <w:t>国</w:t>
          </w:r>
          <w:r>
            <w:rPr>
              <w:rFonts w:hint="default" w:ascii="Times New Roman" w:hAnsi="Times New Roman" w:eastAsia="仿宋_GB2312" w:cs="Times New Roman"/>
              <w:bCs w:val="0"/>
              <w:sz w:val="24"/>
              <w:szCs w:val="24"/>
            </w:rPr>
            <w:t>有资本经营预算财政拨款收入支出决算表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_Toc26113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33B153BA">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_Toc2692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val="0"/>
              <w:sz w:val="24"/>
              <w:szCs w:val="24"/>
            </w:rPr>
            <w:t>十二、国有资本经营预算财政拨款支出决算表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_Toc2692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58996355">
          <w:pPr>
            <w:pStyle w:val="12"/>
            <w:keepNext w:val="0"/>
            <w:keepLines w:val="0"/>
            <w:pageBreakBefore w:val="0"/>
            <w:widowControl w:val="0"/>
            <w:tabs>
              <w:tab w:val="right" w:leader="dot" w:pos="8844"/>
              <w:tab w:val="clear" w:pos="8296"/>
            </w:tabs>
            <w:kinsoku/>
            <w:wordWrap/>
            <w:overflowPunct/>
            <w:topLinePunct w:val="0"/>
            <w:autoSpaceDE/>
            <w:autoSpaceDN/>
            <w:bidi w:val="0"/>
            <w:spacing w:line="5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_Toc22967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val="0"/>
              <w:sz w:val="24"/>
              <w:szCs w:val="24"/>
            </w:rPr>
            <w:t>十三、财政拨款“三公”经费支出决算表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_Toc22967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14:paraId="237832BD">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宋体" w:cs="Times New Roman"/>
              <w:b/>
              <w:kern w:val="2"/>
              <w:sz w:val="21"/>
              <w:szCs w:val="24"/>
              <w:lang w:val="en-US" w:eastAsia="zh-CN" w:bidi="ar-SA"/>
            </w:rPr>
          </w:pPr>
          <w:r>
            <w:rPr>
              <w:rFonts w:hint="default" w:ascii="Times New Roman" w:hAnsi="Times New Roman" w:eastAsia="仿宋_GB2312" w:cs="Times New Roman"/>
              <w:sz w:val="24"/>
              <w:szCs w:val="24"/>
            </w:rPr>
            <w:fldChar w:fldCharType="end"/>
          </w:r>
        </w:p>
      </w:sdtContent>
    </w:sdt>
    <w:p w14:paraId="1E160381">
      <w:pPr>
        <w:pStyle w:val="19"/>
        <w:rPr>
          <w:rFonts w:hint="default" w:ascii="Times New Roman" w:hAnsi="Times New Roman" w:cs="Times New Roman"/>
        </w:rPr>
      </w:pPr>
    </w:p>
    <w:p w14:paraId="34C1438B">
      <w:pPr>
        <w:widowControl/>
        <w:spacing w:line="440" w:lineRule="exact"/>
        <w:jc w:val="left"/>
        <w:rPr>
          <w:rFonts w:hint="default" w:ascii="Times New Roman" w:hAnsi="Times New Roman" w:eastAsia="仿宋" w:cs="Times New Roman"/>
          <w:bCs/>
          <w:kern w:val="44"/>
          <w:sz w:val="24"/>
        </w:rPr>
      </w:pPr>
      <w:bookmarkStart w:id="18" w:name="_Toc15377196"/>
      <w:bookmarkStart w:id="19" w:name="_Toc15396599"/>
      <w:r>
        <w:rPr>
          <w:rFonts w:hint="default" w:ascii="Times New Roman" w:hAnsi="Times New Roman" w:eastAsia="仿宋" w:cs="Times New Roman"/>
          <w:b/>
          <w:sz w:val="24"/>
        </w:rPr>
        <w:br w:type="page"/>
      </w:r>
    </w:p>
    <w:p w14:paraId="6A678D94">
      <w:pPr>
        <w:pStyle w:val="12"/>
        <w:adjustRightInd w:val="0"/>
        <w:snapToGrid w:val="0"/>
        <w:spacing w:line="600" w:lineRule="exact"/>
        <w:jc w:val="center"/>
        <w:outlineLvl w:val="0"/>
        <w:rPr>
          <w:rStyle w:val="28"/>
          <w:rFonts w:hint="default" w:ascii="Times New Roman" w:hAnsi="Times New Roman" w:eastAsia="黑体" w:cs="Times New Roman"/>
          <w:b w:val="0"/>
        </w:rPr>
      </w:pPr>
      <w:bookmarkStart w:id="20" w:name="_Toc18327"/>
      <w:r>
        <w:rPr>
          <w:rStyle w:val="28"/>
          <w:rFonts w:hint="default" w:ascii="Times New Roman" w:hAnsi="Times New Roman" w:cs="Times New Roman"/>
        </w:rPr>
        <w:t xml:space="preserve">第一部分 </w:t>
      </w:r>
      <w:r>
        <w:rPr>
          <w:rStyle w:val="28"/>
          <w:rFonts w:hint="default" w:ascii="Times New Roman" w:hAnsi="Times New Roman" w:eastAsia="黑体" w:cs="Times New Roman"/>
          <w:b w:val="0"/>
        </w:rPr>
        <w:t>部门概况</w:t>
      </w:r>
      <w:bookmarkEnd w:id="18"/>
      <w:bookmarkEnd w:id="19"/>
      <w:bookmarkEnd w:id="20"/>
    </w:p>
    <w:p w14:paraId="484BA948">
      <w:pPr>
        <w:widowControl/>
        <w:jc w:val="left"/>
        <w:rPr>
          <w:rFonts w:hint="default" w:ascii="Times New Roman" w:hAnsi="Times New Roman" w:eastAsia="黑体" w:cs="Times New Roman"/>
          <w:sz w:val="32"/>
          <w:szCs w:val="32"/>
        </w:rPr>
      </w:pPr>
    </w:p>
    <w:p w14:paraId="61048223">
      <w:pPr>
        <w:outlineLvl w:val="1"/>
        <w:rPr>
          <w:rFonts w:hint="default" w:ascii="Times New Roman" w:hAnsi="Times New Roman" w:cs="Times New Roman"/>
          <w:b/>
        </w:rPr>
      </w:pPr>
      <w:bookmarkStart w:id="21" w:name="_Toc15396600"/>
      <w:bookmarkStart w:id="22" w:name="_Toc15377197"/>
      <w:bookmarkStart w:id="23" w:name="_Toc29232"/>
      <w:r>
        <w:rPr>
          <w:rFonts w:hint="default" w:ascii="Times New Roman" w:hAnsi="Times New Roman" w:eastAsia="黑体" w:cs="Times New Roman"/>
          <w:bCs/>
          <w:sz w:val="32"/>
          <w:szCs w:val="32"/>
        </w:rPr>
        <w:t>一、</w:t>
      </w:r>
      <w:bookmarkEnd w:id="21"/>
      <w:bookmarkEnd w:id="22"/>
      <w:r>
        <w:rPr>
          <w:rFonts w:hint="default" w:ascii="Times New Roman" w:hAnsi="Times New Roman" w:eastAsia="黑体" w:cs="Times New Roman"/>
          <w:bCs/>
          <w:sz w:val="32"/>
          <w:szCs w:val="32"/>
        </w:rPr>
        <w:t>部门职责</w:t>
      </w:r>
      <w:bookmarkEnd w:id="23"/>
    </w:p>
    <w:p w14:paraId="5AA9397D">
      <w:pPr>
        <w:ind w:firstLine="640" w:firstLineChars="200"/>
        <w:rPr>
          <w:rFonts w:hint="default" w:ascii="Times New Roman" w:hAnsi="Times New Roman" w:eastAsia="仿宋_GB2312" w:cs="Times New Roman"/>
          <w:sz w:val="32"/>
          <w:szCs w:val="32"/>
        </w:rPr>
      </w:pPr>
      <w:bookmarkStart w:id="24" w:name="_Toc15377200"/>
      <w:bookmarkStart w:id="25" w:name="_Toc15396601"/>
      <w:r>
        <w:rPr>
          <w:rFonts w:hint="default" w:ascii="Times New Roman" w:hAnsi="Times New Roman" w:eastAsia="仿宋_GB2312" w:cs="Times New Roman"/>
          <w:sz w:val="32"/>
          <w:szCs w:val="32"/>
        </w:rPr>
        <w:t>盐边县城第一小学校是经盐边县机构编制委员会批准成立的独立法人机构，是经费独立核算事业单位。在盐边县教育和体育局领导下的一所城乡居民儿童共享的小学校，实施小学义务教育，小学学历教育是学校的主要工作职责。</w:t>
      </w:r>
    </w:p>
    <w:p w14:paraId="5E9FBA87">
      <w:pPr>
        <w:outlineLvl w:val="1"/>
        <w:rPr>
          <w:rFonts w:hint="default" w:ascii="Times New Roman" w:hAnsi="Times New Roman" w:eastAsia="黑体" w:cs="Times New Roman"/>
          <w:bCs/>
          <w:sz w:val="32"/>
          <w:szCs w:val="32"/>
        </w:rPr>
      </w:pPr>
      <w:bookmarkStart w:id="26" w:name="_Toc27065"/>
      <w:r>
        <w:rPr>
          <w:rFonts w:hint="default" w:ascii="Times New Roman" w:hAnsi="Times New Roman" w:eastAsia="黑体" w:cs="Times New Roman"/>
          <w:bCs/>
          <w:sz w:val="32"/>
          <w:szCs w:val="32"/>
        </w:rPr>
        <w:t>二、机构设置</w:t>
      </w:r>
      <w:bookmarkEnd w:id="24"/>
      <w:bookmarkEnd w:id="25"/>
      <w:bookmarkEnd w:id="26"/>
    </w:p>
    <w:p w14:paraId="6C57D02C">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盐边县城第一小学校下属二级预算单位1个，其中行政单位0个，参照公务员法管理的事业单位1个，其他事业单位0个。</w:t>
      </w:r>
    </w:p>
    <w:p w14:paraId="2DD0CCDD">
      <w:pPr>
        <w:pStyle w:val="5"/>
        <w:adjustRightInd w:val="0"/>
        <w:snapToGrid w:val="0"/>
        <w:spacing w:before="93" w:line="600" w:lineRule="exact"/>
        <w:ind w:firstLine="672" w:firstLineChars="210"/>
        <w:rPr>
          <w:rFonts w:hint="default" w:ascii="Times New Roman" w:hAnsi="Times New Roman" w:cs="Times New Roman"/>
          <w:kern w:val="2"/>
          <w:sz w:val="32"/>
          <w:szCs w:val="32"/>
        </w:rPr>
      </w:pPr>
      <w:r>
        <w:rPr>
          <w:rFonts w:hint="default" w:ascii="Times New Roman" w:hAnsi="Times New Roman" w:cs="Times New Roman"/>
          <w:kern w:val="2"/>
          <w:sz w:val="32"/>
          <w:szCs w:val="32"/>
        </w:rPr>
        <w:t>纳入盐边县城第一小学校2023年度部门决算编制范围的二级预算单位包括：盐边县城第一小学校。</w:t>
      </w:r>
    </w:p>
    <w:p w14:paraId="2A83705D">
      <w:pPr>
        <w:pStyle w:val="5"/>
        <w:adjustRightInd w:val="0"/>
        <w:snapToGrid w:val="0"/>
        <w:spacing w:before="93" w:line="600" w:lineRule="exact"/>
        <w:ind w:left="1152"/>
        <w:outlineLvl w:val="9"/>
        <w:rPr>
          <w:rFonts w:hint="default" w:ascii="Times New Roman" w:hAnsi="Times New Roman" w:eastAsia="仿宋" w:cs="Times New Roman"/>
          <w:sz w:val="32"/>
          <w:szCs w:val="32"/>
        </w:rPr>
      </w:pPr>
    </w:p>
    <w:p w14:paraId="3A08966B">
      <w:pPr>
        <w:pStyle w:val="5"/>
        <w:adjustRightInd w:val="0"/>
        <w:snapToGrid w:val="0"/>
        <w:spacing w:before="93" w:line="600" w:lineRule="exact"/>
        <w:rPr>
          <w:rFonts w:hint="default" w:ascii="Times New Roman" w:hAnsi="Times New Roman" w:eastAsia="仿宋" w:cs="Times New Roman"/>
          <w:sz w:val="32"/>
          <w:szCs w:val="32"/>
        </w:rPr>
      </w:pPr>
    </w:p>
    <w:p w14:paraId="1AFA9F07">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14:paraId="5D7E9165">
      <w:pPr>
        <w:spacing w:line="560" w:lineRule="exact"/>
        <w:jc w:val="center"/>
        <w:outlineLvl w:val="0"/>
        <w:rPr>
          <w:rStyle w:val="28"/>
          <w:rFonts w:hint="default" w:ascii="Times New Roman" w:hAnsi="Times New Roman" w:eastAsia="黑体" w:cs="Times New Roman"/>
          <w:b w:val="0"/>
        </w:rPr>
      </w:pPr>
      <w:bookmarkStart w:id="27" w:name="_Toc15396602"/>
      <w:bookmarkStart w:id="28" w:name="_Toc15377204"/>
      <w:bookmarkStart w:id="29" w:name="_Toc5845"/>
      <w:r>
        <w:rPr>
          <w:rStyle w:val="28"/>
          <w:rFonts w:hint="default" w:ascii="Times New Roman" w:hAnsi="Times New Roman" w:eastAsia="黑体" w:cs="Times New Roman"/>
          <w:b w:val="0"/>
        </w:rPr>
        <w:t>第二部分 2023年度部门决算情况说明</w:t>
      </w:r>
      <w:bookmarkEnd w:id="27"/>
      <w:bookmarkEnd w:id="28"/>
      <w:bookmarkEnd w:id="29"/>
    </w:p>
    <w:p w14:paraId="634704CA">
      <w:pPr>
        <w:rPr>
          <w:rFonts w:hint="default" w:ascii="Times New Roman" w:hAnsi="Times New Roman" w:cs="Times New Roman"/>
        </w:rPr>
      </w:pPr>
    </w:p>
    <w:p w14:paraId="297085B4">
      <w:pPr>
        <w:ind w:firstLine="640" w:firstLineChars="200"/>
        <w:outlineLvl w:val="1"/>
        <w:rPr>
          <w:rFonts w:hint="default" w:ascii="Times New Roman" w:hAnsi="Times New Roman" w:eastAsia="黑体" w:cs="Times New Roman"/>
          <w:bCs/>
          <w:sz w:val="32"/>
          <w:szCs w:val="32"/>
        </w:rPr>
      </w:pPr>
      <w:bookmarkStart w:id="30" w:name="_Toc15396603"/>
      <w:bookmarkStart w:id="31" w:name="_Toc15377205"/>
      <w:bookmarkStart w:id="32" w:name="_Toc10056"/>
      <w:r>
        <w:rPr>
          <w:rFonts w:hint="default" w:ascii="Times New Roman" w:hAnsi="Times New Roman" w:eastAsia="黑体" w:cs="Times New Roman"/>
          <w:bCs/>
          <w:sz w:val="32"/>
          <w:szCs w:val="32"/>
        </w:rPr>
        <w:t>一、收入支出决算总体情况说明</w:t>
      </w:r>
      <w:bookmarkEnd w:id="30"/>
      <w:bookmarkEnd w:id="31"/>
      <w:bookmarkEnd w:id="32"/>
    </w:p>
    <w:p w14:paraId="6C943E0A">
      <w:pPr>
        <w:spacing w:line="600" w:lineRule="exact"/>
        <w:ind w:firstLine="640" w:firstLineChars="200"/>
        <w:rPr>
          <w:rFonts w:hint="default" w:ascii="Times New Roman" w:hAnsi="Times New Roman" w:eastAsia="仿宋_GB2312" w:cs="Times New Roman"/>
          <w:sz w:val="32"/>
          <w:szCs w:val="32"/>
        </w:rPr>
      </w:pPr>
      <w:bookmarkStart w:id="33" w:name="_Toc15377206"/>
      <w:bookmarkStart w:id="34" w:name="_Toc15396604"/>
      <w:r>
        <w:rPr>
          <w:rFonts w:hint="default" w:ascii="Times New Roman" w:hAnsi="Times New Roman" w:eastAsia="仿宋_GB2312" w:cs="Times New Roman"/>
          <w:sz w:val="32"/>
          <w:szCs w:val="32"/>
        </w:rPr>
        <w:t>2023年度收、支总计均为1582.61万元。与2022年度相比，收、支总计各增加58.29万元，增长3.82%。主要变动原因是财政拨款中人员经费支出1367.17万元，较去年减少支出27.25万元，同比减少1.95%；2023年日常公用经费支出142.48万元，较去年增加104.42万元，同比增加274.38%；2023年项目经费支出72.95万元，较去年减少150万元，同比减少67.28%。</w:t>
      </w:r>
    </w:p>
    <w:p w14:paraId="7BB1C22A">
      <w:pPr>
        <w:spacing w:before="93" w:beforeLines="30"/>
        <w:jc w:val="center"/>
        <w:rPr>
          <w:rFonts w:hint="default" w:ascii="Times New Roman" w:hAnsi="Times New Roman" w:eastAsia="仿宋_GB2312" w:cs="Times New Roman"/>
          <w:kern w:val="0"/>
          <w:sz w:val="30"/>
        </w:rPr>
      </w:pPr>
      <w:r>
        <w:rPr>
          <w:rFonts w:hint="default" w:ascii="Times New Roman" w:hAnsi="Times New Roman" w:eastAsia="仿宋_GB2312" w:cs="Times New Roman"/>
          <w:kern w:val="0"/>
          <w:sz w:val="30"/>
        </w:rPr>
        <w:drawing>
          <wp:inline distT="0" distB="0" distL="0" distR="0">
            <wp:extent cx="5133975" cy="3143250"/>
            <wp:effectExtent l="0" t="0" r="9525"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704E453">
      <w:pPr>
        <w:spacing w:before="93" w:beforeLines="3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图1：收、支决算总计变动情况图</w:t>
      </w:r>
    </w:p>
    <w:p w14:paraId="7E846A4B">
      <w:pPr>
        <w:ind w:firstLine="640" w:firstLineChars="200"/>
        <w:outlineLvl w:val="1"/>
        <w:rPr>
          <w:rFonts w:hint="default" w:ascii="Times New Roman" w:hAnsi="Times New Roman" w:eastAsia="黑体" w:cs="Times New Roman"/>
          <w:bCs/>
          <w:sz w:val="32"/>
          <w:szCs w:val="32"/>
        </w:rPr>
      </w:pPr>
      <w:bookmarkStart w:id="35" w:name="_Toc30151"/>
      <w:r>
        <w:rPr>
          <w:rFonts w:hint="default" w:ascii="Times New Roman" w:hAnsi="Times New Roman" w:eastAsia="黑体" w:cs="Times New Roman"/>
          <w:bCs/>
          <w:sz w:val="32"/>
          <w:szCs w:val="32"/>
        </w:rPr>
        <w:t>二、收入决算情况说明</w:t>
      </w:r>
      <w:bookmarkEnd w:id="33"/>
      <w:bookmarkEnd w:id="34"/>
      <w:bookmarkEnd w:id="35"/>
    </w:p>
    <w:p w14:paraId="4EF54876">
      <w:pPr>
        <w:spacing w:line="600" w:lineRule="exact"/>
        <w:ind w:firstLine="640" w:firstLineChars="200"/>
        <w:outlineLvl w:val="1"/>
        <w:rPr>
          <w:rFonts w:hint="default" w:ascii="Times New Roman" w:hAnsi="Times New Roman" w:eastAsia="仿宋_GB2312" w:cs="Times New Roman"/>
          <w:sz w:val="32"/>
          <w:szCs w:val="32"/>
        </w:rPr>
      </w:pPr>
      <w:bookmarkStart w:id="36" w:name="_Toc15264"/>
      <w:bookmarkStart w:id="37" w:name="_Toc30003"/>
      <w:bookmarkStart w:id="38" w:name="_Toc15377207"/>
      <w:bookmarkStart w:id="39" w:name="_Toc15396605"/>
      <w:r>
        <w:rPr>
          <w:rFonts w:hint="default" w:ascii="Times New Roman" w:hAnsi="Times New Roman" w:eastAsia="仿宋_GB2312" w:cs="Times New Roman"/>
          <w:sz w:val="32"/>
          <w:szCs w:val="32"/>
        </w:rPr>
        <w:t>2023年度本年收入合计1582.61万元，其中：一般公共预算财政拨款收入1582.61万元，占100%；政府性基金预算财政拨款收入0万元，占0%；国有资本经营预算财政拨款收入0万元，占0%；上级补助收入0万元，占0%；事业收入0万元，占0%；经营收入0万元，占0%；附属单位上缴收入0万元，占0%；其他收入0万元，占0%。</w:t>
      </w:r>
      <w:bookmarkEnd w:id="36"/>
      <w:bookmarkEnd w:id="37"/>
    </w:p>
    <w:p w14:paraId="6BD1A651">
      <w:pPr>
        <w:spacing w:before="93" w:beforeLines="30"/>
        <w:jc w:val="center"/>
        <w:rPr>
          <w:rFonts w:hint="default" w:ascii="Times New Roman" w:hAnsi="Times New Roman" w:eastAsia="仿宋_GB2312" w:cs="Times New Roman"/>
          <w:kern w:val="0"/>
          <w:sz w:val="30"/>
        </w:rPr>
      </w:pPr>
      <w:r>
        <w:rPr>
          <w:rFonts w:hint="default" w:ascii="Times New Roman" w:hAnsi="Times New Roman" w:eastAsia="仿宋_GB2312" w:cs="Times New Roman"/>
          <w:kern w:val="0"/>
          <w:sz w:val="30"/>
        </w:rPr>
        <w:drawing>
          <wp:inline distT="0" distB="0" distL="0" distR="0">
            <wp:extent cx="5090160" cy="2712720"/>
            <wp:effectExtent l="0" t="0" r="15240" b="114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8E89CA">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图2：收入决算结构图</w:t>
      </w:r>
    </w:p>
    <w:p w14:paraId="694A1AD4">
      <w:pPr>
        <w:ind w:firstLine="640" w:firstLineChars="200"/>
        <w:outlineLvl w:val="1"/>
        <w:rPr>
          <w:rFonts w:hint="default" w:ascii="Times New Roman" w:hAnsi="Times New Roman" w:eastAsia="黑体" w:cs="Times New Roman"/>
          <w:bCs/>
          <w:sz w:val="32"/>
          <w:szCs w:val="32"/>
        </w:rPr>
      </w:pPr>
      <w:bookmarkStart w:id="40" w:name="_Toc14054"/>
      <w:r>
        <w:rPr>
          <w:rFonts w:hint="default" w:ascii="Times New Roman" w:hAnsi="Times New Roman" w:eastAsia="黑体" w:cs="Times New Roman"/>
          <w:bCs/>
          <w:sz w:val="32"/>
          <w:szCs w:val="32"/>
        </w:rPr>
        <w:t>三、支出决算情况说明</w:t>
      </w:r>
      <w:bookmarkEnd w:id="38"/>
      <w:bookmarkEnd w:id="39"/>
      <w:bookmarkEnd w:id="40"/>
    </w:p>
    <w:p w14:paraId="0DED113D">
      <w:pPr>
        <w:spacing w:line="600" w:lineRule="exact"/>
        <w:ind w:firstLine="640" w:firstLineChars="200"/>
        <w:outlineLvl w:val="1"/>
        <w:rPr>
          <w:rFonts w:hint="default" w:ascii="Times New Roman" w:hAnsi="Times New Roman" w:eastAsia="仿宋_GB2312" w:cs="Times New Roman"/>
          <w:sz w:val="32"/>
          <w:szCs w:val="32"/>
        </w:rPr>
      </w:pPr>
      <w:bookmarkStart w:id="41" w:name="_Toc6520"/>
      <w:bookmarkStart w:id="42" w:name="_Toc28631"/>
      <w:bookmarkStart w:id="43" w:name="_Toc15377208"/>
      <w:bookmarkStart w:id="44" w:name="_Toc15396606"/>
      <w:r>
        <w:rPr>
          <w:rFonts w:hint="default" w:ascii="Times New Roman" w:hAnsi="Times New Roman" w:eastAsia="仿宋_GB2312" w:cs="Times New Roman"/>
          <w:sz w:val="32"/>
          <w:szCs w:val="32"/>
        </w:rPr>
        <w:t>2023年度本年支出合计1582.61万元，其中：基本支出1509.66万元，占95.39%；项目支出72.95万元，占4.61%；上缴上级支出0万元，占0%；经营支出0万元，占0%；对附属单位补助支出0万元，占0%。</w:t>
      </w:r>
      <w:bookmarkEnd w:id="41"/>
      <w:bookmarkEnd w:id="42"/>
    </w:p>
    <w:p w14:paraId="016AB0AE">
      <w:pPr>
        <w:spacing w:before="93" w:beforeLines="30"/>
        <w:jc w:val="center"/>
        <w:rPr>
          <w:rFonts w:hint="default" w:ascii="Times New Roman" w:hAnsi="Times New Roman" w:eastAsia="仿宋_GB2312" w:cs="Times New Roman"/>
          <w:kern w:val="0"/>
          <w:sz w:val="30"/>
        </w:rPr>
      </w:pPr>
      <w:r>
        <w:rPr>
          <w:rFonts w:hint="default" w:ascii="Times New Roman" w:hAnsi="Times New Roman" w:eastAsia="仿宋_GB2312" w:cs="Times New Roman"/>
          <w:kern w:val="0"/>
          <w:sz w:val="30"/>
        </w:rPr>
        <w:drawing>
          <wp:inline distT="0" distB="0" distL="0" distR="0">
            <wp:extent cx="4823460" cy="2194560"/>
            <wp:effectExtent l="0" t="0" r="15240" b="152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5D5C78">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w:t>
      </w:r>
    </w:p>
    <w:p w14:paraId="6A652E46">
      <w:pPr>
        <w:ind w:firstLine="640" w:firstLineChars="200"/>
        <w:outlineLvl w:val="1"/>
        <w:rPr>
          <w:rFonts w:hint="default" w:ascii="Times New Roman" w:hAnsi="Times New Roman" w:eastAsia="黑体" w:cs="Times New Roman"/>
          <w:bCs/>
          <w:sz w:val="32"/>
          <w:szCs w:val="32"/>
        </w:rPr>
      </w:pPr>
      <w:bookmarkStart w:id="45" w:name="_Toc20753"/>
      <w:r>
        <w:rPr>
          <w:rFonts w:hint="default" w:ascii="Times New Roman" w:hAnsi="Times New Roman" w:eastAsia="黑体" w:cs="Times New Roman"/>
          <w:bCs/>
          <w:sz w:val="32"/>
          <w:szCs w:val="32"/>
        </w:rPr>
        <w:t>四、财政拨款收入支出决算总体情况说明</w:t>
      </w:r>
      <w:bookmarkEnd w:id="43"/>
      <w:bookmarkEnd w:id="44"/>
      <w:bookmarkEnd w:id="45"/>
    </w:p>
    <w:p w14:paraId="6B85736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财政拨款收、支总计均为1582.61万元。与2022年度相比，财政拨款收、支总计各增加58.29万元，增长3.82%。主要变动原因是财政拨款中人员经费支出1367.17万元，较去年减少支出27.25万元，同比减少1.95%；2023年日常公用经费支出142.48万元，较去年增加104.42万元，同比增加274.38%；2023年项目经费支出72.95万元，较去年减少150万元，同比减少67.28%。</w:t>
      </w:r>
    </w:p>
    <w:p w14:paraId="2F635296">
      <w:pPr>
        <w:pStyle w:val="5"/>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4770120" cy="2423160"/>
            <wp:effectExtent l="0" t="0" r="11430" b="1524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BE618E">
      <w:pPr>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图4：财政拨款收、支决算总计变动情况</w:t>
      </w:r>
    </w:p>
    <w:p w14:paraId="7039A835">
      <w:pPr>
        <w:ind w:firstLine="640" w:firstLineChars="200"/>
        <w:outlineLvl w:val="1"/>
        <w:rPr>
          <w:rFonts w:hint="default" w:ascii="Times New Roman" w:hAnsi="Times New Roman" w:eastAsia="黑体" w:cs="Times New Roman"/>
          <w:bCs/>
          <w:sz w:val="32"/>
          <w:szCs w:val="32"/>
        </w:rPr>
      </w:pPr>
      <w:bookmarkStart w:id="46" w:name="_Toc15377209"/>
      <w:bookmarkStart w:id="47" w:name="_Toc15396607"/>
      <w:bookmarkStart w:id="48" w:name="_Toc13998"/>
      <w:r>
        <w:rPr>
          <w:rFonts w:hint="default" w:ascii="Times New Roman" w:hAnsi="Times New Roman" w:eastAsia="黑体" w:cs="Times New Roman"/>
          <w:bCs/>
          <w:sz w:val="32"/>
          <w:szCs w:val="32"/>
        </w:rPr>
        <w:t>五、一般公共预算财政拨款支出决算情况说明</w:t>
      </w:r>
      <w:bookmarkEnd w:id="46"/>
      <w:bookmarkEnd w:id="47"/>
      <w:bookmarkEnd w:id="48"/>
    </w:p>
    <w:p w14:paraId="32D1B778">
      <w:pPr>
        <w:spacing w:line="600" w:lineRule="exact"/>
        <w:ind w:firstLine="640"/>
        <w:outlineLvl w:val="2"/>
        <w:rPr>
          <w:rFonts w:hint="default" w:ascii="Times New Roman" w:hAnsi="Times New Roman" w:eastAsia="楷体_GB2312" w:cs="Times New Roman"/>
          <w:sz w:val="32"/>
          <w:szCs w:val="32"/>
        </w:rPr>
      </w:pPr>
      <w:bookmarkStart w:id="49" w:name="_Toc15377210"/>
      <w:bookmarkStart w:id="50" w:name="_Toc15377211"/>
      <w:r>
        <w:rPr>
          <w:rFonts w:hint="default" w:ascii="Times New Roman" w:hAnsi="Times New Roman" w:eastAsia="楷体_GB2312" w:cs="Times New Roman"/>
          <w:sz w:val="32"/>
          <w:szCs w:val="32"/>
        </w:rPr>
        <w:t>（一）一般公共预算财政拨款支出决算总体情况</w:t>
      </w:r>
      <w:bookmarkEnd w:id="49"/>
      <w:r>
        <w:rPr>
          <w:rFonts w:hint="default" w:ascii="Times New Roman" w:hAnsi="Times New Roman" w:eastAsia="楷体_GB2312" w:cs="Times New Roman"/>
          <w:sz w:val="32"/>
          <w:szCs w:val="32"/>
        </w:rPr>
        <w:t>。</w:t>
      </w:r>
    </w:p>
    <w:p w14:paraId="031B42A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一般公共预算财政拨款支出1582.61万元，占本年支出合计的100%。与2022年度相比，一般公共预算财政拨款支出增加58.29万元，增长3.82%。主要变动原因是财政拨款中人员经费支出1367.17万元，较去年减少支出27.25万元，同比减少1.95%；2023年日常公用经费支出142.48万元，较去年增加104.42万元，同比增加274.38%；2023年项目经费支出72.95万元，较去年减少150万元，同比减少67.28%。</w:t>
      </w:r>
    </w:p>
    <w:p w14:paraId="0000E2B1">
      <w:pPr>
        <w:spacing w:before="93" w:beforeLines="30"/>
        <w:jc w:val="center"/>
        <w:rPr>
          <w:rFonts w:hint="default" w:ascii="Times New Roman" w:hAnsi="Times New Roman" w:eastAsia="仿宋_GB2312" w:cs="Times New Roman"/>
          <w:kern w:val="0"/>
          <w:sz w:val="30"/>
        </w:rPr>
      </w:pPr>
      <w:r>
        <w:rPr>
          <w:rFonts w:hint="default" w:ascii="Times New Roman" w:hAnsi="Times New Roman" w:eastAsia="仿宋_GB2312" w:cs="Times New Roman"/>
          <w:kern w:val="0"/>
          <w:sz w:val="30"/>
        </w:rPr>
        <w:drawing>
          <wp:inline distT="0" distB="0" distL="0" distR="0">
            <wp:extent cx="5074920" cy="2088515"/>
            <wp:effectExtent l="4445" t="4445" r="6985" b="2159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DC0E6E">
      <w:pPr>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w:t>
      </w:r>
    </w:p>
    <w:p w14:paraId="788C8819">
      <w:pPr>
        <w:spacing w:line="600" w:lineRule="exact"/>
        <w:ind w:firstLine="640" w:firstLineChars="200"/>
        <w:outlineLvl w:val="2"/>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（二）一般公共预算财政拨款支出决算结构情况</w:t>
      </w:r>
      <w:bookmarkEnd w:id="50"/>
      <w:r>
        <w:rPr>
          <w:rFonts w:hint="default" w:ascii="Times New Roman" w:hAnsi="Times New Roman" w:eastAsia="楷体_GB2312" w:cs="Times New Roman"/>
          <w:sz w:val="32"/>
          <w:szCs w:val="32"/>
        </w:rPr>
        <w:t>。</w:t>
      </w:r>
    </w:p>
    <w:p w14:paraId="61EE1359">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2023年度一般公共预算财政拨款支出1582.61万元，主要用于以下方面:教育支出1156.77万元，占73.09%；社会保障和就业支出239.06万元，占15.11%；卫生健康支出97.28万元，占6.15%；住房保障支出89.5万元，占5.65%。</w:t>
      </w:r>
    </w:p>
    <w:p w14:paraId="357988A0">
      <w:pPr>
        <w:spacing w:before="93" w:beforeLines="30"/>
        <w:jc w:val="center"/>
        <w:rPr>
          <w:rFonts w:hint="default" w:ascii="Times New Roman" w:hAnsi="Times New Roman" w:eastAsia="仿宋_GB2312" w:cs="Times New Roman"/>
          <w:kern w:val="0"/>
          <w:sz w:val="30"/>
        </w:rPr>
      </w:pPr>
      <w:r>
        <w:rPr>
          <w:rFonts w:hint="default" w:ascii="Times New Roman" w:hAnsi="Times New Roman" w:eastAsia="仿宋_GB2312" w:cs="Times New Roman"/>
          <w:kern w:val="0"/>
          <w:sz w:val="30"/>
        </w:rPr>
        <w:drawing>
          <wp:inline distT="0" distB="0" distL="0" distR="0">
            <wp:extent cx="4465320" cy="1821180"/>
            <wp:effectExtent l="0" t="0" r="11430" b="266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3FABE2">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w:t>
      </w:r>
    </w:p>
    <w:p w14:paraId="01E246B5">
      <w:pPr>
        <w:spacing w:line="600" w:lineRule="exact"/>
        <w:ind w:firstLine="640"/>
        <w:outlineLvl w:val="2"/>
        <w:rPr>
          <w:rFonts w:hint="default" w:ascii="Times New Roman" w:hAnsi="Times New Roman" w:eastAsia="楷体_GB2312" w:cs="Times New Roman"/>
          <w:sz w:val="32"/>
          <w:szCs w:val="32"/>
        </w:rPr>
      </w:pPr>
      <w:bookmarkStart w:id="51" w:name="_Toc15377214"/>
      <w:bookmarkStart w:id="52" w:name="_Toc15396608"/>
      <w:r>
        <w:rPr>
          <w:rFonts w:hint="default" w:ascii="Times New Roman" w:hAnsi="Times New Roman" w:eastAsia="楷体_GB2312" w:cs="Times New Roman"/>
          <w:sz w:val="32"/>
          <w:szCs w:val="32"/>
        </w:rPr>
        <w:t>（三）一般公共预算财政拨款支出决算具体情况。</w:t>
      </w:r>
    </w:p>
    <w:p w14:paraId="17623D95">
      <w:pPr>
        <w:spacing w:line="600" w:lineRule="exact"/>
        <w:ind w:firstLine="640" w:firstLineChars="200"/>
        <w:outlineLvl w:val="1"/>
        <w:rPr>
          <w:rFonts w:hint="default" w:ascii="Times New Roman" w:hAnsi="Times New Roman" w:eastAsia="仿宋_GB2312" w:cs="Times New Roman"/>
          <w:sz w:val="32"/>
          <w:szCs w:val="32"/>
        </w:rPr>
      </w:pPr>
      <w:bookmarkStart w:id="53" w:name="_Toc15378460"/>
      <w:bookmarkStart w:id="54" w:name="_Toc15377213"/>
      <w:bookmarkStart w:id="55" w:name="_Toc27565"/>
      <w:bookmarkStart w:id="56" w:name="_Toc15377444"/>
      <w:bookmarkStart w:id="57" w:name="_Toc8616"/>
      <w:r>
        <w:rPr>
          <w:rFonts w:hint="default" w:ascii="Times New Roman" w:hAnsi="Times New Roman" w:eastAsia="仿宋_GB2312" w:cs="Times New Roman"/>
          <w:sz w:val="32"/>
          <w:szCs w:val="32"/>
        </w:rPr>
        <w:t>2023年度一般公共预算支出决算数为1582.61</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，完成预算100%。其中：</w:t>
      </w:r>
      <w:bookmarkEnd w:id="53"/>
      <w:bookmarkEnd w:id="54"/>
      <w:bookmarkEnd w:id="55"/>
      <w:bookmarkEnd w:id="56"/>
      <w:bookmarkEnd w:id="57"/>
    </w:p>
    <w:p w14:paraId="6FCD4B8E">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1.教育支出（205类）</w:t>
      </w:r>
      <w:r>
        <w:rPr>
          <w:rFonts w:hint="default" w:ascii="Times New Roman" w:hAnsi="Times New Roman" w:eastAsia="仿宋_GB2312" w:cs="Times New Roman"/>
          <w:sz w:val="32"/>
          <w:szCs w:val="32"/>
        </w:rPr>
        <w:t>: 支出决算为1156.77万元，完成预算100%。</w:t>
      </w:r>
    </w:p>
    <w:p w14:paraId="5C7AAC9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教育支出（205类）普通教育（02款）小学教育（02项）: 支出决算为1092.94万元，完成预算100%。</w:t>
      </w:r>
    </w:p>
    <w:p w14:paraId="7B9BE4C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教育支出（205类）教育费附加安排的支出（09款）农村中小学校舍建设（01项）: 支出决算为31.24万元，完成预算100%。</w:t>
      </w:r>
    </w:p>
    <w:p w14:paraId="1D2E273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教育支出（205类）教育费附加安排的支出（09款）农村中小学教学设施（02项）: 支出决算为1.4万元，完成预算100%。</w:t>
      </w:r>
    </w:p>
    <w:p w14:paraId="4275116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④</w:t>
      </w:r>
      <w:r>
        <w:rPr>
          <w:rFonts w:hint="default" w:ascii="Times New Roman" w:hAnsi="Times New Roman" w:eastAsia="仿宋_GB2312" w:cs="Times New Roman"/>
          <w:sz w:val="32"/>
          <w:szCs w:val="32"/>
        </w:rPr>
        <w:t>教育支出（205类）教育费附加安排的支出（09款）其他教育费附加安排的支出（99项）: 支出决算为31.19万元，完成预算100%。</w:t>
      </w:r>
    </w:p>
    <w:p w14:paraId="4D8F21AD">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2.社会保障和就业支出（08类）:</w:t>
      </w:r>
      <w:r>
        <w:rPr>
          <w:rFonts w:hint="default" w:ascii="Times New Roman" w:hAnsi="Times New Roman" w:eastAsia="仿宋_GB2312" w:cs="Times New Roman"/>
          <w:sz w:val="32"/>
          <w:szCs w:val="32"/>
        </w:rPr>
        <w:t xml:space="preserve"> 支出决算为239.06万元，完成预算100%。</w:t>
      </w:r>
    </w:p>
    <w:p w14:paraId="744214E2">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社会保障和就业支出（08类）行政事业单位养老支出（05款）事业单位离退休（02项）: 支出决算为49.06万元，完成预算100%。</w:t>
      </w:r>
    </w:p>
    <w:p w14:paraId="08C7901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社会保障和就业支出（08类）行政事业单位养老支出（08款）机关事业单位基本养老保险缴费支出（05项）: 支出决算为120.89万元，完成预算100%。</w:t>
      </w:r>
    </w:p>
    <w:p w14:paraId="718F95F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社会保障和就业支出（08类）行政事业单位养老支出（05款）机关事业单位职业年金缴费支出（06项）: 支出决算为69.11万元，完成预算100%。</w:t>
      </w:r>
    </w:p>
    <w:p w14:paraId="238F4278">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3.卫生健康支出（210类）</w:t>
      </w:r>
      <w:r>
        <w:rPr>
          <w:rFonts w:hint="default" w:ascii="Times New Roman" w:hAnsi="Times New Roman" w:eastAsia="仿宋_GB2312" w:cs="Times New Roman"/>
          <w:sz w:val="32"/>
          <w:szCs w:val="32"/>
        </w:rPr>
        <w:t>:支出决算为97.28万元，完成预算100%。</w:t>
      </w:r>
    </w:p>
    <w:p w14:paraId="13B959F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卫生健康支出（210类）行政事业单位医疗（11款）事业单位医疗（02项）:支出决算为57.91万元，完成预算100%。</w:t>
      </w:r>
    </w:p>
    <w:p w14:paraId="2017DA0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卫生健康支出（210类）行政事业单位医疗（11款）其他行政事业单位医疗支出（99项）:支出决算为39.37万元，完成预算100%。</w:t>
      </w:r>
    </w:p>
    <w:p w14:paraId="15F23779">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4.住房保障支出（221类）住房改革支出（02款）住房公积金（01项）</w:t>
      </w:r>
      <w:r>
        <w:rPr>
          <w:rFonts w:hint="default" w:ascii="Times New Roman" w:hAnsi="Times New Roman" w:eastAsia="仿宋_GB2312" w:cs="Times New Roman"/>
          <w:sz w:val="32"/>
          <w:szCs w:val="32"/>
        </w:rPr>
        <w:t>：支出决算为89.5万元，完成预算100%。</w:t>
      </w:r>
    </w:p>
    <w:p w14:paraId="6F5A10BD">
      <w:pPr>
        <w:ind w:firstLine="640" w:firstLineChars="200"/>
        <w:outlineLvl w:val="1"/>
        <w:rPr>
          <w:rFonts w:hint="default" w:ascii="Times New Roman" w:hAnsi="Times New Roman" w:eastAsia="黑体" w:cs="Times New Roman"/>
          <w:bCs/>
          <w:sz w:val="32"/>
          <w:szCs w:val="32"/>
        </w:rPr>
      </w:pPr>
      <w:bookmarkStart w:id="58" w:name="_Toc9784"/>
      <w:r>
        <w:rPr>
          <w:rFonts w:hint="default" w:ascii="Times New Roman" w:hAnsi="Times New Roman" w:eastAsia="黑体" w:cs="Times New Roman"/>
          <w:bCs/>
          <w:sz w:val="32"/>
          <w:szCs w:val="32"/>
        </w:rPr>
        <w:t>六、一般公共预算财政拨款基本支出决算情况说明</w:t>
      </w:r>
      <w:bookmarkEnd w:id="51"/>
      <w:bookmarkEnd w:id="52"/>
      <w:bookmarkEnd w:id="58"/>
      <w:r>
        <w:rPr>
          <w:rFonts w:hint="default" w:ascii="Times New Roman" w:hAnsi="Times New Roman" w:eastAsia="黑体" w:cs="Times New Roman"/>
          <w:bCs/>
          <w:sz w:val="32"/>
          <w:szCs w:val="32"/>
        </w:rPr>
        <w:tab/>
      </w:r>
    </w:p>
    <w:p w14:paraId="24C6B0BD">
      <w:pPr>
        <w:spacing w:line="600" w:lineRule="exact"/>
        <w:ind w:firstLine="645"/>
        <w:rPr>
          <w:rFonts w:hint="default" w:ascii="Times New Roman" w:hAnsi="Times New Roman" w:eastAsia="仿宋" w:cs="Times New Roman"/>
          <w:sz w:val="32"/>
          <w:szCs w:val="32"/>
        </w:rPr>
      </w:pPr>
      <w:bookmarkStart w:id="59" w:name="_Toc15396609"/>
      <w:bookmarkStart w:id="60" w:name="_Toc15377215"/>
      <w:r>
        <w:rPr>
          <w:rFonts w:hint="default" w:ascii="Times New Roman" w:hAnsi="Times New Roman" w:eastAsia="仿宋" w:cs="Times New Roman"/>
          <w:sz w:val="32"/>
          <w:szCs w:val="32"/>
        </w:rPr>
        <w:t>2023年度一般公共预算财政拨款基本支出</w:t>
      </w:r>
      <w:r>
        <w:rPr>
          <w:rFonts w:hint="default" w:ascii="Times New Roman" w:hAnsi="Times New Roman" w:eastAsia="仿宋" w:cs="Times New Roman"/>
          <w:b/>
          <w:sz w:val="32"/>
          <w:szCs w:val="32"/>
        </w:rPr>
        <w:t>1509.67</w:t>
      </w:r>
      <w:r>
        <w:rPr>
          <w:rFonts w:hint="default" w:ascii="Times New Roman" w:hAnsi="Times New Roman" w:eastAsia="仿宋" w:cs="Times New Roman"/>
          <w:sz w:val="32"/>
          <w:szCs w:val="32"/>
        </w:rPr>
        <w:t>万元，其中：</w:t>
      </w:r>
    </w:p>
    <w:p w14:paraId="4C8B5B52">
      <w:pPr>
        <w:spacing w:line="600" w:lineRule="exact"/>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人员经费</w:t>
      </w:r>
      <w:r>
        <w:rPr>
          <w:rFonts w:hint="default" w:ascii="Times New Roman" w:hAnsi="Times New Roman" w:eastAsia="仿宋" w:cs="Times New Roman"/>
          <w:b/>
          <w:sz w:val="32"/>
          <w:szCs w:val="32"/>
        </w:rPr>
        <w:t>1367.19</w:t>
      </w:r>
      <w:r>
        <w:rPr>
          <w:rFonts w:hint="default" w:ascii="Times New Roman" w:hAnsi="Times New Roman" w:eastAsia="仿宋" w:cs="Times New Roman"/>
          <w:sz w:val="32"/>
          <w:szCs w:val="32"/>
        </w:rPr>
        <w:t>万元，主要包括：基本工资、津贴补贴、绩效工资、机关事业单位基本养老保险缴费、职业年金缴费、职工基本医疗保险缴费、其他社会保障缴费、住房公积金、医疗费、其他工资福利支出、生活补助、医疗费补助、奖励金等。</w:t>
      </w:r>
    </w:p>
    <w:p w14:paraId="74BDB66D">
      <w:pPr>
        <w:spacing w:line="600" w:lineRule="exact"/>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公用经费</w:t>
      </w:r>
      <w:r>
        <w:rPr>
          <w:rFonts w:hint="default" w:ascii="Times New Roman" w:hAnsi="Times New Roman" w:eastAsia="仿宋" w:cs="Times New Roman"/>
          <w:b/>
          <w:sz w:val="32"/>
          <w:szCs w:val="32"/>
        </w:rPr>
        <w:t>142.48</w:t>
      </w:r>
      <w:r>
        <w:rPr>
          <w:rFonts w:hint="default" w:ascii="Times New Roman" w:hAnsi="Times New Roman" w:eastAsia="仿宋" w:cs="Times New Roman"/>
          <w:sz w:val="32"/>
          <w:szCs w:val="32"/>
        </w:rPr>
        <w:t>万元，主要包括：办公费、咨询费、水费、电费、差旅费、维修（护）费、培训费、劳务费、委托业务费、工会经费、福利费、其他商品和服务支出、房屋建筑物购建等。</w:t>
      </w:r>
    </w:p>
    <w:p w14:paraId="5700E896">
      <w:pPr>
        <w:ind w:firstLine="640" w:firstLineChars="200"/>
        <w:outlineLvl w:val="1"/>
        <w:rPr>
          <w:rFonts w:hint="default" w:ascii="Times New Roman" w:hAnsi="Times New Roman" w:eastAsia="黑体" w:cs="Times New Roman"/>
          <w:bCs/>
          <w:sz w:val="32"/>
          <w:szCs w:val="32"/>
        </w:rPr>
      </w:pPr>
      <w:bookmarkStart w:id="61" w:name="_Toc15685"/>
      <w:r>
        <w:rPr>
          <w:rFonts w:hint="default" w:ascii="Times New Roman" w:hAnsi="Times New Roman" w:eastAsia="黑体" w:cs="Times New Roman"/>
          <w:bCs/>
          <w:sz w:val="32"/>
          <w:szCs w:val="32"/>
        </w:rPr>
        <w:t>七、财政拨款“三公”经费支出决算情况说明</w:t>
      </w:r>
      <w:bookmarkEnd w:id="59"/>
      <w:bookmarkEnd w:id="60"/>
      <w:bookmarkEnd w:id="61"/>
    </w:p>
    <w:p w14:paraId="08D1F410">
      <w:pPr>
        <w:spacing w:line="600" w:lineRule="exact"/>
        <w:ind w:firstLine="640"/>
        <w:outlineLvl w:val="2"/>
        <w:rPr>
          <w:rFonts w:hint="default" w:ascii="Times New Roman" w:hAnsi="Times New Roman" w:eastAsia="仿宋" w:cs="Times New Roman"/>
          <w:b/>
          <w:sz w:val="32"/>
          <w:szCs w:val="32"/>
        </w:rPr>
      </w:pPr>
      <w:bookmarkStart w:id="62" w:name="_Toc15377216"/>
      <w:bookmarkStart w:id="63" w:name="_Toc15377218"/>
      <w:bookmarkStart w:id="64" w:name="_Toc15396610"/>
      <w:r>
        <w:rPr>
          <w:rFonts w:hint="default" w:ascii="Times New Roman" w:hAnsi="Times New Roman" w:eastAsia="楷体_GB2312" w:cs="Times New Roman"/>
          <w:sz w:val="32"/>
          <w:szCs w:val="32"/>
        </w:rPr>
        <w:t>（一）“三公”经费财政拨款支出决算总体情况说明</w:t>
      </w:r>
      <w:bookmarkEnd w:id="62"/>
      <w:r>
        <w:rPr>
          <w:rFonts w:hint="default" w:ascii="Times New Roman" w:hAnsi="Times New Roman" w:eastAsia="楷体_GB2312" w:cs="Times New Roman"/>
          <w:sz w:val="32"/>
          <w:szCs w:val="32"/>
        </w:rPr>
        <w:t>。</w:t>
      </w:r>
    </w:p>
    <w:p w14:paraId="1788FC95">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2023年度“三公”经费财政拨款支出决算为0万元，完成预算0%。</w:t>
      </w:r>
    </w:p>
    <w:p w14:paraId="36069269">
      <w:pPr>
        <w:spacing w:line="600" w:lineRule="exact"/>
        <w:ind w:firstLine="640"/>
        <w:outlineLvl w:val="2"/>
        <w:rPr>
          <w:rFonts w:hint="default" w:ascii="Times New Roman" w:hAnsi="Times New Roman" w:eastAsia="楷体_GB2312" w:cs="Times New Roman"/>
          <w:sz w:val="32"/>
          <w:szCs w:val="32"/>
        </w:rPr>
      </w:pPr>
      <w:bookmarkStart w:id="65" w:name="_Toc15377217"/>
      <w:r>
        <w:rPr>
          <w:rFonts w:hint="default" w:ascii="Times New Roman" w:hAnsi="Times New Roman" w:eastAsia="楷体_GB2312" w:cs="Times New Roman"/>
          <w:sz w:val="32"/>
          <w:szCs w:val="32"/>
        </w:rPr>
        <w:t>（二）“三公”经费财政拨款支出决算具体情况说明</w:t>
      </w:r>
      <w:bookmarkEnd w:id="65"/>
      <w:r>
        <w:rPr>
          <w:rFonts w:hint="default" w:ascii="Times New Roman" w:hAnsi="Times New Roman" w:eastAsia="楷体_GB2312" w:cs="Times New Roman"/>
          <w:sz w:val="32"/>
          <w:szCs w:val="32"/>
        </w:rPr>
        <w:t>。</w:t>
      </w:r>
    </w:p>
    <w:p w14:paraId="6AF3152B">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2023年度“三公”经费财政拨款支出决算中，因公出国（境）费支出决算0万元，占0%；公务用车购置及运行维护费支出决算0万元，占0%；公务接待费支出决算0万元，占0%。</w:t>
      </w:r>
    </w:p>
    <w:p w14:paraId="70DDDBC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1.因公出国（境）经费支出0万元，完成预算0%。</w:t>
      </w:r>
    </w:p>
    <w:p w14:paraId="0BF1CCF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2.公务用车购置及运行维护费支出0万元,完成预算0%。</w:t>
      </w:r>
    </w:p>
    <w:p w14:paraId="41D9A3C2">
      <w:pPr>
        <w:spacing w:line="600" w:lineRule="exact"/>
        <w:ind w:firstLine="640"/>
        <w:rPr>
          <w:rFonts w:hint="default" w:ascii="Times New Roman" w:hAnsi="Times New Roman" w:eastAsia="仿宋_GB2312" w:cs="Times New Roman"/>
        </w:rPr>
      </w:pPr>
      <w:r>
        <w:rPr>
          <w:rFonts w:hint="default" w:ascii="Times New Roman" w:hAnsi="Times New Roman" w:eastAsia="仿宋_GB2312" w:cs="Times New Roman"/>
          <w:sz w:val="32"/>
          <w:szCs w:val="32"/>
        </w:rPr>
        <w:t>3.公务接待费支出0万元，完成预算0%。</w:t>
      </w:r>
    </w:p>
    <w:p w14:paraId="75D129D9">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国内公务接待支出0万元。</w:t>
      </w:r>
    </w:p>
    <w:p w14:paraId="32BC154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外事接待支出0万元。</w:t>
      </w:r>
    </w:p>
    <w:p w14:paraId="1669F630">
      <w:pPr>
        <w:ind w:firstLine="640" w:firstLineChars="200"/>
        <w:outlineLvl w:val="1"/>
        <w:rPr>
          <w:rFonts w:hint="default" w:ascii="Times New Roman" w:hAnsi="Times New Roman" w:eastAsia="黑体" w:cs="Times New Roman"/>
          <w:bCs/>
          <w:sz w:val="32"/>
          <w:szCs w:val="32"/>
        </w:rPr>
      </w:pPr>
      <w:bookmarkStart w:id="66" w:name="_Toc27221"/>
      <w:r>
        <w:rPr>
          <w:rFonts w:hint="default" w:ascii="Times New Roman" w:hAnsi="Times New Roman" w:eastAsia="黑体" w:cs="Times New Roman"/>
          <w:bCs/>
          <w:sz w:val="32"/>
          <w:szCs w:val="32"/>
        </w:rPr>
        <w:t>八、政府性基金预算支出决算情况说明</w:t>
      </w:r>
      <w:bookmarkEnd w:id="63"/>
      <w:bookmarkEnd w:id="64"/>
      <w:bookmarkEnd w:id="66"/>
    </w:p>
    <w:p w14:paraId="1EE15AE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2023年度政府性基金预算财政拨款支出0万元。</w:t>
      </w:r>
    </w:p>
    <w:p w14:paraId="3E0C41D9">
      <w:pPr>
        <w:ind w:firstLine="640" w:firstLineChars="200"/>
        <w:outlineLvl w:val="1"/>
        <w:rPr>
          <w:rFonts w:hint="default" w:ascii="Times New Roman" w:hAnsi="Times New Roman" w:eastAsia="黑体" w:cs="Times New Roman"/>
          <w:bCs/>
          <w:sz w:val="32"/>
          <w:szCs w:val="32"/>
        </w:rPr>
      </w:pPr>
      <w:bookmarkStart w:id="67" w:name="_Toc15377219"/>
      <w:bookmarkStart w:id="68" w:name="_Toc15396611"/>
      <w:bookmarkStart w:id="69" w:name="_Toc11054"/>
      <w:r>
        <w:rPr>
          <w:rFonts w:hint="default" w:ascii="Times New Roman" w:hAnsi="Times New Roman" w:eastAsia="黑体" w:cs="Times New Roman"/>
          <w:bCs/>
          <w:sz w:val="32"/>
          <w:szCs w:val="32"/>
        </w:rPr>
        <w:t>九、国有资本经营预算支出决算情况说明</w:t>
      </w:r>
      <w:bookmarkEnd w:id="67"/>
      <w:bookmarkEnd w:id="68"/>
      <w:bookmarkEnd w:id="69"/>
    </w:p>
    <w:p w14:paraId="6F80772B">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2023年度国有资本经营预算财政拨款支出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w:t>
      </w:r>
    </w:p>
    <w:p w14:paraId="4D1490CD">
      <w:pPr>
        <w:spacing w:line="600" w:lineRule="exact"/>
        <w:ind w:firstLine="640" w:firstLineChars="200"/>
        <w:outlineLvl w:val="1"/>
        <w:rPr>
          <w:rFonts w:hint="default" w:ascii="Times New Roman" w:hAnsi="Times New Roman" w:eastAsia="黑体" w:cs="Times New Roman"/>
          <w:bCs/>
          <w:sz w:val="32"/>
          <w:szCs w:val="32"/>
        </w:rPr>
      </w:pPr>
      <w:bookmarkStart w:id="70" w:name="_Toc15377221"/>
      <w:bookmarkStart w:id="71" w:name="_Toc15396612"/>
      <w:bookmarkStart w:id="72" w:name="_Toc29817"/>
      <w:r>
        <w:rPr>
          <w:rFonts w:hint="default" w:ascii="Times New Roman" w:hAnsi="Times New Roman" w:eastAsia="黑体" w:cs="Times New Roman"/>
          <w:bCs/>
          <w:sz w:val="32"/>
          <w:szCs w:val="32"/>
        </w:rPr>
        <w:t>十、其他重要事项的情况说明</w:t>
      </w:r>
      <w:bookmarkEnd w:id="70"/>
      <w:bookmarkEnd w:id="71"/>
      <w:bookmarkEnd w:id="72"/>
    </w:p>
    <w:p w14:paraId="5355CD14">
      <w:pPr>
        <w:spacing w:line="600" w:lineRule="exact"/>
        <w:ind w:firstLine="640"/>
        <w:outlineLvl w:val="2"/>
        <w:rPr>
          <w:rFonts w:hint="default" w:ascii="Times New Roman" w:hAnsi="Times New Roman" w:eastAsia="楷体_GB2312" w:cs="Times New Roman"/>
          <w:sz w:val="32"/>
          <w:szCs w:val="32"/>
        </w:rPr>
      </w:pPr>
      <w:bookmarkStart w:id="73" w:name="_Toc15377222"/>
      <w:bookmarkStart w:id="74" w:name="_Toc15377223"/>
      <w:r>
        <w:rPr>
          <w:rFonts w:hint="default" w:ascii="Times New Roman" w:hAnsi="Times New Roman" w:eastAsia="楷体_GB2312" w:cs="Times New Roman"/>
          <w:sz w:val="32"/>
          <w:szCs w:val="32"/>
        </w:rPr>
        <w:t>（一）机关运行经费支出情况</w:t>
      </w:r>
      <w:bookmarkEnd w:id="73"/>
      <w:r>
        <w:rPr>
          <w:rFonts w:hint="default" w:ascii="Times New Roman" w:hAnsi="Times New Roman" w:eastAsia="楷体_GB2312" w:cs="Times New Roman"/>
          <w:sz w:val="32"/>
          <w:szCs w:val="32"/>
        </w:rPr>
        <w:t>。</w:t>
      </w:r>
    </w:p>
    <w:p w14:paraId="588E0AF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2023年度，盐边县城第一小学校机关运行经费支出0万元，与2022年度决算数持平。</w:t>
      </w:r>
    </w:p>
    <w:p w14:paraId="4B37420A">
      <w:pPr>
        <w:spacing w:line="600" w:lineRule="exact"/>
        <w:ind w:firstLine="640"/>
        <w:outlineLvl w:val="2"/>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（二）政府采购支出情况。</w:t>
      </w:r>
    </w:p>
    <w:bookmarkEnd w:id="74"/>
    <w:p w14:paraId="3E5F3CB4">
      <w:pPr>
        <w:autoSpaceDE w:val="0"/>
        <w:autoSpaceDN w:val="0"/>
        <w:adjustRightInd w:val="0"/>
        <w:spacing w:line="600" w:lineRule="exact"/>
        <w:ind w:firstLine="640" w:firstLineChars="200"/>
        <w:jc w:val="left"/>
        <w:outlineLvl w:val="2"/>
        <w:rPr>
          <w:rFonts w:hint="default" w:ascii="Times New Roman" w:hAnsi="Times New Roman" w:eastAsia="仿宋_GB2312" w:cs="Times New Roman"/>
          <w:sz w:val="32"/>
          <w:szCs w:val="32"/>
        </w:rPr>
      </w:pPr>
      <w:bookmarkStart w:id="75" w:name="_Toc15377224"/>
      <w:r>
        <w:rPr>
          <w:rFonts w:hint="default" w:ascii="Times New Roman" w:hAnsi="Times New Roman" w:eastAsia="仿宋_GB2312" w:cs="Times New Roman"/>
          <w:sz w:val="32"/>
          <w:szCs w:val="32"/>
        </w:rPr>
        <w:t>2023年度，盐边县城第一小学校政府采购支出总额450万元，其中：政府采购货物支出0万元、政府采购工程支出0万元、政府采购服务支出450万元。主要用于新建教学综合楼设备设施采购与装饰。授予中小企业合同金额450万元，占政府采购支出总额的1%，其中：授予小微企业合同金额450万元，占政府采购支出总额的100%。</w:t>
      </w:r>
    </w:p>
    <w:bookmarkEnd w:id="75"/>
    <w:p w14:paraId="6B5A0260">
      <w:pPr>
        <w:spacing w:line="600" w:lineRule="exact"/>
        <w:ind w:firstLine="640"/>
        <w:outlineLvl w:val="2"/>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（三）国有资产占有使用情况。</w:t>
      </w:r>
    </w:p>
    <w:p w14:paraId="29CBF17B">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截至2023年12月31日，盐边县城第一小学校共有车辆0辆，其中：主要领导干部用车0辆、机要通信用车0辆、应急保障用车0辆、其他用车0辆0。单价100万元以上设备（不含车辆）0台（套）。</w:t>
      </w:r>
    </w:p>
    <w:p w14:paraId="3383960E">
      <w:pPr>
        <w:autoSpaceDE w:val="0"/>
        <w:autoSpaceDN w:val="0"/>
        <w:adjustRightInd w:val="0"/>
        <w:spacing w:line="600" w:lineRule="exact"/>
        <w:ind w:firstLine="640" w:firstLineChars="200"/>
        <w:jc w:val="left"/>
        <w:outlineLvl w:val="2"/>
        <w:rPr>
          <w:rFonts w:hint="default" w:ascii="Times New Roman" w:hAnsi="Times New Roman" w:eastAsia="仿宋" w:cs="Times New Roman"/>
          <w:b/>
          <w:sz w:val="32"/>
          <w:szCs w:val="32"/>
        </w:rPr>
      </w:pPr>
      <w:r>
        <w:rPr>
          <w:rFonts w:hint="default" w:ascii="Times New Roman" w:hAnsi="Times New Roman" w:eastAsia="楷体_GB2312" w:cs="Times New Roman"/>
          <w:sz w:val="32"/>
          <w:szCs w:val="32"/>
        </w:rPr>
        <w:t>（四）预算绩效管理情况。</w:t>
      </w:r>
    </w:p>
    <w:p w14:paraId="5E7DDDA2">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在2023年度预算编制阶段，组织对新建教学综合楼（大门、围墙）工程专项预算项目开展了预算事前绩效评估，对1个项目编制了绩效目标，预算执行过程中，选取1个项目开展绩效监控，组织对1个项目开展绩效自评，绩效自评表详见第四部分附件。</w:t>
      </w:r>
    </w:p>
    <w:p w14:paraId="24BB5F64">
      <w:pPr>
        <w:spacing w:line="600" w:lineRule="exact"/>
        <w:ind w:firstLine="420" w:firstLineChars="200"/>
        <w:rPr>
          <w:rFonts w:hint="default" w:ascii="Times New Roman" w:hAnsi="Times New Roman" w:cs="Times New Roman"/>
        </w:rPr>
      </w:pPr>
    </w:p>
    <w:p w14:paraId="243C27EB">
      <w:pPr>
        <w:spacing w:line="580" w:lineRule="exact"/>
        <w:ind w:firstLine="640" w:firstLineChars="200"/>
        <w:rPr>
          <w:rFonts w:hint="default" w:ascii="Times New Roman" w:hAnsi="Times New Roman" w:eastAsia="仿宋_GB2312" w:cs="Times New Roman"/>
          <w:sz w:val="32"/>
          <w:szCs w:val="32"/>
        </w:rPr>
      </w:pPr>
    </w:p>
    <w:p w14:paraId="2495A406">
      <w:pPr>
        <w:spacing w:line="600" w:lineRule="exact"/>
        <w:ind w:firstLine="420" w:firstLineChars="200"/>
        <w:rPr>
          <w:rFonts w:hint="default" w:ascii="Times New Roman" w:hAnsi="Times New Roman" w:cs="Times New Roman"/>
        </w:rPr>
      </w:pPr>
    </w:p>
    <w:p w14:paraId="268CC023">
      <w:pPr>
        <w:spacing w:line="600" w:lineRule="exact"/>
        <w:ind w:firstLine="420" w:firstLineChars="200"/>
        <w:rPr>
          <w:rFonts w:hint="default" w:ascii="Times New Roman" w:hAnsi="Times New Roman" w:cs="Times New Roman"/>
        </w:rPr>
      </w:pPr>
    </w:p>
    <w:p w14:paraId="3BB2BDEE">
      <w:pPr>
        <w:spacing w:line="600" w:lineRule="exact"/>
        <w:ind w:firstLine="420" w:firstLineChars="200"/>
        <w:rPr>
          <w:rFonts w:hint="default" w:ascii="Times New Roman" w:hAnsi="Times New Roman" w:cs="Times New Roman"/>
        </w:rPr>
      </w:pPr>
    </w:p>
    <w:p w14:paraId="3403D092">
      <w:pPr>
        <w:spacing w:line="600" w:lineRule="exact"/>
        <w:ind w:firstLine="420" w:firstLineChars="200"/>
        <w:rPr>
          <w:rFonts w:hint="default" w:ascii="Times New Roman" w:hAnsi="Times New Roman" w:cs="Times New Roman"/>
        </w:rPr>
      </w:pPr>
    </w:p>
    <w:p w14:paraId="109E15C1">
      <w:pPr>
        <w:rPr>
          <w:rFonts w:hint="default" w:ascii="Times New Roman" w:hAnsi="Times New Roman" w:cs="Times New Roman"/>
        </w:rPr>
      </w:pPr>
    </w:p>
    <w:p w14:paraId="17B16F3A">
      <w:pPr>
        <w:spacing w:line="600" w:lineRule="exact"/>
        <w:ind w:firstLine="420" w:firstLineChars="200"/>
        <w:rPr>
          <w:rFonts w:hint="default" w:ascii="Times New Roman" w:hAnsi="Times New Roman" w:cs="Times New Roman"/>
        </w:rPr>
      </w:pPr>
    </w:p>
    <w:p w14:paraId="259AF802">
      <w:pPr>
        <w:rPr>
          <w:rFonts w:hint="default" w:ascii="Times New Roman" w:hAnsi="Times New Roman" w:cs="Times New Roman"/>
        </w:rPr>
      </w:pPr>
    </w:p>
    <w:p w14:paraId="1154CE0F">
      <w:pPr>
        <w:rPr>
          <w:rFonts w:hint="default" w:ascii="Times New Roman" w:hAnsi="Times New Roman" w:cs="Times New Roman"/>
        </w:rPr>
      </w:pPr>
    </w:p>
    <w:p w14:paraId="514C452E">
      <w:pPr>
        <w:rPr>
          <w:rStyle w:val="28"/>
          <w:rFonts w:hint="default" w:ascii="Times New Roman" w:hAnsi="Times New Roman" w:eastAsia="黑体" w:cs="Times New Roman"/>
          <w:b w:val="0"/>
        </w:rPr>
      </w:pPr>
      <w:bookmarkStart w:id="76" w:name="_Toc15377225"/>
      <w:bookmarkStart w:id="77" w:name="_Toc15396613"/>
      <w:r>
        <w:rPr>
          <w:rStyle w:val="28"/>
          <w:rFonts w:hint="default" w:ascii="Times New Roman" w:hAnsi="Times New Roman" w:eastAsia="黑体" w:cs="Times New Roman"/>
          <w:b w:val="0"/>
        </w:rPr>
        <w:br w:type="page"/>
      </w:r>
    </w:p>
    <w:p w14:paraId="4209FD63">
      <w:pPr>
        <w:spacing w:line="560" w:lineRule="exact"/>
        <w:jc w:val="center"/>
        <w:outlineLvl w:val="0"/>
        <w:rPr>
          <w:rStyle w:val="28"/>
          <w:rFonts w:hint="default" w:ascii="Times New Roman" w:hAnsi="Times New Roman" w:eastAsia="黑体" w:cs="Times New Roman"/>
          <w:b w:val="0"/>
        </w:rPr>
      </w:pPr>
      <w:bookmarkStart w:id="78" w:name="_Toc2371"/>
      <w:r>
        <w:rPr>
          <w:rStyle w:val="28"/>
          <w:rFonts w:hint="default" w:ascii="Times New Roman" w:hAnsi="Times New Roman" w:eastAsia="黑体" w:cs="Times New Roman"/>
          <w:b w:val="0"/>
        </w:rPr>
        <w:t>第三部分 名词解释</w:t>
      </w:r>
      <w:bookmarkEnd w:id="76"/>
      <w:bookmarkEnd w:id="77"/>
      <w:bookmarkEnd w:id="78"/>
    </w:p>
    <w:p w14:paraId="7670380D">
      <w:pPr>
        <w:spacing w:line="600" w:lineRule="exact"/>
        <w:jc w:val="left"/>
        <w:rPr>
          <w:rFonts w:hint="default" w:ascii="Times New Roman" w:hAnsi="Times New Roman" w:cs="Times New Roman"/>
          <w:b/>
          <w:sz w:val="44"/>
          <w:szCs w:val="44"/>
        </w:rPr>
      </w:pPr>
    </w:p>
    <w:p w14:paraId="457767EC">
      <w:pPr>
        <w:pStyle w:val="26"/>
        <w:spacing w:line="560" w:lineRule="exact"/>
        <w:ind w:firstLine="640" w:firstLineChars="200"/>
        <w:outlineLvl w:val="1"/>
        <w:rPr>
          <w:rFonts w:hint="default" w:ascii="Times New Roman" w:hAnsi="Times New Roman" w:eastAsia="仿宋_GB2312" w:cs="Times New Roman"/>
          <w:color w:val="auto"/>
          <w:kern w:val="2"/>
          <w:sz w:val="32"/>
          <w:szCs w:val="32"/>
        </w:rPr>
      </w:pPr>
      <w:bookmarkStart w:id="79" w:name="_Toc2226"/>
      <w:bookmarkStart w:id="80" w:name="_Toc31829"/>
      <w:r>
        <w:rPr>
          <w:rFonts w:hint="default" w:ascii="Times New Roman" w:hAnsi="Times New Roman" w:eastAsia="仿宋_GB2312" w:cs="Times New Roman"/>
          <w:color w:val="auto"/>
          <w:kern w:val="2"/>
          <w:sz w:val="32"/>
          <w:szCs w:val="32"/>
        </w:rPr>
        <w:t>1.财政拨款收入：指单位从同级财政部门取得的财政预算资金。</w:t>
      </w:r>
      <w:bookmarkEnd w:id="79"/>
      <w:bookmarkEnd w:id="80"/>
    </w:p>
    <w:p w14:paraId="317C054B">
      <w:pPr>
        <w:pStyle w:val="26"/>
        <w:spacing w:line="560" w:lineRule="exact"/>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2.事业收入：指事业单位开展专业业务活动及辅助活动取得的收入。</w:t>
      </w:r>
    </w:p>
    <w:p w14:paraId="74DA8191">
      <w:pPr>
        <w:pStyle w:val="26"/>
        <w:spacing w:line="560" w:lineRule="exact"/>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3.经营收入：指事业单位在专业业务活动及其辅助活动之外开展非独立核算经营活动取得的收入。</w:t>
      </w:r>
    </w:p>
    <w:p w14:paraId="59F93CAC">
      <w:pPr>
        <w:pStyle w:val="26"/>
        <w:spacing w:line="560" w:lineRule="exact"/>
        <w:ind w:firstLine="640" w:firstLineChars="200"/>
        <w:outlineLvl w:val="1"/>
        <w:rPr>
          <w:rFonts w:hint="default" w:ascii="Times New Roman" w:hAnsi="Times New Roman" w:eastAsia="仿宋_GB2312" w:cs="Times New Roman"/>
          <w:color w:val="auto"/>
          <w:kern w:val="2"/>
          <w:sz w:val="32"/>
          <w:szCs w:val="32"/>
        </w:rPr>
      </w:pPr>
      <w:bookmarkStart w:id="81" w:name="_Toc16209"/>
      <w:bookmarkStart w:id="82" w:name="_Toc17530"/>
      <w:r>
        <w:rPr>
          <w:rFonts w:hint="default" w:ascii="Times New Roman" w:hAnsi="Times New Roman" w:eastAsia="仿宋_GB2312" w:cs="Times New Roman"/>
          <w:color w:val="auto"/>
          <w:kern w:val="2"/>
          <w:sz w:val="32"/>
          <w:szCs w:val="32"/>
        </w:rPr>
        <w:t>4.其他收入：指单位取得的除上述收入以外的各项收入。</w:t>
      </w:r>
      <w:bookmarkEnd w:id="81"/>
      <w:bookmarkEnd w:id="82"/>
    </w:p>
    <w:p w14:paraId="40F8E8FF">
      <w:pPr>
        <w:pStyle w:val="26"/>
        <w:spacing w:line="560" w:lineRule="exact"/>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xml:space="preserve">5.使用非财政拨款结余（含专用结余）：指事业单位使用以前年度积累的非财政拨款结余弥补当年收支差额的金额。 </w:t>
      </w:r>
    </w:p>
    <w:p w14:paraId="631BFAD3">
      <w:pPr>
        <w:pStyle w:val="26"/>
        <w:spacing w:line="560" w:lineRule="exact"/>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xml:space="preserve">6.年初结转和结余：指以前年度尚未完成、结转到本年按有关规定继续使用的资金。 </w:t>
      </w:r>
    </w:p>
    <w:p w14:paraId="0A0E8001">
      <w:pPr>
        <w:pStyle w:val="26"/>
        <w:spacing w:line="560" w:lineRule="exact"/>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7.结余分配：指事业单位按照会计制度规定缴纳的所得税、提取的专用结余以及转入非财政拨款结余的金额等。</w:t>
      </w:r>
    </w:p>
    <w:p w14:paraId="52EE56B7">
      <w:pPr>
        <w:pStyle w:val="26"/>
        <w:spacing w:line="560" w:lineRule="exact"/>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8.年末结转和结余：指单位按有关规定结转到下年或以后年度继续使用的资金。</w:t>
      </w:r>
    </w:p>
    <w:p w14:paraId="3B05A77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9.教育支出（205类）普通教育（02款）小学教育02（项）：指反映各部门举办的小学教育支出。</w:t>
      </w:r>
    </w:p>
    <w:p w14:paraId="5E5D21C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10.教育支出（205类）教育费附加安排支出（09款）农村中小学校舍建设（01项）：指反映教育附加安排用于农村中小学校舍新建、改建、修缮和维护的支出。</w:t>
      </w:r>
    </w:p>
    <w:p w14:paraId="7E1A1C7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11.教育支出（205类）教育费附加安排支出（09款）农村中小学校舍建设（02项）：指反映教育附加安排用于农村中小学教学设施和办学条件的支出。</w:t>
      </w:r>
    </w:p>
    <w:p w14:paraId="5A65EAF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12.教育支出（205类）教育费附加安排支出（09款）其他教育费附加安排的支出（99项）：指反映除上述项目以外的教育费附加支出。</w:t>
      </w:r>
    </w:p>
    <w:p w14:paraId="4F2BDF0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13.社会保障和就业支出（208类）行政事业单位养老支出（05款）事业单位离退休（02项）：指反映事业单位开支的离退休经费。</w:t>
      </w:r>
    </w:p>
    <w:p w14:paraId="51059C2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14.社会保障和就业支出（208类）行政事业单位养老支出（05款）机关事业单位基本养老保险缴费支出（05项）：指反映机关事业单位实施养老保险制度由单位缴纳的基本养老保险费支出。</w:t>
      </w:r>
    </w:p>
    <w:p w14:paraId="3FB19B6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15.社会保障和就业支出（208类）行政事业单位养老支出（05款）机关事业单位职业年金缴费支出（06项）：指反映机关事业单位实施养老保险制度由单位实际缴纳的职业年金支出。</w:t>
      </w:r>
    </w:p>
    <w:p w14:paraId="070D75A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卫生健康支出（210类）行政事业单位医疗（11款）事业单位医疗（02项）：指反映财政部门安排的事业单位基本医疗保险缴费经费，未参加医疗保险的事业单位的公费医疗经费，按国家规定享受离休人员待遇的医疗经费。</w:t>
      </w:r>
    </w:p>
    <w:p w14:paraId="075B270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17.卫生健康支出（210类）行政事业单位医疗（11款）其他行政事业单位医疗支出（99项）：指反映除上述项目以外的其他用于行政事业单位医疗方面的支出。</w:t>
      </w:r>
    </w:p>
    <w:p w14:paraId="635CB56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18.住房保障支出（221类）住房改革支出（02款）住房公积金（01项）：指反映行政事业单位按人力资源和社会保障部、财政部规定的基本工资和津贴补贴以及规定比例为职工缴纳的住房公积金。</w:t>
      </w:r>
    </w:p>
    <w:p w14:paraId="52A7EDF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19.基本支出：指为保障机构正常运转、完成日常工作任务而发生的人员支出和公用支出。</w:t>
      </w:r>
    </w:p>
    <w:p w14:paraId="5D5A359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20.项目支出：指在基本支出之外为完成特定行政任务和事业发展目标所发生的支出。 </w:t>
      </w:r>
    </w:p>
    <w:p w14:paraId="369E4DA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21.经营支出：指事业单位在专业业务活动及其辅助活动之外开展非独立核算经营活动发生的支出。</w:t>
      </w:r>
    </w:p>
    <w:p w14:paraId="36B1124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68043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8218C71">
      <w:pPr>
        <w:spacing w:line="560" w:lineRule="exact"/>
        <w:jc w:val="center"/>
        <w:outlineLvl w:val="0"/>
        <w:rPr>
          <w:rStyle w:val="28"/>
          <w:rFonts w:hint="default" w:ascii="Times New Roman" w:hAnsi="Times New Roman" w:eastAsia="黑体" w:cs="Times New Roman"/>
          <w:b w:val="0"/>
          <w:lang w:eastAsia="zh-CN"/>
        </w:rPr>
      </w:pPr>
      <w:r>
        <w:rPr>
          <w:rFonts w:hint="default" w:ascii="Times New Roman" w:hAnsi="Times New Roman" w:eastAsia="仿宋" w:cs="Times New Roman"/>
          <w:b/>
          <w:sz w:val="32"/>
          <w:szCs w:val="32"/>
        </w:rPr>
        <w:br w:type="page"/>
      </w:r>
      <w:bookmarkStart w:id="83" w:name="_Toc9964"/>
      <w:r>
        <w:rPr>
          <w:rStyle w:val="28"/>
          <w:rFonts w:hint="default" w:ascii="Times New Roman" w:hAnsi="Times New Roman" w:eastAsia="黑体" w:cs="Times New Roman"/>
          <w:b w:val="0"/>
        </w:rPr>
        <w:t>第</w:t>
      </w:r>
      <w:r>
        <w:rPr>
          <w:rStyle w:val="28"/>
          <w:rFonts w:hint="default" w:ascii="Times New Roman" w:hAnsi="Times New Roman" w:eastAsia="黑体" w:cs="Times New Roman"/>
          <w:b w:val="0"/>
          <w:lang w:val="en-US" w:eastAsia="zh-CN"/>
        </w:rPr>
        <w:t>四</w:t>
      </w:r>
      <w:r>
        <w:rPr>
          <w:rStyle w:val="28"/>
          <w:rFonts w:hint="default" w:ascii="Times New Roman" w:hAnsi="Times New Roman" w:eastAsia="黑体" w:cs="Times New Roman"/>
          <w:b w:val="0"/>
        </w:rPr>
        <w:t xml:space="preserve">部分 </w:t>
      </w:r>
      <w:r>
        <w:rPr>
          <w:rStyle w:val="28"/>
          <w:rFonts w:hint="default" w:ascii="Times New Roman" w:hAnsi="Times New Roman" w:eastAsia="黑体" w:cs="Times New Roman"/>
          <w:b w:val="0"/>
          <w:lang w:eastAsia="zh-CN"/>
        </w:rPr>
        <w:t>附件</w:t>
      </w:r>
      <w:bookmarkEnd w:id="83"/>
    </w:p>
    <w:p w14:paraId="0DEEC7CB">
      <w:pPr>
        <w:spacing w:line="560" w:lineRule="exact"/>
        <w:jc w:val="center"/>
        <w:outlineLvl w:val="0"/>
        <w:rPr>
          <w:rStyle w:val="28"/>
          <w:rFonts w:hint="default" w:ascii="Times New Roman" w:hAnsi="Times New Roman" w:eastAsia="黑体" w:cs="Times New Roman"/>
          <w:b w:val="0"/>
          <w:lang w:eastAsia="zh-CN"/>
        </w:rPr>
      </w:pPr>
    </w:p>
    <w:p w14:paraId="1EE3F664">
      <w:pPr>
        <w:spacing w:line="560" w:lineRule="exact"/>
        <w:jc w:val="center"/>
        <w:outlineLvl w:val="0"/>
        <w:rPr>
          <w:rFonts w:hint="default" w:ascii="Times New Roman" w:hAnsi="Times New Roman" w:eastAsia="仿宋_GB2312" w:cs="Times New Roman"/>
          <w:color w:val="FF0000"/>
          <w:sz w:val="44"/>
          <w:szCs w:val="44"/>
          <w:lang w:val="en-US" w:eastAsia="zh-CN"/>
        </w:rPr>
      </w:pPr>
      <w:bookmarkStart w:id="84" w:name="_Toc12840"/>
      <w:r>
        <w:rPr>
          <w:rFonts w:hint="default" w:ascii="Times New Roman" w:hAnsi="Times New Roman" w:eastAsia="仿宋_GB2312" w:cs="Times New Roman"/>
          <w:sz w:val="32"/>
          <w:szCs w:val="32"/>
        </w:rPr>
        <w:t>部门预算项目支出绩效自评表（2023年度）</w:t>
      </w:r>
      <w:r>
        <w:rPr>
          <w:rFonts w:hint="default" w:ascii="Times New Roman" w:hAnsi="Times New Roman" w:eastAsia="仿宋_GB2312" w:cs="Times New Roman"/>
          <w:sz w:val="32"/>
          <w:szCs w:val="32"/>
          <w:lang w:val="en-US" w:eastAsia="zh-CN"/>
        </w:rPr>
        <w:t>见附件。</w:t>
      </w:r>
      <w:bookmarkEnd w:id="84"/>
    </w:p>
    <w:p w14:paraId="2A10B792">
      <w:pPr>
        <w:rPr>
          <w:rStyle w:val="28"/>
          <w:rFonts w:hint="default" w:ascii="Times New Roman" w:hAnsi="Times New Roman" w:eastAsia="黑体" w:cs="Times New Roman"/>
          <w:b w:val="0"/>
          <w:lang w:eastAsia="zh-CN"/>
        </w:rPr>
      </w:pPr>
    </w:p>
    <w:p w14:paraId="7835511A">
      <w:pPr>
        <w:rPr>
          <w:rFonts w:hint="default" w:ascii="Times New Roman" w:hAnsi="Times New Roman" w:eastAsia="方正小标宋_GBK" w:cs="Times New Roman"/>
          <w:b w:val="0"/>
          <w:bCs/>
          <w:sz w:val="44"/>
          <w:szCs w:val="44"/>
        </w:rPr>
      </w:pPr>
      <w:bookmarkStart w:id="85" w:name="_Toc14182"/>
      <w:r>
        <w:rPr>
          <w:rStyle w:val="28"/>
          <w:rFonts w:hint="default" w:ascii="Times New Roman" w:hAnsi="Times New Roman" w:eastAsia="方正小标宋_GBK" w:cs="Times New Roman"/>
          <w:b w:val="0"/>
          <w:bCs/>
          <w:sz w:val="44"/>
          <w:szCs w:val="44"/>
        </w:rPr>
        <w:br w:type="page"/>
      </w:r>
    </w:p>
    <w:p w14:paraId="1DB94762">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sz w:val="44"/>
          <w:szCs w:val="44"/>
        </w:rPr>
      </w:pPr>
      <w:bookmarkStart w:id="86" w:name="_Toc3884"/>
      <w:r>
        <w:rPr>
          <w:rStyle w:val="28"/>
          <w:rFonts w:hint="default" w:ascii="Times New Roman" w:hAnsi="Times New Roman" w:eastAsia="方正小标宋_GBK" w:cs="Times New Roman"/>
          <w:b w:val="0"/>
          <w:bCs/>
          <w:sz w:val="44"/>
          <w:szCs w:val="44"/>
        </w:rPr>
        <w:t>附表</w:t>
      </w:r>
      <w:bookmarkEnd w:id="85"/>
      <w:bookmarkEnd w:id="86"/>
      <w:bookmarkStart w:id="87" w:name="_Toc15396619"/>
    </w:p>
    <w:p w14:paraId="578E60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cs="Times New Roman"/>
        </w:rPr>
      </w:pPr>
    </w:p>
    <w:p w14:paraId="4A293675">
      <w:pPr>
        <w:pStyle w:val="3"/>
        <w:pageBreakBefore w:val="0"/>
        <w:kinsoku/>
        <w:wordWrap/>
        <w:overflowPunct/>
        <w:topLinePunct w:val="0"/>
        <w:bidi w:val="0"/>
        <w:spacing w:line="560" w:lineRule="exact"/>
        <w:textAlignment w:val="auto"/>
        <w:rPr>
          <w:rFonts w:hint="default" w:ascii="Times New Roman" w:hAnsi="Times New Roman" w:eastAsia="仿宋_GB2312" w:cs="Times New Roman"/>
        </w:rPr>
      </w:pPr>
      <w:bookmarkStart w:id="88" w:name="_Toc3273"/>
      <w:bookmarkStart w:id="89" w:name="_Toc30888"/>
      <w:r>
        <w:rPr>
          <w:rFonts w:hint="default" w:ascii="Times New Roman" w:hAnsi="Times New Roman" w:eastAsia="仿宋_GB2312" w:cs="Times New Roman"/>
          <w:b w:val="0"/>
        </w:rPr>
        <w:t>一、收</w:t>
      </w:r>
      <w:r>
        <w:rPr>
          <w:rStyle w:val="29"/>
          <w:rFonts w:hint="default" w:ascii="Times New Roman" w:hAnsi="Times New Roman" w:eastAsia="仿宋_GB2312" w:cs="Times New Roman"/>
          <w:b w:val="0"/>
          <w:bCs w:val="0"/>
        </w:rPr>
        <w:t>入支出决算总表</w:t>
      </w:r>
      <w:bookmarkEnd w:id="87"/>
      <w:bookmarkEnd w:id="88"/>
      <w:bookmarkEnd w:id="89"/>
    </w:p>
    <w:p w14:paraId="73337EC2">
      <w:pPr>
        <w:pStyle w:val="3"/>
        <w:pageBreakBefore w:val="0"/>
        <w:kinsoku/>
        <w:wordWrap/>
        <w:overflowPunct/>
        <w:topLinePunct w:val="0"/>
        <w:bidi w:val="0"/>
        <w:spacing w:line="560" w:lineRule="exact"/>
        <w:textAlignment w:val="auto"/>
        <w:rPr>
          <w:rFonts w:hint="default" w:ascii="Times New Roman" w:hAnsi="Times New Roman" w:eastAsia="仿宋_GB2312" w:cs="Times New Roman"/>
        </w:rPr>
      </w:pPr>
      <w:bookmarkStart w:id="90" w:name="_Toc15396620"/>
      <w:bookmarkStart w:id="91" w:name="_Toc24959"/>
      <w:bookmarkStart w:id="92" w:name="_Toc1160"/>
      <w:r>
        <w:rPr>
          <w:rFonts w:hint="default" w:ascii="Times New Roman" w:hAnsi="Times New Roman" w:eastAsia="仿宋_GB2312" w:cs="Times New Roman"/>
          <w:b w:val="0"/>
        </w:rPr>
        <w:t>二、收</w:t>
      </w:r>
      <w:r>
        <w:rPr>
          <w:rStyle w:val="29"/>
          <w:rFonts w:hint="default" w:ascii="Times New Roman" w:hAnsi="Times New Roman" w:eastAsia="仿宋_GB2312" w:cs="Times New Roman"/>
          <w:b w:val="0"/>
          <w:bCs w:val="0"/>
        </w:rPr>
        <w:t>入决算表</w:t>
      </w:r>
      <w:bookmarkEnd w:id="90"/>
      <w:bookmarkEnd w:id="91"/>
      <w:bookmarkEnd w:id="92"/>
    </w:p>
    <w:p w14:paraId="341EF21D">
      <w:pPr>
        <w:pStyle w:val="3"/>
        <w:pageBreakBefore w:val="0"/>
        <w:kinsoku/>
        <w:wordWrap/>
        <w:overflowPunct/>
        <w:topLinePunct w:val="0"/>
        <w:bidi w:val="0"/>
        <w:spacing w:line="560" w:lineRule="exact"/>
        <w:textAlignment w:val="auto"/>
        <w:rPr>
          <w:rFonts w:hint="default" w:ascii="Times New Roman" w:hAnsi="Times New Roman" w:eastAsia="仿宋_GB2312" w:cs="Times New Roman"/>
        </w:rPr>
      </w:pPr>
      <w:bookmarkStart w:id="93" w:name="_Toc15396621"/>
      <w:bookmarkStart w:id="94" w:name="_Toc18414"/>
      <w:bookmarkStart w:id="95" w:name="_Toc27167"/>
      <w:r>
        <w:rPr>
          <w:rStyle w:val="29"/>
          <w:rFonts w:hint="default" w:ascii="Times New Roman" w:hAnsi="Times New Roman" w:eastAsia="仿宋_GB2312" w:cs="Times New Roman"/>
          <w:b w:val="0"/>
          <w:bCs w:val="0"/>
        </w:rPr>
        <w:t>三、</w:t>
      </w:r>
      <w:r>
        <w:rPr>
          <w:rFonts w:hint="default" w:ascii="Times New Roman" w:hAnsi="Times New Roman" w:eastAsia="仿宋_GB2312" w:cs="Times New Roman"/>
          <w:b w:val="0"/>
        </w:rPr>
        <w:t>支</w:t>
      </w:r>
      <w:r>
        <w:rPr>
          <w:rStyle w:val="29"/>
          <w:rFonts w:hint="default" w:ascii="Times New Roman" w:hAnsi="Times New Roman" w:eastAsia="仿宋_GB2312" w:cs="Times New Roman"/>
          <w:b w:val="0"/>
          <w:bCs w:val="0"/>
        </w:rPr>
        <w:t>出决算表</w:t>
      </w:r>
      <w:bookmarkEnd w:id="93"/>
      <w:bookmarkEnd w:id="94"/>
      <w:bookmarkEnd w:id="95"/>
    </w:p>
    <w:p w14:paraId="6DAF6F6D">
      <w:pPr>
        <w:pStyle w:val="3"/>
        <w:pageBreakBefore w:val="0"/>
        <w:kinsoku/>
        <w:wordWrap/>
        <w:overflowPunct/>
        <w:topLinePunct w:val="0"/>
        <w:bidi w:val="0"/>
        <w:spacing w:line="560" w:lineRule="exact"/>
        <w:textAlignment w:val="auto"/>
        <w:rPr>
          <w:rFonts w:hint="default" w:ascii="Times New Roman" w:hAnsi="Times New Roman" w:eastAsia="仿宋_GB2312" w:cs="Times New Roman"/>
          <w:b w:val="0"/>
        </w:rPr>
      </w:pPr>
      <w:bookmarkStart w:id="96" w:name="_Toc15396622"/>
      <w:bookmarkStart w:id="97" w:name="_Toc32091"/>
      <w:bookmarkStart w:id="98" w:name="_Toc14116"/>
      <w:r>
        <w:rPr>
          <w:rStyle w:val="29"/>
          <w:rFonts w:hint="default" w:ascii="Times New Roman" w:hAnsi="Times New Roman" w:eastAsia="仿宋_GB2312" w:cs="Times New Roman"/>
          <w:b w:val="0"/>
          <w:bCs w:val="0"/>
        </w:rPr>
        <w:t>四、</w:t>
      </w:r>
      <w:r>
        <w:rPr>
          <w:rFonts w:hint="default" w:ascii="Times New Roman" w:hAnsi="Times New Roman" w:eastAsia="仿宋_GB2312" w:cs="Times New Roman"/>
          <w:b w:val="0"/>
        </w:rPr>
        <w:t>财</w:t>
      </w:r>
      <w:r>
        <w:rPr>
          <w:rStyle w:val="29"/>
          <w:rFonts w:hint="default" w:ascii="Times New Roman" w:hAnsi="Times New Roman" w:eastAsia="仿宋_GB2312" w:cs="Times New Roman"/>
          <w:b w:val="0"/>
          <w:bCs w:val="0"/>
        </w:rPr>
        <w:t>政拨款收入支出决算总表</w:t>
      </w:r>
      <w:bookmarkEnd w:id="96"/>
      <w:bookmarkEnd w:id="97"/>
      <w:bookmarkEnd w:id="98"/>
    </w:p>
    <w:p w14:paraId="29E2EA0B">
      <w:pPr>
        <w:pStyle w:val="3"/>
        <w:pageBreakBefore w:val="0"/>
        <w:kinsoku/>
        <w:wordWrap/>
        <w:overflowPunct/>
        <w:topLinePunct w:val="0"/>
        <w:bidi w:val="0"/>
        <w:spacing w:line="560" w:lineRule="exact"/>
        <w:textAlignment w:val="auto"/>
        <w:rPr>
          <w:rStyle w:val="29"/>
          <w:rFonts w:hint="default" w:ascii="Times New Roman" w:hAnsi="Times New Roman" w:eastAsia="仿宋_GB2312" w:cs="Times New Roman"/>
          <w:b w:val="0"/>
          <w:bCs w:val="0"/>
        </w:rPr>
      </w:pPr>
      <w:bookmarkStart w:id="99" w:name="_Toc8093"/>
      <w:bookmarkStart w:id="100" w:name="_Toc15396623"/>
      <w:bookmarkStart w:id="101" w:name="_Toc19049"/>
      <w:r>
        <w:rPr>
          <w:rStyle w:val="29"/>
          <w:rFonts w:hint="default" w:ascii="Times New Roman" w:hAnsi="Times New Roman" w:eastAsia="仿宋_GB2312" w:cs="Times New Roman"/>
          <w:b w:val="0"/>
          <w:bCs w:val="0"/>
        </w:rPr>
        <w:t>五、</w:t>
      </w:r>
      <w:r>
        <w:rPr>
          <w:rFonts w:hint="default" w:ascii="Times New Roman" w:hAnsi="Times New Roman" w:eastAsia="仿宋_GB2312" w:cs="Times New Roman"/>
          <w:b w:val="0"/>
        </w:rPr>
        <w:t>财</w:t>
      </w:r>
      <w:r>
        <w:rPr>
          <w:rStyle w:val="29"/>
          <w:rFonts w:hint="default" w:ascii="Times New Roman" w:hAnsi="Times New Roman" w:eastAsia="仿宋_GB2312" w:cs="Times New Roman"/>
          <w:b w:val="0"/>
          <w:bCs w:val="0"/>
        </w:rPr>
        <w:t>政拨款支出决算明细表</w:t>
      </w:r>
      <w:bookmarkEnd w:id="99"/>
      <w:bookmarkEnd w:id="100"/>
      <w:bookmarkEnd w:id="101"/>
      <w:bookmarkStart w:id="102" w:name="_Toc15396624"/>
    </w:p>
    <w:p w14:paraId="1A721CB8">
      <w:pPr>
        <w:pStyle w:val="3"/>
        <w:pageBreakBefore w:val="0"/>
        <w:kinsoku/>
        <w:wordWrap/>
        <w:overflowPunct/>
        <w:topLinePunct w:val="0"/>
        <w:bidi w:val="0"/>
        <w:spacing w:line="560" w:lineRule="exact"/>
        <w:textAlignment w:val="auto"/>
        <w:rPr>
          <w:rFonts w:hint="default" w:ascii="Times New Roman" w:hAnsi="Times New Roman" w:eastAsia="仿宋_GB2312" w:cs="Times New Roman"/>
        </w:rPr>
      </w:pPr>
      <w:bookmarkStart w:id="103" w:name="_Toc15146"/>
      <w:bookmarkStart w:id="104" w:name="_Toc1677"/>
      <w:r>
        <w:rPr>
          <w:rStyle w:val="29"/>
          <w:rFonts w:hint="default" w:ascii="Times New Roman" w:hAnsi="Times New Roman" w:eastAsia="仿宋_GB2312" w:cs="Times New Roman"/>
          <w:b w:val="0"/>
          <w:bCs w:val="0"/>
        </w:rPr>
        <w:t>六、</w:t>
      </w:r>
      <w:r>
        <w:rPr>
          <w:rFonts w:hint="default" w:ascii="Times New Roman" w:hAnsi="Times New Roman" w:eastAsia="仿宋_GB2312" w:cs="Times New Roman"/>
          <w:b w:val="0"/>
        </w:rPr>
        <w:t>一</w:t>
      </w:r>
      <w:r>
        <w:rPr>
          <w:rStyle w:val="29"/>
          <w:rFonts w:hint="default" w:ascii="Times New Roman" w:hAnsi="Times New Roman" w:eastAsia="仿宋_GB2312" w:cs="Times New Roman"/>
          <w:b w:val="0"/>
          <w:bCs w:val="0"/>
        </w:rPr>
        <w:t>般公共预算财政拨款支出决算表</w:t>
      </w:r>
      <w:bookmarkEnd w:id="102"/>
      <w:bookmarkEnd w:id="103"/>
      <w:bookmarkEnd w:id="104"/>
    </w:p>
    <w:p w14:paraId="23628CCA">
      <w:pPr>
        <w:pStyle w:val="3"/>
        <w:pageBreakBefore w:val="0"/>
        <w:kinsoku/>
        <w:wordWrap/>
        <w:overflowPunct/>
        <w:topLinePunct w:val="0"/>
        <w:bidi w:val="0"/>
        <w:spacing w:line="560" w:lineRule="exact"/>
        <w:textAlignment w:val="auto"/>
        <w:rPr>
          <w:rFonts w:hint="default" w:ascii="Times New Roman" w:hAnsi="Times New Roman" w:eastAsia="仿宋_GB2312" w:cs="Times New Roman"/>
        </w:rPr>
      </w:pPr>
      <w:bookmarkStart w:id="105" w:name="_Toc17339"/>
      <w:bookmarkStart w:id="106" w:name="_Toc15396625"/>
      <w:bookmarkStart w:id="107" w:name="_Toc378"/>
      <w:r>
        <w:rPr>
          <w:rStyle w:val="29"/>
          <w:rFonts w:hint="default" w:ascii="Times New Roman" w:hAnsi="Times New Roman" w:eastAsia="仿宋_GB2312" w:cs="Times New Roman"/>
          <w:b w:val="0"/>
          <w:bCs w:val="0"/>
        </w:rPr>
        <w:t>七、</w:t>
      </w:r>
      <w:r>
        <w:rPr>
          <w:rFonts w:hint="default" w:ascii="Times New Roman" w:hAnsi="Times New Roman" w:eastAsia="仿宋_GB2312" w:cs="Times New Roman"/>
          <w:b w:val="0"/>
        </w:rPr>
        <w:t>一</w:t>
      </w:r>
      <w:r>
        <w:rPr>
          <w:rStyle w:val="29"/>
          <w:rFonts w:hint="default" w:ascii="Times New Roman" w:hAnsi="Times New Roman" w:eastAsia="仿宋_GB2312" w:cs="Times New Roman"/>
          <w:b w:val="0"/>
          <w:bCs w:val="0"/>
        </w:rPr>
        <w:t>般公共预算财政拨款支出决算明细表</w:t>
      </w:r>
      <w:bookmarkEnd w:id="105"/>
      <w:bookmarkEnd w:id="106"/>
      <w:bookmarkEnd w:id="107"/>
    </w:p>
    <w:p w14:paraId="176B84C3">
      <w:pPr>
        <w:pStyle w:val="3"/>
        <w:pageBreakBefore w:val="0"/>
        <w:kinsoku/>
        <w:wordWrap/>
        <w:overflowPunct/>
        <w:topLinePunct w:val="0"/>
        <w:bidi w:val="0"/>
        <w:spacing w:line="560" w:lineRule="exact"/>
        <w:textAlignment w:val="auto"/>
        <w:rPr>
          <w:rFonts w:hint="default" w:ascii="Times New Roman" w:hAnsi="Times New Roman" w:eastAsia="仿宋_GB2312" w:cs="Times New Roman"/>
        </w:rPr>
      </w:pPr>
      <w:bookmarkStart w:id="108" w:name="_Toc12752"/>
      <w:bookmarkStart w:id="109" w:name="_Toc15396626"/>
      <w:bookmarkStart w:id="110" w:name="_Toc3866"/>
      <w:r>
        <w:rPr>
          <w:rStyle w:val="29"/>
          <w:rFonts w:hint="default" w:ascii="Times New Roman" w:hAnsi="Times New Roman" w:eastAsia="仿宋_GB2312" w:cs="Times New Roman"/>
          <w:b w:val="0"/>
          <w:bCs w:val="0"/>
        </w:rPr>
        <w:t>八、</w:t>
      </w:r>
      <w:r>
        <w:rPr>
          <w:rFonts w:hint="default" w:ascii="Times New Roman" w:hAnsi="Times New Roman" w:eastAsia="仿宋_GB2312" w:cs="Times New Roman"/>
          <w:b w:val="0"/>
        </w:rPr>
        <w:t>一</w:t>
      </w:r>
      <w:r>
        <w:rPr>
          <w:rStyle w:val="29"/>
          <w:rFonts w:hint="default" w:ascii="Times New Roman" w:hAnsi="Times New Roman" w:eastAsia="仿宋_GB2312" w:cs="Times New Roman"/>
          <w:b w:val="0"/>
          <w:bCs w:val="0"/>
        </w:rPr>
        <w:t>般公共预算财政拨款基本支出决算表</w:t>
      </w:r>
      <w:bookmarkEnd w:id="108"/>
      <w:bookmarkEnd w:id="109"/>
      <w:bookmarkEnd w:id="110"/>
    </w:p>
    <w:p w14:paraId="45A2E0C2">
      <w:pPr>
        <w:pStyle w:val="3"/>
        <w:pageBreakBefore w:val="0"/>
        <w:kinsoku/>
        <w:wordWrap/>
        <w:overflowPunct/>
        <w:topLinePunct w:val="0"/>
        <w:bidi w:val="0"/>
        <w:spacing w:line="560" w:lineRule="exact"/>
        <w:textAlignment w:val="auto"/>
        <w:rPr>
          <w:rFonts w:hint="default" w:ascii="Times New Roman" w:hAnsi="Times New Roman" w:eastAsia="仿宋_GB2312" w:cs="Times New Roman"/>
        </w:rPr>
      </w:pPr>
      <w:bookmarkStart w:id="111" w:name="_Toc17380"/>
      <w:bookmarkStart w:id="112" w:name="_Toc15396627"/>
      <w:bookmarkStart w:id="113" w:name="_Toc1459"/>
      <w:r>
        <w:rPr>
          <w:rStyle w:val="29"/>
          <w:rFonts w:hint="default" w:ascii="Times New Roman" w:hAnsi="Times New Roman" w:eastAsia="仿宋_GB2312" w:cs="Times New Roman"/>
          <w:b w:val="0"/>
          <w:bCs w:val="0"/>
        </w:rPr>
        <w:t>九、</w:t>
      </w:r>
      <w:r>
        <w:rPr>
          <w:rFonts w:hint="default" w:ascii="Times New Roman" w:hAnsi="Times New Roman" w:eastAsia="仿宋_GB2312" w:cs="Times New Roman"/>
          <w:b w:val="0"/>
        </w:rPr>
        <w:t>一</w:t>
      </w:r>
      <w:r>
        <w:rPr>
          <w:rStyle w:val="29"/>
          <w:rFonts w:hint="default" w:ascii="Times New Roman" w:hAnsi="Times New Roman" w:eastAsia="仿宋_GB2312" w:cs="Times New Roman"/>
          <w:b w:val="0"/>
          <w:bCs w:val="0"/>
        </w:rPr>
        <w:t>般公共预算财政拨款项目支出决算表</w:t>
      </w:r>
      <w:bookmarkEnd w:id="111"/>
      <w:bookmarkEnd w:id="112"/>
      <w:bookmarkEnd w:id="113"/>
    </w:p>
    <w:p w14:paraId="607935F7">
      <w:pPr>
        <w:pStyle w:val="3"/>
        <w:pageBreakBefore w:val="0"/>
        <w:kinsoku/>
        <w:wordWrap/>
        <w:overflowPunct/>
        <w:topLinePunct w:val="0"/>
        <w:bidi w:val="0"/>
        <w:spacing w:line="560" w:lineRule="exact"/>
        <w:textAlignment w:val="auto"/>
        <w:rPr>
          <w:rFonts w:hint="default" w:ascii="Times New Roman" w:hAnsi="Times New Roman" w:eastAsia="仿宋_GB2312" w:cs="Times New Roman"/>
        </w:rPr>
      </w:pPr>
      <w:bookmarkStart w:id="114" w:name="_Toc15396628"/>
      <w:bookmarkStart w:id="115" w:name="_Toc23964"/>
      <w:bookmarkStart w:id="116" w:name="_Toc13159"/>
      <w:r>
        <w:rPr>
          <w:rStyle w:val="29"/>
          <w:rFonts w:hint="default" w:ascii="Times New Roman" w:hAnsi="Times New Roman" w:eastAsia="仿宋_GB2312" w:cs="Times New Roman"/>
          <w:b w:val="0"/>
          <w:bCs w:val="0"/>
        </w:rPr>
        <w:t>十、</w:t>
      </w:r>
      <w:bookmarkEnd w:id="114"/>
      <w:r>
        <w:rPr>
          <w:rFonts w:hint="default" w:ascii="Times New Roman" w:hAnsi="Times New Roman" w:eastAsia="仿宋_GB2312" w:cs="Times New Roman"/>
          <w:b w:val="0"/>
        </w:rPr>
        <w:t>政</w:t>
      </w:r>
      <w:r>
        <w:rPr>
          <w:rStyle w:val="29"/>
          <w:rFonts w:hint="default" w:ascii="Times New Roman" w:hAnsi="Times New Roman" w:eastAsia="仿宋_GB2312" w:cs="Times New Roman"/>
          <w:b w:val="0"/>
          <w:bCs w:val="0"/>
        </w:rPr>
        <w:t>府性基金预算财政拨款收入支出决算表</w:t>
      </w:r>
      <w:bookmarkEnd w:id="115"/>
      <w:bookmarkEnd w:id="116"/>
    </w:p>
    <w:p w14:paraId="5CF65628">
      <w:pPr>
        <w:pStyle w:val="3"/>
        <w:pageBreakBefore w:val="0"/>
        <w:kinsoku/>
        <w:wordWrap/>
        <w:overflowPunct/>
        <w:topLinePunct w:val="0"/>
        <w:bidi w:val="0"/>
        <w:spacing w:line="560" w:lineRule="exact"/>
        <w:textAlignment w:val="auto"/>
        <w:rPr>
          <w:rFonts w:hint="default" w:ascii="Times New Roman" w:hAnsi="Times New Roman" w:eastAsia="仿宋_GB2312" w:cs="Times New Roman"/>
        </w:rPr>
      </w:pPr>
      <w:bookmarkStart w:id="117" w:name="_Toc15396629"/>
      <w:bookmarkStart w:id="118" w:name="_Toc12747"/>
      <w:bookmarkStart w:id="119" w:name="_Toc26113"/>
      <w:r>
        <w:rPr>
          <w:rStyle w:val="29"/>
          <w:rFonts w:hint="default" w:ascii="Times New Roman" w:hAnsi="Times New Roman" w:eastAsia="仿宋_GB2312" w:cs="Times New Roman"/>
          <w:b w:val="0"/>
          <w:bCs w:val="0"/>
        </w:rPr>
        <w:t>十一、</w:t>
      </w:r>
      <w:bookmarkEnd w:id="117"/>
      <w:r>
        <w:rPr>
          <w:rFonts w:hint="default" w:ascii="Times New Roman" w:hAnsi="Times New Roman" w:eastAsia="仿宋_GB2312" w:cs="Times New Roman"/>
          <w:b w:val="0"/>
        </w:rPr>
        <w:t>国</w:t>
      </w:r>
      <w:r>
        <w:rPr>
          <w:rStyle w:val="29"/>
          <w:rFonts w:hint="default" w:ascii="Times New Roman" w:hAnsi="Times New Roman" w:eastAsia="仿宋_GB2312" w:cs="Times New Roman"/>
          <w:b w:val="0"/>
          <w:bCs w:val="0"/>
        </w:rPr>
        <w:t>有资本经营预算财政拨款收入支出决算表</w:t>
      </w:r>
      <w:bookmarkEnd w:id="118"/>
      <w:bookmarkEnd w:id="119"/>
    </w:p>
    <w:p w14:paraId="399E3E0E">
      <w:pPr>
        <w:pStyle w:val="3"/>
        <w:pageBreakBefore w:val="0"/>
        <w:kinsoku/>
        <w:wordWrap/>
        <w:overflowPunct/>
        <w:topLinePunct w:val="0"/>
        <w:bidi w:val="0"/>
        <w:spacing w:line="560" w:lineRule="exact"/>
        <w:textAlignment w:val="auto"/>
        <w:rPr>
          <w:rFonts w:hint="default" w:ascii="Times New Roman" w:hAnsi="Times New Roman" w:eastAsia="仿宋_GB2312" w:cs="Times New Roman"/>
        </w:rPr>
      </w:pPr>
      <w:bookmarkStart w:id="120" w:name="_Toc15396630"/>
      <w:bookmarkStart w:id="121" w:name="_Toc23973"/>
      <w:bookmarkStart w:id="122" w:name="_Toc2692"/>
      <w:r>
        <w:rPr>
          <w:rStyle w:val="29"/>
          <w:rFonts w:hint="default" w:ascii="Times New Roman" w:hAnsi="Times New Roman" w:eastAsia="仿宋_GB2312" w:cs="Times New Roman"/>
          <w:b w:val="0"/>
          <w:bCs w:val="0"/>
        </w:rPr>
        <w:t>十二、</w:t>
      </w:r>
      <w:bookmarkEnd w:id="120"/>
      <w:r>
        <w:rPr>
          <w:rStyle w:val="29"/>
          <w:rFonts w:hint="default" w:ascii="Times New Roman" w:hAnsi="Times New Roman" w:eastAsia="仿宋_GB2312" w:cs="Times New Roman"/>
          <w:b w:val="0"/>
          <w:bCs w:val="0"/>
        </w:rPr>
        <w:t>国有资本经营预算财政拨款支出决算表</w:t>
      </w:r>
      <w:bookmarkEnd w:id="121"/>
      <w:bookmarkEnd w:id="122"/>
    </w:p>
    <w:p w14:paraId="2B318196">
      <w:pPr>
        <w:pStyle w:val="3"/>
        <w:pageBreakBefore w:val="0"/>
        <w:kinsoku/>
        <w:wordWrap/>
        <w:overflowPunct/>
        <w:topLinePunct w:val="0"/>
        <w:bidi w:val="0"/>
        <w:spacing w:line="560" w:lineRule="exact"/>
        <w:textAlignment w:val="auto"/>
        <w:rPr>
          <w:rStyle w:val="28"/>
          <w:rFonts w:hint="default" w:ascii="Times New Roman" w:hAnsi="Times New Roman" w:eastAsia="黑体" w:cs="Times New Roman"/>
          <w:b w:val="0"/>
          <w:bCs/>
          <w:lang w:eastAsia="zh-CN"/>
        </w:rPr>
      </w:pPr>
      <w:bookmarkStart w:id="123" w:name="_Toc15396631"/>
      <w:bookmarkStart w:id="124" w:name="_Toc31636"/>
      <w:bookmarkStart w:id="125" w:name="_Toc22967"/>
      <w:r>
        <w:rPr>
          <w:rStyle w:val="29"/>
          <w:rFonts w:hint="default" w:ascii="Times New Roman" w:hAnsi="Times New Roman" w:eastAsia="仿宋_GB2312" w:cs="Times New Roman"/>
          <w:b w:val="0"/>
          <w:bCs w:val="0"/>
        </w:rPr>
        <w:t>十三、</w:t>
      </w:r>
      <w:bookmarkEnd w:id="123"/>
      <w:r>
        <w:rPr>
          <w:rStyle w:val="29"/>
          <w:rFonts w:hint="default" w:ascii="Times New Roman" w:hAnsi="Times New Roman" w:eastAsia="仿宋_GB2312" w:cs="Times New Roman"/>
          <w:b w:val="0"/>
          <w:bCs w:val="0"/>
        </w:rPr>
        <w:t>财政拨款“三公”经费支出决算表</w:t>
      </w:r>
      <w:bookmarkEnd w:id="124"/>
      <w:bookmarkEnd w:id="125"/>
    </w:p>
    <w:p w14:paraId="55D86518">
      <w:pPr>
        <w:rPr>
          <w:rFonts w:hint="default" w:ascii="Times New Roman" w:hAnsi="Times New Roman" w:eastAsia="仿宋" w:cs="Times New Roman"/>
          <w:sz w:val="32"/>
          <w:szCs w:val="32"/>
        </w:rPr>
      </w:pPr>
    </w:p>
    <w:sectPr>
      <w:headerReference r:id="rId3" w:type="default"/>
      <w:footerReference r:id="rId4" w:type="default"/>
      <w:pgSz w:w="11906" w:h="16838"/>
      <w:pgMar w:top="1440" w:right="1474" w:bottom="1440"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EndPr>
      <w:rPr>
        <w:sz w:val="24"/>
        <w:szCs w:val="24"/>
      </w:rPr>
    </w:sdtEndPr>
    <w:sdtContent>
      <w:p w14:paraId="02FF67FE">
        <w:pPr>
          <w:pStyle w:val="9"/>
          <w:jc w:val="center"/>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5</w:t>
        </w:r>
        <w:r>
          <w:rPr>
            <w:sz w:val="24"/>
            <w:szCs w:val="24"/>
          </w:rPr>
          <w:fldChar w:fldCharType="end"/>
        </w:r>
        <w:r>
          <w:rPr>
            <w:rFonts w:hint="eastAsia"/>
            <w:sz w:val="24"/>
            <w:szCs w:val="24"/>
          </w:rPr>
          <w:t>-</w:t>
        </w:r>
      </w:p>
    </w:sdtContent>
  </w:sdt>
  <w:p w14:paraId="1215A57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E83B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643D2"/>
    <w:multiLevelType w:val="singleLevel"/>
    <w:tmpl w:val="AA5643D2"/>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MTY4OTk2MzU4ZjdhYmQwMDg0OWY0ZTk2N2ZkOTAifQ=="/>
  </w:docVars>
  <w:rsids>
    <w:rsidRoot w:val="00F1361C"/>
    <w:rsid w:val="00014A1C"/>
    <w:rsid w:val="000222C6"/>
    <w:rsid w:val="00024285"/>
    <w:rsid w:val="0002549F"/>
    <w:rsid w:val="00035392"/>
    <w:rsid w:val="000468DB"/>
    <w:rsid w:val="00053BD3"/>
    <w:rsid w:val="0006487A"/>
    <w:rsid w:val="00065F8F"/>
    <w:rsid w:val="00070A43"/>
    <w:rsid w:val="000768F2"/>
    <w:rsid w:val="00082EAC"/>
    <w:rsid w:val="0009184B"/>
    <w:rsid w:val="00094236"/>
    <w:rsid w:val="0009593C"/>
    <w:rsid w:val="00096E1D"/>
    <w:rsid w:val="00097322"/>
    <w:rsid w:val="00097358"/>
    <w:rsid w:val="000A4F3C"/>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5463"/>
    <w:rsid w:val="001E737D"/>
    <w:rsid w:val="001F0592"/>
    <w:rsid w:val="001F6419"/>
    <w:rsid w:val="001F7506"/>
    <w:rsid w:val="002006CD"/>
    <w:rsid w:val="00202B36"/>
    <w:rsid w:val="00204B7A"/>
    <w:rsid w:val="00204CDE"/>
    <w:rsid w:val="0021101A"/>
    <w:rsid w:val="00216686"/>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4E61"/>
    <w:rsid w:val="002F5109"/>
    <w:rsid w:val="002F567B"/>
    <w:rsid w:val="003216A9"/>
    <w:rsid w:val="0033012A"/>
    <w:rsid w:val="00335A74"/>
    <w:rsid w:val="0036561B"/>
    <w:rsid w:val="0037013F"/>
    <w:rsid w:val="00380C92"/>
    <w:rsid w:val="00393BBE"/>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3C52"/>
    <w:rsid w:val="00434489"/>
    <w:rsid w:val="00437085"/>
    <w:rsid w:val="00443880"/>
    <w:rsid w:val="004464F4"/>
    <w:rsid w:val="00447329"/>
    <w:rsid w:val="00471401"/>
    <w:rsid w:val="00473F31"/>
    <w:rsid w:val="0048263A"/>
    <w:rsid w:val="004826A2"/>
    <w:rsid w:val="00487E5D"/>
    <w:rsid w:val="00490F60"/>
    <w:rsid w:val="00492B83"/>
    <w:rsid w:val="00496D84"/>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A2545"/>
    <w:rsid w:val="005B0198"/>
    <w:rsid w:val="005B321C"/>
    <w:rsid w:val="005B5C64"/>
    <w:rsid w:val="005C5337"/>
    <w:rsid w:val="005C6BD0"/>
    <w:rsid w:val="005D1C8B"/>
    <w:rsid w:val="005D468D"/>
    <w:rsid w:val="005D5CED"/>
    <w:rsid w:val="005E4427"/>
    <w:rsid w:val="005F1A4C"/>
    <w:rsid w:val="00605688"/>
    <w:rsid w:val="006070AF"/>
    <w:rsid w:val="00607E6C"/>
    <w:rsid w:val="006101B1"/>
    <w:rsid w:val="00614E44"/>
    <w:rsid w:val="00620030"/>
    <w:rsid w:val="0062270A"/>
    <w:rsid w:val="00622830"/>
    <w:rsid w:val="00623DA0"/>
    <w:rsid w:val="00630AEF"/>
    <w:rsid w:val="006325F8"/>
    <w:rsid w:val="00633463"/>
    <w:rsid w:val="00634B08"/>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C297F"/>
    <w:rsid w:val="006F020C"/>
    <w:rsid w:val="007015DA"/>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219"/>
    <w:rsid w:val="00872FD8"/>
    <w:rsid w:val="00875641"/>
    <w:rsid w:val="00885AF4"/>
    <w:rsid w:val="00887F08"/>
    <w:rsid w:val="008914B9"/>
    <w:rsid w:val="008939CD"/>
    <w:rsid w:val="008B768C"/>
    <w:rsid w:val="008C4DB1"/>
    <w:rsid w:val="008C4EAF"/>
    <w:rsid w:val="008C5176"/>
    <w:rsid w:val="008C7FD0"/>
    <w:rsid w:val="008D22D0"/>
    <w:rsid w:val="008E1DE7"/>
    <w:rsid w:val="008E707C"/>
    <w:rsid w:val="008F51AC"/>
    <w:rsid w:val="00900B08"/>
    <w:rsid w:val="00902155"/>
    <w:rsid w:val="00902FA3"/>
    <w:rsid w:val="00923564"/>
    <w:rsid w:val="0092392E"/>
    <w:rsid w:val="009315F9"/>
    <w:rsid w:val="00932F99"/>
    <w:rsid w:val="00933499"/>
    <w:rsid w:val="009334F0"/>
    <w:rsid w:val="00935C98"/>
    <w:rsid w:val="0094259B"/>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158C"/>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40E4"/>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67439"/>
    <w:rsid w:val="00C860D5"/>
    <w:rsid w:val="00C87FD8"/>
    <w:rsid w:val="00C91381"/>
    <w:rsid w:val="00C91CBB"/>
    <w:rsid w:val="00CA7242"/>
    <w:rsid w:val="00CB4E70"/>
    <w:rsid w:val="00CC09B6"/>
    <w:rsid w:val="00CC666F"/>
    <w:rsid w:val="00CD1E3F"/>
    <w:rsid w:val="00CE44F6"/>
    <w:rsid w:val="00CE49DA"/>
    <w:rsid w:val="00CE7B61"/>
    <w:rsid w:val="00D00095"/>
    <w:rsid w:val="00D114F0"/>
    <w:rsid w:val="00D200AF"/>
    <w:rsid w:val="00D20620"/>
    <w:rsid w:val="00D254F7"/>
    <w:rsid w:val="00D26091"/>
    <w:rsid w:val="00D2685C"/>
    <w:rsid w:val="00D34E7C"/>
    <w:rsid w:val="00D35489"/>
    <w:rsid w:val="00D36AFE"/>
    <w:rsid w:val="00D51276"/>
    <w:rsid w:val="00D7035F"/>
    <w:rsid w:val="00D74E17"/>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33A71"/>
    <w:rsid w:val="00E472B1"/>
    <w:rsid w:val="00E50624"/>
    <w:rsid w:val="00E568DF"/>
    <w:rsid w:val="00E64269"/>
    <w:rsid w:val="00E82267"/>
    <w:rsid w:val="00E853CE"/>
    <w:rsid w:val="00E867B6"/>
    <w:rsid w:val="00E974F9"/>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37996"/>
    <w:rsid w:val="00F417B1"/>
    <w:rsid w:val="00F45853"/>
    <w:rsid w:val="00F5561B"/>
    <w:rsid w:val="00F602DF"/>
    <w:rsid w:val="00F73D48"/>
    <w:rsid w:val="00F754A1"/>
    <w:rsid w:val="00F81FD9"/>
    <w:rsid w:val="00F841AA"/>
    <w:rsid w:val="00F84A94"/>
    <w:rsid w:val="00F87E96"/>
    <w:rsid w:val="00F947CA"/>
    <w:rsid w:val="00FA23E8"/>
    <w:rsid w:val="00FA789D"/>
    <w:rsid w:val="00FC7DA4"/>
    <w:rsid w:val="00FD3CC1"/>
    <w:rsid w:val="00FD4286"/>
    <w:rsid w:val="00FF1E02"/>
    <w:rsid w:val="00FF30B4"/>
    <w:rsid w:val="015975B8"/>
    <w:rsid w:val="02E70051"/>
    <w:rsid w:val="02FEBE30"/>
    <w:rsid w:val="036F8141"/>
    <w:rsid w:val="03E4661B"/>
    <w:rsid w:val="063522A9"/>
    <w:rsid w:val="066E0107"/>
    <w:rsid w:val="07996F6E"/>
    <w:rsid w:val="07DFD8BA"/>
    <w:rsid w:val="0A2032A3"/>
    <w:rsid w:val="0AA12E7C"/>
    <w:rsid w:val="0D35B1ED"/>
    <w:rsid w:val="0E7ED1F5"/>
    <w:rsid w:val="0F98263C"/>
    <w:rsid w:val="101860EC"/>
    <w:rsid w:val="10C055FF"/>
    <w:rsid w:val="118107EC"/>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0C86E43"/>
    <w:rsid w:val="5164091A"/>
    <w:rsid w:val="537E6D0A"/>
    <w:rsid w:val="53AB6B88"/>
    <w:rsid w:val="53F74C96"/>
    <w:rsid w:val="5583522D"/>
    <w:rsid w:val="57BD3DD4"/>
    <w:rsid w:val="57F9CD1E"/>
    <w:rsid w:val="5A383296"/>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8D5F82"/>
    <w:rsid w:val="64E322C4"/>
    <w:rsid w:val="654546E6"/>
    <w:rsid w:val="65FB93B9"/>
    <w:rsid w:val="6633C463"/>
    <w:rsid w:val="66560D21"/>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175777"/>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autoRedefine/>
    <w:qFormat/>
    <w:uiPriority w:val="0"/>
    <w:pPr>
      <w:widowControl/>
      <w:spacing w:before="100" w:beforeAutospacing="1" w:after="100" w:afterAutospacing="1"/>
      <w:jc w:val="left"/>
    </w:pPr>
    <w:rPr>
      <w:rFonts w:ascii="宋体" w:hAnsi="宋体" w:eastAsia="仿宋_GB2312" w:cs="宋体"/>
      <w:kern w:val="0"/>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89680061544031"/>
          <c:y val="0.0466982952052129"/>
          <c:w val="0.763145533532446"/>
          <c:h val="0.84458829081696"/>
        </c:manualLayout>
      </c:layout>
      <c:barChart>
        <c:barDir val="col"/>
        <c:grouping val="clustered"/>
        <c:varyColors val="0"/>
        <c:ser>
          <c:idx val="0"/>
          <c:order val="0"/>
          <c:tx>
            <c:strRef>
              <c:f>Sheet1!$B$1</c:f>
              <c:strCache>
                <c:ptCount val="1"/>
                <c:pt idx="0">
                  <c:v>收入</c:v>
                </c:pt>
              </c:strCache>
            </c:strRef>
          </c:tx>
          <c:invertIfNegative val="0"/>
          <c:dLbls>
            <c:dLbl>
              <c:idx val="0"/>
              <c:layout>
                <c:manualLayout>
                  <c:x val="0.0272108843537415"/>
                  <c:y val="7.40732183739345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97029702970297"/>
                  <c:y val="-9.26539260092893e-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2023年（万元）</c:v>
                </c:pt>
                <c:pt idx="1">
                  <c:v>2022年（万元）</c:v>
                </c:pt>
              </c:strCache>
            </c:strRef>
          </c:cat>
          <c:val>
            <c:numRef>
              <c:f>Sheet1!$B$2:$B$5</c:f>
              <c:numCache>
                <c:formatCode>General</c:formatCode>
                <c:ptCount val="4"/>
                <c:pt idx="0">
                  <c:v>1582.61</c:v>
                </c:pt>
                <c:pt idx="1">
                  <c:v>1524.32</c:v>
                </c:pt>
              </c:numCache>
            </c:numRef>
          </c:val>
        </c:ser>
        <c:ser>
          <c:idx val="1"/>
          <c:order val="1"/>
          <c:tx>
            <c:strRef>
              <c:f>Sheet1!$C$1</c:f>
              <c:strCache>
                <c:ptCount val="1"/>
                <c:pt idx="0">
                  <c:v>支出</c:v>
                </c:pt>
              </c:strCache>
            </c:strRef>
          </c:tx>
          <c:invertIfNegative val="0"/>
          <c:dLbls>
            <c:delete val="1"/>
          </c:dLbls>
          <c:cat>
            <c:strRef>
              <c:f>Sheet1!$A$2:$A$5</c:f>
              <c:strCache>
                <c:ptCount val="2"/>
                <c:pt idx="0">
                  <c:v>2023年（万元）</c:v>
                </c:pt>
                <c:pt idx="1">
                  <c:v>2022年（万元）</c:v>
                </c:pt>
              </c:strCache>
            </c:strRef>
          </c:cat>
          <c:val>
            <c:numRef>
              <c:f>Sheet1!$C$2:$C$5</c:f>
              <c:numCache>
                <c:formatCode>General</c:formatCode>
                <c:ptCount val="4"/>
                <c:pt idx="0">
                  <c:v>1582.61</c:v>
                </c:pt>
                <c:pt idx="1">
                  <c:v>1524.32</c:v>
                </c:pt>
              </c:numCache>
            </c:numRef>
          </c:val>
        </c:ser>
        <c:dLbls>
          <c:showLegendKey val="0"/>
          <c:showVal val="0"/>
          <c:showCatName val="0"/>
          <c:showSerName val="0"/>
          <c:showPercent val="0"/>
          <c:showBubbleSize val="0"/>
        </c:dLbls>
        <c:gapWidth val="150"/>
        <c:axId val="226007680"/>
        <c:axId val="226009472"/>
      </c:barChart>
      <c:catAx>
        <c:axId val="2260076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6009472"/>
        <c:crosses val="autoZero"/>
        <c:auto val="1"/>
        <c:lblAlgn val="ctr"/>
        <c:lblOffset val="100"/>
        <c:noMultiLvlLbl val="0"/>
      </c:catAx>
      <c:valAx>
        <c:axId val="2260094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60076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987b32b-27c1-48a5-bdaa-6d5024c57f18}"/>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748111502509555"/>
          <c:y val="0"/>
        </c:manualLayout>
      </c:layout>
      <c:overlay val="0"/>
      <c:txPr>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Pt>
            <c:idx val="2"/>
            <c:bubble3D val="0"/>
          </c:dPt>
          <c:dPt>
            <c:idx val="3"/>
            <c:bubble3D val="0"/>
          </c:dPt>
          <c:dPt>
            <c:idx val="4"/>
            <c:bubble3D val="0"/>
          </c:dPt>
          <c:dLbls>
            <c:dLbl>
              <c:idx val="1"/>
              <c:layout>
                <c:manualLayout>
                  <c:x val="-0.0306605999907906"/>
                  <c:y val="-0.01537263434175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72097703795797"/>
                  <c:y val="-0.004407722061058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42668378075548"/>
                  <c:y val="0.0153291200442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88735111510184"/>
                  <c:y val="0.01971508495648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一般公共预算财政拨款收入：1582.61万元</c:v>
                </c:pt>
                <c:pt idx="1">
                  <c:v>政府性基金预算财政拨款收入  0万元</c:v>
                </c:pt>
                <c:pt idx="2">
                  <c:v>上级补助收入  0万元</c:v>
                </c:pt>
                <c:pt idx="3">
                  <c:v>事业收入  0万元</c:v>
                </c:pt>
                <c:pt idx="4">
                  <c:v>其他收入  0万元</c:v>
                </c:pt>
              </c:strCache>
            </c:strRef>
          </c:cat>
          <c:val>
            <c:numRef>
              <c:f>Sheet1!$B$2:$B$6</c:f>
              <c:numCache>
                <c:formatCode>0%</c:formatCode>
                <c:ptCount val="5"/>
                <c:pt idx="0">
                  <c:v>1</c:v>
                </c:pt>
                <c:pt idx="1">
                  <c:v>0</c:v>
                </c:pt>
                <c:pt idx="2">
                  <c:v>0</c:v>
                </c:pt>
                <c:pt idx="3">
                  <c:v>0</c:v>
                </c:pt>
                <c:pt idx="4">
                  <c:v>0</c:v>
                </c:pt>
              </c:numCache>
            </c:numRef>
          </c:val>
        </c:ser>
        <c:ser>
          <c:idx val="1"/>
          <c:order val="1"/>
          <c:tx>
            <c:strRef>
              <c:f>Sheet1!$C$1</c:f>
              <c:strCache>
                <c:ptCount val="1"/>
                <c:pt idx="0">
                  <c:v>列1</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一般公共预算财政拨款收入：1582.61万元</c:v>
                </c:pt>
                <c:pt idx="1">
                  <c:v>政府性基金预算财政拨款收入  0万元</c:v>
                </c:pt>
                <c:pt idx="2">
                  <c:v>上级补助收入  0万元</c:v>
                </c:pt>
                <c:pt idx="3">
                  <c:v>事业收入  0万元</c:v>
                </c:pt>
                <c:pt idx="4">
                  <c:v>其他收入  0万元</c:v>
                </c:pt>
              </c:strCache>
            </c:strRef>
          </c:cat>
          <c:val>
            <c:numRef>
              <c:f>Sheet1!$C$2:$C$6</c:f>
              <c:numCache>
                <c:formatCode>General</c:formatCode>
                <c:ptCount val="5"/>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66217134042455"/>
          <c:y val="0.254705760464152"/>
          <c:w val="0.333782865957545"/>
          <c:h val="0.66153128885205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5217f0e-6e88-44d9-80a8-243ad7955c32}"/>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740524499573095"/>
          <c:y val="0.0256410256410256"/>
        </c:manualLayout>
      </c:layout>
      <c:overlay val="0"/>
      <c:txPr>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单元：万元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  1509.66万元</c:v>
                </c:pt>
                <c:pt idx="1">
                  <c:v>项目支出  72.95万元</c:v>
                </c:pt>
              </c:strCache>
            </c:strRef>
          </c:cat>
          <c:val>
            <c:numRef>
              <c:f>Sheet1!$B$2:$B$3</c:f>
              <c:numCache>
                <c:formatCode>0.00%</c:formatCode>
                <c:ptCount val="2"/>
                <c:pt idx="0">
                  <c:v>0.9539</c:v>
                </c:pt>
                <c:pt idx="1">
                  <c:v>0.0461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4a30a42-0d6e-4433-8651-22e67d623b34}"/>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2022年</c:v>
                </c:pt>
              </c:strCache>
            </c:strRef>
          </c:cat>
          <c:val>
            <c:numRef>
              <c:f>Sheet1!$B$2:$B$3</c:f>
              <c:numCache>
                <c:formatCode>General</c:formatCode>
                <c:ptCount val="2"/>
                <c:pt idx="0">
                  <c:v>1582.61</c:v>
                </c:pt>
                <c:pt idx="1">
                  <c:v>1524.32</c:v>
                </c:pt>
              </c:numCache>
            </c:numRef>
          </c:val>
        </c:ser>
        <c:ser>
          <c:idx val="1"/>
          <c:order val="1"/>
          <c:tx>
            <c:strRef>
              <c:f>Sheet1!$C$1</c:f>
              <c:strCache>
                <c:ptCount val="1"/>
                <c:pt idx="0">
                  <c:v>财政拨款支出</c:v>
                </c:pt>
              </c:strCache>
            </c:strRef>
          </c:tx>
          <c:invertIfNegative val="0"/>
          <c:dLbls>
            <c:dLbl>
              <c:idx val="1"/>
              <c:layout>
                <c:manualLayout>
                  <c:x val="0.00479835277031498"/>
                  <c:y val="7.80088247483001e-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2022年</c:v>
                </c:pt>
              </c:strCache>
            </c:strRef>
          </c:cat>
          <c:val>
            <c:numRef>
              <c:f>Sheet1!$C$2:$C$3</c:f>
              <c:numCache>
                <c:formatCode>General</c:formatCode>
                <c:ptCount val="2"/>
                <c:pt idx="0">
                  <c:v>1582.61</c:v>
                </c:pt>
                <c:pt idx="1">
                  <c:v>1524.32</c:v>
                </c:pt>
              </c:numCache>
            </c:numRef>
          </c:val>
        </c:ser>
        <c:dLbls>
          <c:showLegendKey val="0"/>
          <c:showVal val="1"/>
          <c:showCatName val="0"/>
          <c:showSerName val="0"/>
          <c:showPercent val="0"/>
          <c:showBubbleSize val="0"/>
        </c:dLbls>
        <c:gapWidth val="150"/>
        <c:axId val="226332672"/>
        <c:axId val="226334208"/>
      </c:barChart>
      <c:catAx>
        <c:axId val="2263326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6334208"/>
        <c:crosses val="autoZero"/>
        <c:auto val="1"/>
        <c:lblAlgn val="ctr"/>
        <c:lblOffset val="100"/>
        <c:noMultiLvlLbl val="0"/>
      </c:catAx>
      <c:valAx>
        <c:axId val="2263342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63326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2397078-9b51-4880-a867-ace6b564d2a6}"/>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752468594966092"/>
          <c:y val="0.0123839009287926"/>
        </c:manualLayout>
      </c:layout>
      <c:overlay val="0"/>
      <c:txPr>
        <a:bodyPr rot="0" spcFirstLastPara="0" vertOverflow="ellipsis" vert="horz" wrap="square" anchor="ctr" anchorCtr="1"/>
        <a:lstStyle/>
        <a:p>
          <a:pPr algn="r">
            <a:defRPr lang="zh-CN" sz="10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2022年</c:v>
                </c:pt>
              </c:strCache>
            </c:strRef>
          </c:cat>
          <c:val>
            <c:numRef>
              <c:f>Sheet1!$B$2:$B$3</c:f>
              <c:numCache>
                <c:formatCode>General</c:formatCode>
                <c:ptCount val="2"/>
                <c:pt idx="0">
                  <c:v>1582.61</c:v>
                </c:pt>
                <c:pt idx="1">
                  <c:v>1524.32</c:v>
                </c:pt>
              </c:numCache>
            </c:numRef>
          </c:val>
        </c:ser>
        <c:dLbls>
          <c:showLegendKey val="0"/>
          <c:showVal val="0"/>
          <c:showCatName val="0"/>
          <c:showSerName val="0"/>
          <c:showPercent val="0"/>
          <c:showBubbleSize val="0"/>
        </c:dLbls>
        <c:gapWidth val="150"/>
        <c:axId val="226346496"/>
        <c:axId val="226348032"/>
      </c:barChart>
      <c:catAx>
        <c:axId val="2263464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6348032"/>
        <c:crosses val="autoZero"/>
        <c:auto val="1"/>
        <c:lblAlgn val="ctr"/>
        <c:lblOffset val="100"/>
        <c:noMultiLvlLbl val="0"/>
      </c:catAx>
      <c:valAx>
        <c:axId val="2263480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6346496"/>
        <c:crosses val="autoZero"/>
        <c:crossBetween val="between"/>
      </c:valAx>
    </c:plotArea>
    <c:plotVisOnly val="1"/>
    <c:dispBlanksAs val="gap"/>
    <c:showDLblsOverMax val="0"/>
    <c:extLst>
      <c:ext uri="{0b15fc19-7d7d-44ad-8c2d-2c3a37ce22c3}">
        <chartProps xmlns="https://web.wps.cn/et/2018/main" chartId="{61ad815c-761e-44bc-8bd9-c1ddfecf4cf5}"/>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just">
              <a:defRPr lang="zh-CN" sz="1200" b="1" i="0" u="none" strike="noStrike" kern="1200" baseline="0">
                <a:solidFill>
                  <a:schemeClr val="tx1"/>
                </a:solidFill>
                <a:latin typeface="+mn-lt"/>
                <a:ea typeface="+mn-ea"/>
                <a:cs typeface="+mn-cs"/>
              </a:defRPr>
            </a:pPr>
            <a:r>
              <a:rPr lang="zh-CN" altLang="en-US" sz="1200"/>
              <a:t>单位：</a:t>
            </a:r>
            <a:r>
              <a:rPr lang="zh-CN" altLang="en-US" sz="1000"/>
              <a:t>万元</a:t>
            </a:r>
            <a:endParaRPr lang="zh-CN" altLang="en-US" sz="1000"/>
          </a:p>
        </c:rich>
      </c:tx>
      <c:layout>
        <c:manualLayout>
          <c:xMode val="edge"/>
          <c:yMode val="edge"/>
          <c:x val="0.747592007295741"/>
          <c:y val="0.0123839009287926"/>
        </c:manualLayout>
      </c:layout>
      <c:overlay val="0"/>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  1156.77万元</c:v>
                </c:pt>
                <c:pt idx="1">
                  <c:v>社会保障和就业支出  239.06万元</c:v>
                </c:pt>
                <c:pt idx="2">
                  <c:v>卫生健康支出  97.28万元</c:v>
                </c:pt>
                <c:pt idx="3">
                  <c:v>住房保障支出  89.5万元</c:v>
                </c:pt>
              </c:strCache>
            </c:strRef>
          </c:cat>
          <c:val>
            <c:numRef>
              <c:f>Sheet1!$B$2:$B$5</c:f>
              <c:numCache>
                <c:formatCode>0.00%</c:formatCode>
                <c:ptCount val="4"/>
                <c:pt idx="0">
                  <c:v>0.7309</c:v>
                </c:pt>
                <c:pt idx="1">
                  <c:v>0.1511</c:v>
                </c:pt>
                <c:pt idx="2">
                  <c:v>0.0615</c:v>
                </c:pt>
                <c:pt idx="3">
                  <c:v>0.0565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560e0e1-42da-493b-a375-1e46fc0c18b6}"/>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4555</Words>
  <Characters>5186</Characters>
  <Lines>81</Lines>
  <Paragraphs>22</Paragraphs>
  <TotalTime>1</TotalTime>
  <ScaleCrop>false</ScaleCrop>
  <LinksUpToDate>false</LinksUpToDate>
  <CharactersWithSpaces>5258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曹颖</dc:creator>
  <cp:lastModifiedBy>Sakura</cp:lastModifiedBy>
  <cp:lastPrinted>2024-10-22T03:54:00Z</cp:lastPrinted>
  <dcterms:modified xsi:type="dcterms:W3CDTF">2024-10-26T11:51:20Z</dcterms:modified>
  <dc:title>四川省***</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C819A0734C2A4885847B0EACA3F4C74B_12</vt:lpwstr>
  </property>
</Properties>
</file>