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kern w:val="0"/>
          <w:sz w:val="44"/>
          <w:szCs w:val="44"/>
        </w:rPr>
      </w:pPr>
      <w:bookmarkStart w:id="4" w:name="_GoBack"/>
      <w:bookmarkEnd w:id="4"/>
      <w:r>
        <w:rPr>
          <w:rFonts w:hint="eastAsia" w:ascii="方正小标宋_GBK" w:eastAsia="方正小标宋_GBK" w:cs="方正小标宋_GBK"/>
          <w:bCs/>
          <w:sz w:val="44"/>
          <w:szCs w:val="44"/>
        </w:rPr>
        <w:t>攀枝花市盐边生态环境局关于盐边县祥黎工贸有限责任公司地块污染土壤风险管控效果评估项目</w:t>
      </w:r>
    </w:p>
    <w:p>
      <w:pPr>
        <w:pStyle w:val="7"/>
        <w:rPr>
          <w:rFonts w:ascii="Times New Roman" w:hAnsi="Times New Roman" w:eastAsia="仿宋_GB2312"/>
          <w:kern w:val="0"/>
        </w:rPr>
      </w:pPr>
    </w:p>
    <w:p>
      <w:pPr>
        <w:pStyle w:val="11"/>
        <w:rPr>
          <w:rFonts w:ascii="Times New Roman" w:hAnsi="Times New Roman" w:eastAsia="方正小标宋_GBK"/>
          <w:kern w:val="0"/>
        </w:rPr>
      </w:pPr>
    </w:p>
    <w:p>
      <w:pPr>
        <w:spacing w:line="360" w:lineRule="auto"/>
        <w:jc w:val="center"/>
        <w:rPr>
          <w:rFonts w:ascii="Times New Roman" w:hAnsi="Times New Roman" w:eastAsia="方正小标宋_GBK"/>
          <w:bCs/>
          <w:kern w:val="0"/>
          <w:sz w:val="72"/>
          <w:szCs w:val="72"/>
        </w:rPr>
      </w:pPr>
      <w:r>
        <w:rPr>
          <w:rFonts w:ascii="Times New Roman" w:hAnsi="Times New Roman" w:eastAsia="方正小标宋_GBK"/>
          <w:bCs/>
          <w:kern w:val="0"/>
          <w:sz w:val="72"/>
          <w:szCs w:val="72"/>
        </w:rPr>
        <w:t>比</w:t>
      </w:r>
    </w:p>
    <w:p>
      <w:pPr>
        <w:spacing w:line="360" w:lineRule="auto"/>
        <w:jc w:val="center"/>
        <w:rPr>
          <w:rFonts w:ascii="Times New Roman" w:hAnsi="Times New Roman" w:eastAsia="方正小标宋_GBK"/>
          <w:bCs/>
          <w:kern w:val="0"/>
          <w:sz w:val="72"/>
          <w:szCs w:val="72"/>
        </w:rPr>
      </w:pPr>
      <w:r>
        <w:rPr>
          <w:rFonts w:ascii="Times New Roman" w:hAnsi="Times New Roman" w:eastAsia="方正小标宋_GBK"/>
          <w:bCs/>
          <w:kern w:val="0"/>
          <w:sz w:val="72"/>
          <w:szCs w:val="72"/>
        </w:rPr>
        <w:t>选</w:t>
      </w:r>
    </w:p>
    <w:p>
      <w:pPr>
        <w:spacing w:line="360" w:lineRule="auto"/>
        <w:jc w:val="center"/>
        <w:rPr>
          <w:rFonts w:ascii="Times New Roman" w:hAnsi="Times New Roman" w:eastAsia="方正小标宋_GBK"/>
          <w:bCs/>
          <w:kern w:val="0"/>
          <w:sz w:val="72"/>
          <w:szCs w:val="72"/>
        </w:rPr>
      </w:pPr>
      <w:r>
        <w:rPr>
          <w:rFonts w:ascii="Times New Roman" w:hAnsi="Times New Roman" w:eastAsia="方正小标宋_GBK"/>
          <w:bCs/>
          <w:kern w:val="0"/>
          <w:sz w:val="72"/>
          <w:szCs w:val="72"/>
        </w:rPr>
        <w:t>文</w:t>
      </w:r>
    </w:p>
    <w:p>
      <w:pPr>
        <w:spacing w:line="360" w:lineRule="auto"/>
        <w:jc w:val="center"/>
        <w:rPr>
          <w:rFonts w:ascii="Times New Roman" w:hAnsi="Times New Roman" w:eastAsia="方正小标宋_GBK"/>
          <w:bCs/>
          <w:kern w:val="0"/>
          <w:sz w:val="84"/>
          <w:szCs w:val="84"/>
        </w:rPr>
      </w:pPr>
      <w:r>
        <w:rPr>
          <w:rFonts w:ascii="Times New Roman" w:hAnsi="Times New Roman" w:eastAsia="方正小标宋_GBK"/>
          <w:bCs/>
          <w:kern w:val="0"/>
          <w:sz w:val="72"/>
          <w:szCs w:val="72"/>
        </w:rPr>
        <w:t>件</w:t>
      </w:r>
    </w:p>
    <w:p>
      <w:pPr>
        <w:spacing w:line="480" w:lineRule="auto"/>
        <w:jc w:val="center"/>
        <w:rPr>
          <w:rFonts w:ascii="Times New Roman" w:hAnsi="Times New Roman" w:eastAsia="仿宋_GB2312"/>
          <w:b/>
          <w:bCs/>
          <w:kern w:val="0"/>
          <w:sz w:val="48"/>
          <w:szCs w:val="48"/>
        </w:rPr>
      </w:pPr>
    </w:p>
    <w:p>
      <w:pPr>
        <w:spacing w:line="480" w:lineRule="auto"/>
        <w:jc w:val="center"/>
        <w:rPr>
          <w:rFonts w:ascii="Times New Roman" w:hAnsi="Times New Roman" w:eastAsia="仿宋_GB2312"/>
          <w:b/>
          <w:bCs/>
          <w:kern w:val="0"/>
          <w:sz w:val="48"/>
          <w:szCs w:val="48"/>
        </w:rPr>
      </w:pPr>
    </w:p>
    <w:p>
      <w:pPr>
        <w:jc w:val="center"/>
        <w:rPr>
          <w:rFonts w:ascii="Times New Roman" w:hAnsi="Times New Roman" w:eastAsia="仿宋_GB2312"/>
          <w:kern w:val="0"/>
          <w:sz w:val="36"/>
          <w:szCs w:val="36"/>
        </w:rPr>
      </w:pPr>
    </w:p>
    <w:p>
      <w:pPr>
        <w:jc w:val="center"/>
        <w:rPr>
          <w:rFonts w:ascii="Times New Roman" w:hAnsi="Times New Roman" w:eastAsia="楷体_GB2312"/>
          <w:kern w:val="0"/>
          <w:sz w:val="36"/>
          <w:szCs w:val="36"/>
        </w:rPr>
      </w:pPr>
      <w:r>
        <w:rPr>
          <w:rFonts w:ascii="Times New Roman" w:hAnsi="Times New Roman" w:eastAsia="楷体_GB2312"/>
          <w:kern w:val="0"/>
          <w:sz w:val="36"/>
          <w:szCs w:val="36"/>
        </w:rPr>
        <w:t>比选邀请人：攀枝花市</w:t>
      </w:r>
      <w:r>
        <w:rPr>
          <w:rFonts w:hint="eastAsia" w:ascii="Times New Roman" w:hAnsi="Times New Roman" w:eastAsia="楷体_GB2312"/>
          <w:kern w:val="0"/>
          <w:sz w:val="36"/>
          <w:szCs w:val="36"/>
        </w:rPr>
        <w:t>盐边</w:t>
      </w:r>
      <w:r>
        <w:rPr>
          <w:rFonts w:ascii="Times New Roman" w:hAnsi="Times New Roman" w:eastAsia="楷体_GB2312"/>
          <w:kern w:val="0"/>
          <w:sz w:val="36"/>
          <w:szCs w:val="36"/>
        </w:rPr>
        <w:t>生态环境局</w:t>
      </w:r>
    </w:p>
    <w:p>
      <w:pPr>
        <w:jc w:val="center"/>
        <w:rPr>
          <w:rFonts w:ascii="Times New Roman" w:hAnsi="Times New Roman" w:eastAsia="楷体_GB2312"/>
          <w:kern w:val="0"/>
          <w:sz w:val="36"/>
          <w:szCs w:val="36"/>
        </w:rPr>
      </w:pPr>
      <w:r>
        <w:rPr>
          <w:rFonts w:ascii="Times New Roman" w:hAnsi="Times New Roman" w:eastAsia="楷体_GB2312"/>
          <w:kern w:val="0"/>
          <w:sz w:val="36"/>
          <w:szCs w:val="36"/>
        </w:rPr>
        <w:t>二</w:t>
      </w:r>
      <w:r>
        <w:rPr>
          <w:rFonts w:ascii="Times New Roman" w:hAnsi="Times New Roman" w:eastAsia="仿宋"/>
          <w:kern w:val="0"/>
          <w:sz w:val="36"/>
          <w:szCs w:val="36"/>
        </w:rPr>
        <w:t>〇</w:t>
      </w:r>
      <w:r>
        <w:rPr>
          <w:rFonts w:ascii="Times New Roman" w:hAnsi="Times New Roman" w:eastAsia="楷体_GB2312"/>
          <w:kern w:val="0"/>
          <w:sz w:val="36"/>
          <w:szCs w:val="36"/>
        </w:rPr>
        <w:t>二三年</w:t>
      </w:r>
      <w:r>
        <w:rPr>
          <w:rFonts w:hint="eastAsia" w:ascii="Times New Roman" w:hAnsi="Times New Roman" w:eastAsia="楷体_GB2312"/>
          <w:kern w:val="0"/>
          <w:sz w:val="36"/>
          <w:szCs w:val="36"/>
        </w:rPr>
        <w:t>十</w:t>
      </w:r>
      <w:r>
        <w:rPr>
          <w:rFonts w:ascii="Times New Roman" w:hAnsi="Times New Roman" w:eastAsia="楷体_GB2312"/>
          <w:kern w:val="0"/>
          <w:sz w:val="36"/>
          <w:szCs w:val="36"/>
        </w:rPr>
        <w:t>二月</w:t>
      </w:r>
    </w:p>
    <w:p>
      <w:pPr>
        <w:rPr>
          <w:rFonts w:ascii="Times New Roman" w:hAnsi="Times New Roman" w:eastAsia="楷体_GB2312"/>
          <w:kern w:val="0"/>
          <w:sz w:val="36"/>
          <w:szCs w:val="36"/>
        </w:rPr>
        <w:sectPr>
          <w:headerReference r:id="rId3" w:type="default"/>
          <w:pgSz w:w="11906" w:h="16838"/>
          <w:pgMar w:top="1440" w:right="1803" w:bottom="1440" w:left="1803" w:header="851" w:footer="992" w:gutter="0"/>
          <w:pgNumType w:fmt="numberInDash" w:start="1"/>
          <w:docGrid w:type="lines" w:linePitch="312" w:charSpace="0"/>
        </w:sectPr>
      </w:pPr>
    </w:p>
    <w:p>
      <w:pPr>
        <w:spacing w:line="360" w:lineRule="auto"/>
        <w:jc w:val="center"/>
        <w:outlineLvl w:val="0"/>
        <w:rPr>
          <w:rFonts w:ascii="方正小标宋_GBK" w:eastAsia="方正小标宋_GBK" w:cs="方正小标宋_GBK"/>
          <w:sz w:val="44"/>
          <w:szCs w:val="44"/>
          <w:lang w:val="zh-CN"/>
        </w:rPr>
      </w:pPr>
      <w:r>
        <w:rPr>
          <w:rFonts w:hint="eastAsia" w:ascii="方正小标宋_GBK" w:eastAsia="方正小标宋_GBK" w:cs="方正小标宋_GBK"/>
          <w:sz w:val="44"/>
          <w:szCs w:val="44"/>
          <w:lang w:val="zh-CN"/>
        </w:rPr>
        <w:t>目</w:t>
      </w:r>
      <w:r>
        <w:rPr>
          <w:rFonts w:hint="eastAsia" w:ascii="方正小标宋_GBK" w:eastAsia="方正小标宋_GBK" w:cs="方正小标宋_GBK"/>
          <w:sz w:val="44"/>
          <w:szCs w:val="44"/>
        </w:rPr>
        <w:t xml:space="preserve"> </w:t>
      </w:r>
      <w:r>
        <w:rPr>
          <w:rFonts w:hint="eastAsia" w:ascii="方正小标宋_GBK" w:eastAsia="方正小标宋_GBK" w:cs="方正小标宋_GBK"/>
          <w:sz w:val="44"/>
          <w:szCs w:val="44"/>
          <w:lang w:val="zh-CN"/>
        </w:rPr>
        <w:t>录</w:t>
      </w:r>
    </w:p>
    <w:p>
      <w:pPr>
        <w:autoSpaceDE w:val="0"/>
        <w:autoSpaceDN w:val="0"/>
        <w:adjustRightInd w:val="0"/>
        <w:spacing w:line="560" w:lineRule="atLeast"/>
        <w:ind w:firstLine="640"/>
        <w:jc w:val="center"/>
        <w:rPr>
          <w:rFonts w:ascii="仿宋_GB2312" w:eastAsia="仿宋_GB2312" w:cs="黑体"/>
          <w:b/>
          <w:spacing w:val="120"/>
          <w:kern w:val="0"/>
          <w:sz w:val="44"/>
          <w:szCs w:val="44"/>
          <w:lang w:val="zh-CN"/>
        </w:rPr>
      </w:pP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第一章   比选须知</w:t>
      </w: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 xml:space="preserve">第二章   评分标准及评分细则  </w:t>
      </w: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第三章   比选申请书编制</w:t>
      </w: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第四章   比选申请文件格式</w:t>
      </w:r>
    </w:p>
    <w:p>
      <w:pPr>
        <w:autoSpaceDE w:val="0"/>
        <w:autoSpaceDN w:val="0"/>
        <w:adjustRightInd w:val="0"/>
        <w:spacing w:line="560" w:lineRule="atLeast"/>
        <w:ind w:firstLine="640"/>
        <w:rPr>
          <w:rFonts w:ascii="Times New Roman" w:hAnsi="Times New Roman" w:eastAsia="仿宋_GB2312" w:cs="Times New Roman"/>
          <w:b/>
          <w:kern w:val="0"/>
          <w:sz w:val="28"/>
          <w:szCs w:val="28"/>
          <w:lang w:val="zh-CN"/>
        </w:rPr>
      </w:pPr>
      <w:r>
        <w:rPr>
          <w:rFonts w:ascii="Times New Roman" w:hAnsi="Times New Roman" w:eastAsia="仿宋_GB2312" w:cs="Times New Roman"/>
          <w:kern w:val="0"/>
          <w:sz w:val="28"/>
          <w:szCs w:val="28"/>
          <w:lang w:val="zh-CN"/>
        </w:rPr>
        <w:t>第五章   评审办法</w:t>
      </w:r>
    </w:p>
    <w:p>
      <w:pPr>
        <w:widowControl/>
        <w:jc w:val="left"/>
        <w:rPr>
          <w:rFonts w:ascii="Times New Roman" w:hAnsi="Times New Roman" w:eastAsia="仿宋_GB2312" w:cs="Times New Roman"/>
          <w:b/>
          <w:kern w:val="0"/>
          <w:sz w:val="28"/>
          <w:szCs w:val="28"/>
          <w:lang w:val="zh-CN"/>
        </w:rPr>
        <w:sectPr>
          <w:pgSz w:w="11906" w:h="16838"/>
          <w:pgMar w:top="1440" w:right="1800" w:bottom="1440" w:left="1800" w:header="851" w:footer="992" w:gutter="0"/>
          <w:docGrid w:type="lines" w:linePitch="312" w:charSpace="0"/>
        </w:sectPr>
      </w:pPr>
    </w:p>
    <w:p>
      <w:pPr>
        <w:spacing w:line="360" w:lineRule="auto"/>
        <w:jc w:val="center"/>
        <w:outlineLvl w:val="0"/>
        <w:rPr>
          <w:rFonts w:ascii="方正小标宋_GBK" w:eastAsia="方正小标宋_GBK" w:cs="方正小标宋_GBK"/>
          <w:sz w:val="44"/>
          <w:szCs w:val="44"/>
          <w:lang w:val="zh-CN"/>
        </w:rPr>
      </w:pPr>
      <w:r>
        <w:rPr>
          <w:rFonts w:hint="eastAsia" w:ascii="方正小标宋_GBK" w:eastAsia="方正小标宋_GBK" w:cs="方正小标宋_GBK"/>
          <w:sz w:val="44"/>
          <w:szCs w:val="44"/>
          <w:lang w:val="zh-CN"/>
        </w:rPr>
        <w:t>第一章  比选须知</w:t>
      </w:r>
    </w:p>
    <w:tbl>
      <w:tblPr>
        <w:tblStyle w:val="13"/>
        <w:tblW w:w="94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2571"/>
        <w:gridCol w:w="6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abs>
                <w:tab w:val="left" w:pos="630"/>
              </w:tabs>
              <w:topLinePunct/>
              <w:spacing w:line="480" w:lineRule="exact"/>
              <w:ind w:left="-1" w:leftChars="-30" w:hanging="62" w:hangingChars="26"/>
              <w:jc w:val="center"/>
              <w:rPr>
                <w:rFonts w:ascii="黑体" w:eastAsia="黑体" w:cs="黑体"/>
                <w:bCs/>
                <w:kern w:val="0"/>
                <w:sz w:val="24"/>
              </w:rPr>
            </w:pPr>
            <w:r>
              <w:rPr>
                <w:rFonts w:hint="eastAsia" w:ascii="黑体" w:eastAsia="黑体" w:cs="黑体"/>
                <w:bCs/>
                <w:kern w:val="0"/>
                <w:sz w:val="24"/>
              </w:rPr>
              <w:t>序号</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黑体" w:eastAsia="黑体" w:cs="黑体"/>
                <w:bCs/>
                <w:sz w:val="24"/>
              </w:rPr>
            </w:pPr>
            <w:r>
              <w:rPr>
                <w:rFonts w:hint="eastAsia" w:ascii="黑体" w:eastAsia="黑体" w:cs="黑体"/>
                <w:bCs/>
                <w:sz w:val="24"/>
              </w:rPr>
              <w:t>条款名称</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黑体" w:eastAsia="黑体" w:cs="黑体"/>
                <w:bCs/>
                <w:sz w:val="24"/>
              </w:rPr>
            </w:pPr>
            <w:r>
              <w:rPr>
                <w:rFonts w:hint="eastAsia" w:ascii="黑体" w:eastAsia="黑体" w:cs="黑体"/>
                <w:bCs/>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1</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比选人</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名称：攀枝花市盐边生态环境局</w:t>
            </w:r>
          </w:p>
          <w:p>
            <w:pPr>
              <w:topLinePunct/>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地址：盐边县桐子林镇东环南路128号攀枝花市盐边生态环境局</w:t>
            </w:r>
          </w:p>
          <w:p>
            <w:pPr>
              <w:topLinePunct/>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联系人：胡林涛</w:t>
            </w:r>
          </w:p>
          <w:p>
            <w:pPr>
              <w:topLinePunct/>
              <w:spacing w:line="480" w:lineRule="exact"/>
              <w:rPr>
                <w:rFonts w:ascii="Times New Roman" w:hAnsi="Times New Roman" w:eastAsia="仿宋_GB2312" w:cs="Times New Roman"/>
                <w:b/>
                <w:sz w:val="24"/>
              </w:rPr>
            </w:pPr>
            <w:r>
              <w:rPr>
                <w:rFonts w:ascii="Times New Roman" w:hAnsi="Times New Roman" w:eastAsia="仿宋_GB2312" w:cs="Times New Roman"/>
                <w:sz w:val="24"/>
                <w:szCs w:val="24"/>
              </w:rPr>
              <w:t>联系电话：0812-3969790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2</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项目名称</w:t>
            </w:r>
          </w:p>
        </w:tc>
        <w:tc>
          <w:tcPr>
            <w:tcW w:w="625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Times New Roman" w:hAnsi="Times New Roman" w:eastAsia="仿宋_GB2312" w:cs="Times New Roman"/>
                <w:b/>
                <w:sz w:val="24"/>
                <w:szCs w:val="24"/>
              </w:rPr>
            </w:pPr>
            <w:r>
              <w:rPr>
                <w:rFonts w:ascii="Times New Roman" w:hAnsi="Times New Roman" w:eastAsia="仿宋_GB2312" w:cs="Times New Roman"/>
                <w:sz w:val="24"/>
                <w:szCs w:val="24"/>
              </w:rPr>
              <w:t>盐边县祥黎工贸有限责任公司地块污染土壤风险管控</w:t>
            </w:r>
            <w:r>
              <w:rPr>
                <w:rFonts w:hint="eastAsia" w:ascii="Times New Roman" w:hAnsi="Times New Roman" w:eastAsia="仿宋_GB2312" w:cs="Times New Roman"/>
                <w:sz w:val="24"/>
                <w:szCs w:val="24"/>
              </w:rPr>
              <w:t>效果评估</w:t>
            </w:r>
            <w:r>
              <w:rPr>
                <w:rFonts w:ascii="Times New Roman" w:hAnsi="Times New Roman" w:eastAsia="仿宋_GB2312" w:cs="Times New Roman"/>
                <w:sz w:val="24"/>
                <w:szCs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3</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项目内容</w:t>
            </w:r>
          </w:p>
        </w:tc>
        <w:tc>
          <w:tcPr>
            <w:tcW w:w="625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参照《暂不开发利用受污染建设用地风险管控指南》（DB11/T 1967—2022）等相关要求对盐边县祥黎工贸有限责任公司地块污染土壤风险管控</w:t>
            </w:r>
            <w:r>
              <w:rPr>
                <w:rFonts w:hint="eastAsia" w:ascii="Times New Roman" w:hAnsi="Times New Roman" w:eastAsia="仿宋_GB2312" w:cs="Times New Roman"/>
                <w:sz w:val="24"/>
                <w:szCs w:val="24"/>
              </w:rPr>
              <w:t>效果评估</w:t>
            </w:r>
            <w:r>
              <w:rPr>
                <w:rFonts w:ascii="Times New Roman" w:hAnsi="Times New Roman"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4</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申请书要求</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正本1份，副本2份。正本和副本可以单独密封，也可以密封在1个包装袋内。未密封的比选申请书不予接收。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5</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比选申请书</w:t>
            </w:r>
            <w:r>
              <w:rPr>
                <w:rFonts w:hint="eastAsia" w:ascii="Times New Roman" w:hAnsi="Times New Roman" w:eastAsia="黑体" w:cs="Times New Roman"/>
                <w:bCs/>
                <w:sz w:val="24"/>
              </w:rPr>
              <w:t>递交</w:t>
            </w:r>
            <w:r>
              <w:rPr>
                <w:rFonts w:ascii="Times New Roman" w:hAnsi="Times New Roman" w:eastAsia="黑体" w:cs="Times New Roman"/>
                <w:bCs/>
                <w:sz w:val="24"/>
              </w:rPr>
              <w:t>地点</w:t>
            </w:r>
            <w:r>
              <w:rPr>
                <w:rFonts w:hint="eastAsia" w:ascii="Times New Roman" w:hAnsi="Times New Roman" w:eastAsia="黑体" w:cs="Times New Roman"/>
                <w:bCs/>
                <w:sz w:val="24"/>
              </w:rPr>
              <w:t>、方式</w:t>
            </w:r>
            <w:r>
              <w:rPr>
                <w:rFonts w:ascii="Times New Roman" w:hAnsi="Times New Roman" w:eastAsia="黑体" w:cs="Times New Roman"/>
                <w:bCs/>
                <w:sz w:val="24"/>
              </w:rPr>
              <w:t>及截止时间</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地点：盐边县桐子林镇东环南路130号攀枝花市盐边生态环境监测站会议室</w:t>
            </w:r>
          </w:p>
          <w:p>
            <w:pPr>
              <w:topLinePunct/>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联系人：胡林涛</w:t>
            </w:r>
          </w:p>
          <w:p>
            <w:pPr>
              <w:topLinePunct/>
              <w:spacing w:line="480" w:lineRule="exact"/>
            </w:pPr>
            <w:r>
              <w:rPr>
                <w:rFonts w:ascii="Times New Roman" w:hAnsi="Times New Roman" w:eastAsia="仿宋_GB2312" w:cs="Times New Roman"/>
                <w:sz w:val="24"/>
                <w:szCs w:val="24"/>
              </w:rPr>
              <w:t>联系电话：0812-3969790</w:t>
            </w:r>
          </w:p>
          <w:p>
            <w:pPr>
              <w:topLinePunct/>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截止时间：2023年12月25日9:00（北京时间）</w:t>
            </w:r>
          </w:p>
          <w:p>
            <w:pPr>
              <w:topLinePunct/>
              <w:spacing w:line="480" w:lineRule="exact"/>
              <w:rPr>
                <w:rFonts w:ascii="Times New Roman" w:hAnsi="Times New Roman" w:eastAsia="仿宋_GB2312" w:cs="Times New Roman"/>
                <w:b/>
                <w:kern w:val="0"/>
                <w:sz w:val="24"/>
              </w:rPr>
            </w:pPr>
            <w:r>
              <w:rPr>
                <w:rFonts w:ascii="Times New Roman" w:hAnsi="Times New Roman" w:eastAsia="仿宋_GB2312" w:cs="Times New Roman"/>
                <w:sz w:val="24"/>
                <w:szCs w:val="24"/>
              </w:rPr>
              <w:t>注：</w:t>
            </w:r>
            <w:r>
              <w:rPr>
                <w:rFonts w:hint="eastAsia" w:ascii="Times New Roman" w:hAnsi="Times New Roman" w:eastAsia="仿宋_GB2312" w:cs="Times New Roman"/>
                <w:sz w:val="24"/>
                <w:szCs w:val="24"/>
              </w:rPr>
              <w:t>比选申请人应在规定的截止时间内将比选文件按规定密封后送达或邮寄至比选地点。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6</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最高限价</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sz w:val="24"/>
                <w:szCs w:val="24"/>
              </w:rPr>
              <w:t>9万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7</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是否接受联合体投标</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 xml:space="preserve">不接受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8</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现场踏勘</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60" w:lineRule="exact"/>
              <w:rPr>
                <w:rFonts w:ascii="Times New Roman" w:hAnsi="Times New Roman" w:eastAsia="仿宋_GB2312" w:cs="Times New Roman"/>
                <w:sz w:val="24"/>
              </w:rPr>
            </w:pPr>
            <w:r>
              <w:rPr>
                <w:rFonts w:ascii="Times New Roman" w:hAnsi="Times New Roman" w:eastAsia="仿宋_GB2312" w:cs="Times New Roman"/>
                <w:kern w:val="0"/>
                <w:sz w:val="24"/>
              </w:rPr>
              <w:t>比选申请人自行对项目现场进行勘察，以获取有关项目所需要的有关资料，勘察现场所发生的一切费用由投标单位承担。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9</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人员管理</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比选申请人应配备负责人1人，专职技术人员3人，需提供上述人员在职证明。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10</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lang w:val="zh-CN"/>
              </w:rPr>
              <w:t>履约管理</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严禁转包和违法分包。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11</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评审委员会的组建</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hint="eastAsia" w:ascii="Times New Roman" w:hAnsi="Times New Roman" w:eastAsia="仿宋_GB2312" w:cs="Times New Roman"/>
                <w:sz w:val="24"/>
                <w:szCs w:val="24"/>
              </w:rPr>
              <w:t>由</w:t>
            </w:r>
            <w:r>
              <w:rPr>
                <w:rFonts w:ascii="Times New Roman" w:hAnsi="Times New Roman" w:eastAsia="仿宋_GB2312" w:cs="Times New Roman"/>
                <w:sz w:val="24"/>
                <w:szCs w:val="24"/>
              </w:rPr>
              <w:t>攀枝花市盐边生态环境局</w:t>
            </w:r>
            <w:r>
              <w:rPr>
                <w:rFonts w:hint="eastAsia" w:ascii="Times New Roman" w:hAnsi="Times New Roman" w:eastAsia="仿宋_GB2312" w:cs="Times New Roman"/>
                <w:sz w:val="24"/>
                <w:szCs w:val="24"/>
              </w:rPr>
              <w:t>各股室人员组成</w:t>
            </w:r>
            <w:r>
              <w:rPr>
                <w:rFonts w:ascii="Times New Roman" w:hAnsi="Times New Roman" w:eastAsia="仿宋_GB2312"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12</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评标方法</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szCs w:val="24"/>
                <w:lang w:val="zh-CN"/>
              </w:rPr>
              <w:t>综合评分最高者中选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13</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对比选申请人资格的限制情形</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1.比选申请人不得存在弄虚作假行为。</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2.比选申请人有下列情形之一的，不得同时参加比选：（1）法定代表人、负责人或经办人为同一人；（2）母公司与其全资子公司；（3）母公司与其控股公司（直接或间接持股不低于30%）；（4）被同一法人直接或间接持股不低于30%的两个及两个以上法人；（5）具有投资参股关系的关联企业；（6）相互任职（相互任职的职务包括董事长、董事、监事，总经理、副总经理或可能产生利益冲突的职务）或工作的。</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3.与比选人存在利益关系可能影响比选公正性的，不得参加比选。</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4.被责令停业的，不得参加比选。被责令停业的，应以有关行政管理部门或司法机关出具的有关文件为依据。</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5.财产被接管的企业不得参加申请。财产被接管的，应以有关行政管理部门或司法机关出具的有关文件为依据。</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6.比选申请人不得存在围标、串标行为。</w:t>
            </w:r>
          </w:p>
          <w:p>
            <w:pPr>
              <w:topLinePunct/>
              <w:spacing w:line="480" w:lineRule="exact"/>
              <w:rPr>
                <w:rFonts w:ascii="Times New Roman" w:hAnsi="Times New Roman" w:eastAsia="仿宋_GB2312" w:cs="Times New Roman"/>
                <w:b/>
                <w:sz w:val="24"/>
                <w:lang w:val="zh-CN"/>
              </w:rPr>
            </w:pPr>
            <w:r>
              <w:rPr>
                <w:rFonts w:ascii="Times New Roman" w:hAnsi="Times New Roman" w:eastAsia="仿宋_GB2312" w:cs="Times New Roman"/>
                <w:kern w:val="0"/>
                <w:sz w:val="24"/>
              </w:rPr>
              <w:t>7.比选申请人及其法定代表人（或负责人）、项目负责人、专职技术人员无不良诚信记录，不属于失信被执行人、重大税收违法人员，近3年不存在犯罪记录。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14</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低于成本价不正当竞争预防措施</w:t>
            </w:r>
          </w:p>
        </w:tc>
        <w:tc>
          <w:tcPr>
            <w:tcW w:w="6257"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1.在评审过程中，比选申请人报价低于项目预算价50%或者低于其他有效比选申请人报价算术平均价40%，有可能影响服务或者不能诚信履约的，评审委员会应当要求其在评审现场合理的时间内提供成本构成书面说明，并提交相关证明材料。比选申请人书面说明应当按照国家财务会计制度的规定要求，逐项就比选申请人提供的服务的主营业务成本（应根据比选申请人企业类型予以区别）、税金及附加费用、销售费用、管理费用、财务费用等成本构成事项详细陈述。</w:t>
            </w:r>
          </w:p>
          <w:p>
            <w:pPr>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2.比选申请人书面说明应当签字确认或者加盖公章，否则无效。书面说明的签字确认，比选申请人为法人的，由其法定代表人或者代理人签字确认；比选申请人为其他组织的，由其主要负责人或者代理人签字确认。</w:t>
            </w:r>
          </w:p>
          <w:p>
            <w:pPr>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3.比选申请人提供书面说明后，评审委员会应当结合采购项目采购需求、专业实际情况、比选申请人财务状况报告以及与其他比选申请人比较情况等，对比选申请人书面说明进行审查评价。比选申请人拒绝或者变相拒绝提供有效书面说明，或书面说明不能证明其报价合理性的，评审委员会应当将其比选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15</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Cs/>
                <w:sz w:val="24"/>
              </w:rPr>
            </w:pPr>
            <w:r>
              <w:rPr>
                <w:rFonts w:ascii="Times New Roman" w:hAnsi="Times New Roman" w:eastAsia="黑体" w:cs="Times New Roman"/>
                <w:bCs/>
                <w:sz w:val="24"/>
              </w:rPr>
              <w:t>比选文件的解释</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对采购文件的解释，由</w:t>
            </w:r>
            <w:r>
              <w:rPr>
                <w:rFonts w:ascii="Times New Roman" w:hAnsi="Times New Roman" w:eastAsia="仿宋_GB2312" w:cs="Times New Roman"/>
                <w:kern w:val="0"/>
                <w:sz w:val="24"/>
                <w:u w:val="single"/>
              </w:rPr>
              <w:t>攀枝花市盐边生态环境局</w:t>
            </w:r>
            <w:r>
              <w:rPr>
                <w:rFonts w:ascii="Times New Roman" w:hAnsi="Times New Roman" w:eastAsia="仿宋_GB2312" w:cs="Times New Roman"/>
                <w:sz w:val="24"/>
              </w:rPr>
              <w:t>负责。</w:t>
            </w:r>
          </w:p>
        </w:tc>
      </w:tr>
    </w:tbl>
    <w:p>
      <w:pPr>
        <w:rPr>
          <w:rFonts w:ascii="黑体" w:hAnsi="黑体"/>
          <w:b/>
          <w:sz w:val="44"/>
          <w:szCs w:val="44"/>
          <w:lang w:val="zh-CN"/>
        </w:rPr>
      </w:pPr>
      <w:r>
        <w:rPr>
          <w:rFonts w:hint="eastAsia" w:ascii="黑体" w:hAnsi="黑体"/>
          <w:b/>
          <w:sz w:val="44"/>
          <w:szCs w:val="44"/>
          <w:lang w:val="zh-CN"/>
        </w:rPr>
        <w:br w:type="page"/>
      </w:r>
    </w:p>
    <w:p>
      <w:pPr>
        <w:spacing w:line="360" w:lineRule="auto"/>
        <w:jc w:val="center"/>
        <w:outlineLvl w:val="0"/>
        <w:rPr>
          <w:rFonts w:ascii="方正小标宋_GBK" w:eastAsia="方正小标宋_GBK" w:cs="方正小标宋_GBK"/>
          <w:sz w:val="44"/>
          <w:szCs w:val="44"/>
          <w:lang w:val="zh-CN"/>
        </w:rPr>
      </w:pPr>
      <w:r>
        <w:rPr>
          <w:rFonts w:hint="eastAsia" w:ascii="方正小标宋_GBK" w:eastAsia="方正小标宋_GBK" w:cs="方正小标宋_GBK"/>
          <w:sz w:val="44"/>
          <w:szCs w:val="44"/>
          <w:lang w:val="zh-CN"/>
        </w:rPr>
        <w:t>第二章 评分标准及评分细则</w:t>
      </w:r>
    </w:p>
    <w:tbl>
      <w:tblPr>
        <w:tblStyle w:val="13"/>
        <w:tblW w:w="116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2"/>
        <w:gridCol w:w="1276"/>
        <w:gridCol w:w="7513"/>
        <w:gridCol w:w="85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0761" w:type="dxa"/>
            <w:gridSpan w:val="4"/>
            <w:tcBorders>
              <w:top w:val="single" w:color="auto" w:sz="4" w:space="0"/>
              <w:left w:val="single" w:color="auto" w:sz="4" w:space="0"/>
              <w:bottom w:val="single" w:color="auto" w:sz="4" w:space="0"/>
              <w:right w:val="single" w:color="auto" w:sz="4" w:space="0"/>
              <w:tl2br w:val="single" w:color="auto" w:sz="4" w:space="0"/>
            </w:tcBorders>
            <w:shd w:val="clear" w:color="000000" w:fill="FFFFFF"/>
            <w:vAlign w:val="center"/>
          </w:tcPr>
          <w:p>
            <w:r>
              <w:rPr>
                <w:rFonts w:hint="eastAsia"/>
              </w:rPr>
              <w:t xml:space="preserve">                                                                                              供应商名称</w:t>
            </w:r>
          </w:p>
          <w:p>
            <w:r>
              <w:rPr>
                <w:rFonts w:hint="eastAsia"/>
              </w:rPr>
              <w:t>评分项及评分标准</w:t>
            </w:r>
          </w:p>
        </w:tc>
        <w:tc>
          <w:tcPr>
            <w:tcW w:w="851" w:type="dxa"/>
            <w:tcBorders>
              <w:top w:val="single" w:color="auto" w:sz="4" w:space="0"/>
              <w:left w:val="nil"/>
              <w:bottom w:val="single" w:color="auto" w:sz="4" w:space="0"/>
              <w:right w:val="single" w:color="auto" w:sz="4" w:space="0"/>
            </w:tcBorders>
            <w:shd w:val="clear" w:color="000000" w:fill="FFFFFF"/>
            <w:vAlign w:val="center"/>
          </w:tcPr>
          <w:p>
            <w:r>
              <w:rPr>
                <w:rFonts w:hint="eastAsia"/>
              </w:rPr>
              <w:t>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122" w:type="dxa"/>
            <w:tcBorders>
              <w:top w:val="nil"/>
              <w:left w:val="single" w:color="auto" w:sz="4" w:space="0"/>
              <w:bottom w:val="single" w:color="auto" w:sz="4" w:space="0"/>
              <w:right w:val="single" w:color="auto" w:sz="4" w:space="0"/>
            </w:tcBorders>
            <w:shd w:val="clear" w:color="000000" w:fill="FFFFFF"/>
            <w:vAlign w:val="center"/>
          </w:tcPr>
          <w:p>
            <w:r>
              <w:rPr>
                <w:rFonts w:hint="eastAsia"/>
              </w:rPr>
              <w:t xml:space="preserve">价格分 </w:t>
            </w:r>
            <w:r>
              <w:rPr>
                <w:rFonts w:hint="eastAsia"/>
              </w:rPr>
              <w:br w:type="textWrapping"/>
            </w:r>
            <w:r>
              <w:rPr>
                <w:rFonts w:hint="eastAsia"/>
              </w:rPr>
              <w:t>（10分）</w:t>
            </w:r>
          </w:p>
        </w:tc>
        <w:tc>
          <w:tcPr>
            <w:tcW w:w="8789" w:type="dxa"/>
            <w:gridSpan w:val="2"/>
            <w:tcBorders>
              <w:top w:val="nil"/>
              <w:left w:val="nil"/>
              <w:bottom w:val="single" w:color="auto" w:sz="4" w:space="0"/>
              <w:right w:val="single" w:color="auto" w:sz="4" w:space="0"/>
            </w:tcBorders>
            <w:shd w:val="clear" w:color="000000" w:fill="FFFFFF"/>
            <w:vAlign w:val="center"/>
          </w:tcPr>
          <w:p>
            <w:r>
              <w:rPr>
                <w:rFonts w:hint="eastAsia"/>
              </w:rPr>
              <w:t>投标报价得分＝（评标基准价／有效投标报价）×价格权值(X%)×100</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0-10分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tcBorders>
              <w:top w:val="nil"/>
              <w:left w:val="single" w:color="auto" w:sz="4" w:space="0"/>
              <w:right w:val="single" w:color="auto" w:sz="4" w:space="0"/>
            </w:tcBorders>
            <w:shd w:val="clear" w:color="000000" w:fill="FFFFFF"/>
            <w:vAlign w:val="center"/>
          </w:tcPr>
          <w:p>
            <w:r>
              <w:rPr>
                <w:rFonts w:hint="eastAsia"/>
              </w:rPr>
              <w:t>技术分</w:t>
            </w:r>
          </w:p>
          <w:p>
            <w:r>
              <w:rPr>
                <w:rFonts w:hint="eastAsia"/>
              </w:rPr>
              <w:t>（25分）</w:t>
            </w:r>
          </w:p>
        </w:tc>
        <w:tc>
          <w:tcPr>
            <w:tcW w:w="1276" w:type="dxa"/>
            <w:tcBorders>
              <w:top w:val="single" w:color="auto" w:sz="4" w:space="0"/>
              <w:left w:val="nil"/>
              <w:bottom w:val="single" w:color="auto" w:sz="4" w:space="0"/>
              <w:right w:val="single" w:color="auto" w:sz="4" w:space="0"/>
            </w:tcBorders>
            <w:shd w:val="clear" w:color="000000" w:fill="FFFFFF"/>
            <w:vAlign w:val="center"/>
          </w:tcPr>
          <w:p>
            <w:r>
              <w:rPr>
                <w:rFonts w:hint="eastAsia"/>
              </w:rPr>
              <w:t>技术方案</w:t>
            </w:r>
          </w:p>
          <w:p>
            <w:r>
              <w:rPr>
                <w:rFonts w:hint="eastAsia"/>
              </w:rPr>
              <w:t>（25分）</w:t>
            </w:r>
          </w:p>
        </w:tc>
        <w:tc>
          <w:tcPr>
            <w:tcW w:w="7513" w:type="dxa"/>
            <w:tcBorders>
              <w:top w:val="nil"/>
              <w:left w:val="nil"/>
              <w:bottom w:val="single" w:color="auto" w:sz="4" w:space="0"/>
              <w:right w:val="single" w:color="auto" w:sz="4" w:space="0"/>
            </w:tcBorders>
            <w:shd w:val="clear" w:color="000000" w:fill="FFFFFF"/>
            <w:vAlign w:val="center"/>
          </w:tcPr>
          <w:p>
            <w:r>
              <w:rPr>
                <w:rFonts w:hint="eastAsia"/>
              </w:rPr>
              <w:t>提供详细的服务方案，根据方案是否科学、严密、可行、措施安排是否合理、完善、有效，服务进度计划是否详细合理等方面进行综合量化评审，方案优秀得25分，方案一般得15分，方案差得5分；缺项0分；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0-25分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jc w:val="center"/>
        </w:trPr>
        <w:tc>
          <w:tcPr>
            <w:tcW w:w="1122" w:type="dxa"/>
            <w:vMerge w:val="restart"/>
            <w:tcBorders>
              <w:top w:val="single" w:color="auto" w:sz="4" w:space="0"/>
              <w:left w:val="single" w:color="auto" w:sz="4" w:space="0"/>
              <w:right w:val="single" w:color="auto" w:sz="4" w:space="0"/>
            </w:tcBorders>
            <w:shd w:val="clear" w:color="000000" w:fill="FFFFFF"/>
            <w:vAlign w:val="center"/>
          </w:tcPr>
          <w:p>
            <w:r>
              <w:rPr>
                <w:rFonts w:hint="eastAsia"/>
              </w:rPr>
              <w:t>商务分</w:t>
            </w:r>
          </w:p>
          <w:p>
            <w:r>
              <w:rPr>
                <w:rFonts w:hint="eastAsia"/>
              </w:rPr>
              <w:t>（65分）</w:t>
            </w:r>
          </w:p>
        </w:tc>
        <w:tc>
          <w:tcPr>
            <w:tcW w:w="1276" w:type="dxa"/>
            <w:tcBorders>
              <w:top w:val="single" w:color="auto" w:sz="4" w:space="0"/>
              <w:left w:val="nil"/>
              <w:bottom w:val="single" w:color="auto" w:sz="4" w:space="0"/>
              <w:right w:val="single" w:color="auto" w:sz="4" w:space="0"/>
            </w:tcBorders>
            <w:shd w:val="clear" w:color="000000" w:fill="FFFFFF"/>
          </w:tcPr>
          <w:p>
            <w:r>
              <w:rPr>
                <w:rFonts w:hint="eastAsia"/>
              </w:rPr>
              <w:t>企业证书（6分）</w:t>
            </w:r>
          </w:p>
        </w:tc>
        <w:tc>
          <w:tcPr>
            <w:tcW w:w="7513" w:type="dxa"/>
            <w:tcBorders>
              <w:top w:val="single" w:color="auto" w:sz="4" w:space="0"/>
              <w:left w:val="nil"/>
              <w:bottom w:val="single" w:color="auto" w:sz="4" w:space="0"/>
              <w:right w:val="single" w:color="auto" w:sz="4" w:space="0"/>
            </w:tcBorders>
            <w:shd w:val="clear" w:color="000000" w:fill="FFFFFF"/>
          </w:tcPr>
          <w:p>
            <w:r>
              <w:rPr>
                <w:rFonts w:hint="eastAsia"/>
              </w:rPr>
              <w:t>供应商具有有效期内的CMA、CNAS 、CATL资质证书的，每有一个的得2分，本项满分：6分；</w:t>
            </w:r>
          </w:p>
          <w:p>
            <w:r>
              <w:rPr>
                <w:rFonts w:hint="eastAsia"/>
              </w:rPr>
              <w:t>注：提供证件复印件或扫描件装于响应文件文件中作为评分依据，不提供不得分。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0-6分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企业业绩</w:t>
            </w:r>
          </w:p>
          <w:p>
            <w:r>
              <w:rPr>
                <w:rFonts w:hint="eastAsia"/>
              </w:rPr>
              <w:t>（24分）</w:t>
            </w:r>
          </w:p>
        </w:tc>
        <w:tc>
          <w:tcPr>
            <w:tcW w:w="7513"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供应商提供自2021年1月1日以来（以中标通知书上的签订时间或合同签订时间为准）具有土壤污染防治</w:t>
            </w:r>
            <w:r>
              <w:rPr>
                <w:rFonts w:hint="eastAsia"/>
                <w:color w:val="auto"/>
              </w:rPr>
              <w:t>（含检测）</w:t>
            </w:r>
            <w:r>
              <w:rPr>
                <w:rFonts w:hint="eastAsia"/>
              </w:rPr>
              <w:t>等相关业绩的，每提供一个得6分，本项满分：</w:t>
            </w:r>
            <w:r>
              <w:rPr>
                <w:rFonts w:hint="eastAsia"/>
                <w:lang w:val="en-US" w:eastAsia="zh-CN"/>
              </w:rPr>
              <w:t>24</w:t>
            </w:r>
            <w:r>
              <w:rPr>
                <w:rFonts w:hint="eastAsia"/>
              </w:rPr>
              <w:t>分；</w:t>
            </w:r>
          </w:p>
          <w:p>
            <w:r>
              <w:rPr>
                <w:rFonts w:hint="eastAsia"/>
              </w:rPr>
              <w:t>注：提供中标通知书或合同复印件加盖公章，不提供或提供的业绩不符合要求的，不得分。</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0-24分</w:t>
            </w:r>
          </w:p>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single" w:color="auto" w:sz="4" w:space="0"/>
              <w:left w:val="nil"/>
              <w:bottom w:val="single" w:color="auto" w:sz="4" w:space="0"/>
              <w:right w:val="single" w:color="auto" w:sz="4" w:space="0"/>
            </w:tcBorders>
            <w:shd w:val="clear" w:color="000000" w:fill="FFFFFF"/>
            <w:vAlign w:val="center"/>
          </w:tcPr>
          <w:p>
            <w:r>
              <w:rPr>
                <w:rFonts w:hint="eastAsia"/>
              </w:rPr>
              <w:t>项目负责人（9分）</w:t>
            </w:r>
          </w:p>
        </w:tc>
        <w:tc>
          <w:tcPr>
            <w:tcW w:w="7513" w:type="dxa"/>
            <w:tcBorders>
              <w:top w:val="single" w:color="auto" w:sz="4" w:space="0"/>
              <w:left w:val="nil"/>
              <w:bottom w:val="single" w:color="auto" w:sz="4" w:space="0"/>
              <w:right w:val="single" w:color="auto" w:sz="4" w:space="0"/>
            </w:tcBorders>
            <w:shd w:val="clear" w:color="000000" w:fill="FFFFFF"/>
            <w:vAlign w:val="center"/>
          </w:tcPr>
          <w:p>
            <w:pPr>
              <w:widowControl/>
              <w:autoSpaceDE w:val="0"/>
              <w:autoSpaceDN w:val="0"/>
              <w:adjustRightInd w:val="0"/>
            </w:pPr>
            <w:r>
              <w:rPr>
                <w:rFonts w:hint="eastAsia" w:eastAsia="宋体"/>
              </w:rPr>
              <w:t>具有环境类或生物类专业高级职称的得 9 分，具有</w:t>
            </w:r>
            <w:r>
              <w:rPr>
                <w:rFonts w:hint="eastAsia" w:ascii="宋体" w:cs="宋体"/>
                <w:szCs w:val="21"/>
              </w:rPr>
              <w:t>环境类</w:t>
            </w:r>
            <w:r>
              <w:rPr>
                <w:rFonts w:hint="eastAsia" w:eastAsia="宋体"/>
              </w:rPr>
              <w:t>或生物类专业中级职称的得 4 分，其他不得分，本项满分 9 分；</w:t>
            </w:r>
          </w:p>
          <w:p>
            <w:r>
              <w:rPr>
                <w:rFonts w:hint="eastAsia"/>
              </w:rPr>
              <w:t>注：提供在职证明、相关证件复印件或扫描件装于响应文件文件中作为评分依据，不提供不得分。</w:t>
            </w:r>
          </w:p>
        </w:tc>
        <w:tc>
          <w:tcPr>
            <w:tcW w:w="850" w:type="dxa"/>
            <w:tcBorders>
              <w:top w:val="single" w:color="auto" w:sz="4" w:space="0"/>
              <w:left w:val="nil"/>
              <w:bottom w:val="single" w:color="auto" w:sz="4" w:space="0"/>
              <w:right w:val="single" w:color="auto" w:sz="4" w:space="0"/>
            </w:tcBorders>
            <w:shd w:val="clear" w:color="000000" w:fill="FFFFFF"/>
            <w:vAlign w:val="center"/>
          </w:tcPr>
          <w:p>
            <w:r>
              <w:rPr>
                <w:rFonts w:hint="eastAsia"/>
              </w:rPr>
              <w:t>0-9分</w:t>
            </w:r>
          </w:p>
        </w:tc>
        <w:tc>
          <w:tcPr>
            <w:tcW w:w="851" w:type="dxa"/>
            <w:tcBorders>
              <w:top w:val="single" w:color="auto" w:sz="4" w:space="0"/>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nil"/>
              <w:left w:val="nil"/>
              <w:bottom w:val="single" w:color="auto" w:sz="4" w:space="0"/>
              <w:right w:val="single" w:color="auto" w:sz="4" w:space="0"/>
            </w:tcBorders>
            <w:shd w:val="clear" w:color="000000" w:fill="FFFFFF"/>
            <w:vAlign w:val="center"/>
          </w:tcPr>
          <w:p>
            <w:pPr>
              <w:rPr>
                <w:rFonts w:ascii="宋体" w:cs="宋体"/>
                <w:szCs w:val="21"/>
              </w:rPr>
            </w:pPr>
            <w:r>
              <w:rPr>
                <w:rFonts w:hint="eastAsia" w:ascii="宋体" w:cs="宋体"/>
                <w:szCs w:val="21"/>
              </w:rPr>
              <w:t>技术负责人</w:t>
            </w:r>
          </w:p>
          <w:p>
            <w:pPr>
              <w:rPr>
                <w:bCs/>
              </w:rPr>
            </w:pPr>
            <w:r>
              <w:rPr>
                <w:rFonts w:hint="eastAsia"/>
              </w:rPr>
              <w:t>（9分）</w:t>
            </w:r>
          </w:p>
        </w:tc>
        <w:tc>
          <w:tcPr>
            <w:tcW w:w="7513"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pPr>
            <w:r>
              <w:rPr>
                <w:rFonts w:hint="eastAsia" w:eastAsia="宋体"/>
              </w:rPr>
              <w:t>具有环境类或生物类专业高级职称的得 9 分，具有环境类或生物类专业中级职称的得 4 分，其他不得分，本项满分 9 分；</w:t>
            </w:r>
          </w:p>
          <w:p>
            <w:r>
              <w:rPr>
                <w:rFonts w:hint="eastAsia"/>
              </w:rPr>
              <w:t>注：提供在职证明、相关证件复印件或扫描件装于响应文件文件中作为评分依据，不提供不得分。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0-9分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nil"/>
              <w:left w:val="nil"/>
              <w:bottom w:val="single" w:color="auto" w:sz="4" w:space="0"/>
              <w:right w:val="single" w:color="auto" w:sz="4" w:space="0"/>
            </w:tcBorders>
            <w:shd w:val="clear" w:color="000000" w:fill="FFFFFF"/>
            <w:vAlign w:val="center"/>
          </w:tcPr>
          <w:p>
            <w:pPr>
              <w:rPr>
                <w:rFonts w:ascii="宋体" w:cs="宋体"/>
                <w:szCs w:val="21"/>
              </w:rPr>
            </w:pPr>
            <w:r>
              <w:rPr>
                <w:rFonts w:hint="eastAsia" w:ascii="宋体" w:cs="宋体"/>
                <w:szCs w:val="21"/>
              </w:rPr>
              <w:t>质量负责人</w:t>
            </w:r>
          </w:p>
          <w:p>
            <w:r>
              <w:rPr>
                <w:rFonts w:hint="eastAsia"/>
              </w:rPr>
              <w:t>（9分）</w:t>
            </w:r>
          </w:p>
        </w:tc>
        <w:tc>
          <w:tcPr>
            <w:tcW w:w="7513"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pPr>
            <w:r>
              <w:rPr>
                <w:rFonts w:hint="eastAsia" w:eastAsia="宋体"/>
              </w:rPr>
              <w:t>具有环境类或生物类专业高级职称的得 9 分，具有环境类或生物类专业中级职称的得 4 分，其他不得分，本项满分 9 分；</w:t>
            </w:r>
          </w:p>
          <w:p>
            <w:r>
              <w:rPr>
                <w:rFonts w:hint="eastAsia"/>
              </w:rPr>
              <w:t>注：提供在职证明、相关证件复印件或扫描件装于响应文件文件中作为评分依据，不提供不得分。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0-9分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bottom w:val="single" w:color="auto" w:sz="4" w:space="0"/>
              <w:right w:val="single" w:color="auto" w:sz="4" w:space="0"/>
            </w:tcBorders>
            <w:shd w:val="clear" w:color="000000" w:fill="FFFFFF"/>
            <w:vAlign w:val="center"/>
          </w:tcPr>
          <w:p/>
        </w:tc>
        <w:tc>
          <w:tcPr>
            <w:tcW w:w="1276" w:type="dxa"/>
            <w:tcBorders>
              <w:top w:val="nil"/>
              <w:left w:val="nil"/>
              <w:bottom w:val="single" w:color="auto" w:sz="4" w:space="0"/>
              <w:right w:val="single" w:color="auto" w:sz="4" w:space="0"/>
            </w:tcBorders>
            <w:shd w:val="clear" w:color="000000" w:fill="FFFFFF"/>
            <w:vAlign w:val="center"/>
          </w:tcPr>
          <w:p>
            <w:r>
              <w:rPr>
                <w:rFonts w:hint="eastAsia" w:ascii="宋体" w:cs="宋体"/>
                <w:szCs w:val="21"/>
              </w:rPr>
              <w:t>拟投入的项目组其他成员</w:t>
            </w:r>
            <w:r>
              <w:rPr>
                <w:rFonts w:hint="eastAsia"/>
              </w:rPr>
              <w:t>（8分）</w:t>
            </w:r>
          </w:p>
        </w:tc>
        <w:tc>
          <w:tcPr>
            <w:tcW w:w="7513" w:type="dxa"/>
            <w:tcBorders>
              <w:top w:val="nil"/>
              <w:left w:val="nil"/>
              <w:bottom w:val="single" w:color="auto" w:sz="4" w:space="0"/>
              <w:right w:val="single" w:color="auto" w:sz="4" w:space="0"/>
            </w:tcBorders>
            <w:shd w:val="clear" w:color="000000" w:fill="FFFFFF"/>
            <w:vAlign w:val="center"/>
          </w:tcPr>
          <w:p>
            <w:pPr>
              <w:widowControl/>
              <w:rPr>
                <w:rFonts w:ascii="宋体" w:cs="宋体"/>
                <w:szCs w:val="21"/>
              </w:rPr>
            </w:pPr>
            <w:r>
              <w:rPr>
                <w:rFonts w:hint="eastAsia" w:ascii="宋体" w:cs="宋体"/>
                <w:szCs w:val="21"/>
              </w:rPr>
              <w:t>每提供一个具有环境类或化工类专业中级</w:t>
            </w:r>
            <w:r>
              <w:rPr>
                <w:rFonts w:ascii="宋体" w:cs="宋体"/>
                <w:szCs w:val="21"/>
              </w:rPr>
              <w:t>及以上</w:t>
            </w:r>
            <w:r>
              <w:rPr>
                <w:rFonts w:hint="eastAsia" w:ascii="宋体" w:cs="宋体"/>
                <w:szCs w:val="21"/>
              </w:rPr>
              <w:t>技术职称的得4分，本项满分</w:t>
            </w:r>
            <w:r>
              <w:rPr>
                <w:rFonts w:ascii="宋体" w:cs="宋体"/>
                <w:szCs w:val="21"/>
              </w:rPr>
              <w:t>8</w:t>
            </w:r>
            <w:r>
              <w:rPr>
                <w:rFonts w:hint="eastAsia" w:ascii="宋体" w:cs="宋体"/>
                <w:szCs w:val="21"/>
              </w:rPr>
              <w:t>分；</w:t>
            </w:r>
          </w:p>
          <w:p>
            <w:r>
              <w:rPr>
                <w:rFonts w:hint="eastAsia" w:ascii="宋体" w:cs="宋体"/>
                <w:szCs w:val="21"/>
              </w:rPr>
              <w:t>注：提供</w:t>
            </w:r>
            <w:r>
              <w:rPr>
                <w:rFonts w:hint="eastAsia"/>
              </w:rPr>
              <w:t>在职证明</w:t>
            </w:r>
            <w:r>
              <w:rPr>
                <w:rFonts w:hint="eastAsia" w:ascii="宋体" w:cs="宋体"/>
                <w:szCs w:val="21"/>
              </w:rPr>
              <w:t>、相关证件复印件或扫描件装于响应文件文件中作为评分依据，不提供不得分。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0-8分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jc w:val="center"/>
        </w:trPr>
        <w:tc>
          <w:tcPr>
            <w:tcW w:w="991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100分</w:t>
            </w:r>
          </w:p>
        </w:tc>
        <w:tc>
          <w:tcPr>
            <w:tcW w:w="851" w:type="dxa"/>
            <w:tcBorders>
              <w:top w:val="nil"/>
              <w:left w:val="nil"/>
              <w:bottom w:val="single" w:color="auto" w:sz="4" w:space="0"/>
              <w:right w:val="single" w:color="auto" w:sz="4" w:space="0"/>
            </w:tcBorders>
            <w:shd w:val="clear" w:color="000000" w:fill="FFFFFF"/>
            <w:vAlign w:val="center"/>
          </w:tcPr>
          <w:p/>
        </w:tc>
      </w:tr>
    </w:tbl>
    <w:p>
      <w:pPr>
        <w:autoSpaceDE w:val="0"/>
        <w:autoSpaceDN w:val="0"/>
        <w:adjustRightInd w:val="0"/>
        <w:spacing w:line="560" w:lineRule="atLeast"/>
        <w:ind w:firstLine="640"/>
        <w:jc w:val="center"/>
        <w:rPr>
          <w:rFonts w:ascii="黑体" w:eastAsia="黑体" w:cs="Times New Roman"/>
          <w:b/>
          <w:sz w:val="44"/>
          <w:szCs w:val="44"/>
          <w:lang w:val="zh-CN"/>
        </w:rPr>
      </w:pPr>
    </w:p>
    <w:p>
      <w:pPr>
        <w:autoSpaceDE w:val="0"/>
        <w:autoSpaceDN w:val="0"/>
        <w:adjustRightInd w:val="0"/>
        <w:spacing w:line="560" w:lineRule="atLeast"/>
        <w:ind w:firstLine="640"/>
        <w:jc w:val="center"/>
        <w:rPr>
          <w:rFonts w:ascii="黑体" w:eastAsia="黑体" w:cs="Times New Roman"/>
          <w:b/>
          <w:sz w:val="44"/>
          <w:szCs w:val="44"/>
          <w:lang w:val="zh-CN"/>
        </w:rPr>
      </w:pPr>
    </w:p>
    <w:p>
      <w:pPr>
        <w:rPr>
          <w:rFonts w:ascii="黑体" w:eastAsia="黑体" w:cs="Times New Roman"/>
          <w:b/>
          <w:sz w:val="44"/>
          <w:szCs w:val="44"/>
          <w:lang w:val="zh-CN"/>
        </w:rPr>
      </w:pPr>
      <w:r>
        <w:rPr>
          <w:rFonts w:hint="eastAsia" w:ascii="黑体" w:eastAsia="黑体" w:cs="Times New Roman"/>
          <w:b/>
          <w:sz w:val="44"/>
          <w:szCs w:val="44"/>
          <w:lang w:val="zh-CN"/>
        </w:rPr>
        <w:br w:type="page"/>
      </w:r>
    </w:p>
    <w:p>
      <w:pPr>
        <w:spacing w:line="360" w:lineRule="auto"/>
        <w:jc w:val="center"/>
        <w:outlineLvl w:val="0"/>
        <w:rPr>
          <w:rFonts w:ascii="方正小标宋_GBK" w:eastAsia="方正小标宋_GBK" w:cs="方正小标宋_GBK"/>
          <w:sz w:val="44"/>
          <w:szCs w:val="44"/>
          <w:lang w:val="zh-CN"/>
        </w:rPr>
      </w:pPr>
      <w:r>
        <w:rPr>
          <w:rFonts w:hint="eastAsia" w:ascii="方正小标宋_GBK" w:eastAsia="方正小标宋_GBK" w:cs="方正小标宋_GBK"/>
          <w:sz w:val="44"/>
          <w:szCs w:val="44"/>
          <w:lang w:val="zh-CN"/>
        </w:rPr>
        <w:t>第三章  比选申请书编制要求</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1．比选申请书的语言：比选申请人的比选申请书应使用中文（汉语）。</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2．比选申请人所提交的比选申请书应至少包括第四章的各项内容，并且还须提供相应的证明文件，证明文件应至少包括：</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（1）营业执照（提供复印件并加盖单位公章）；</w:t>
      </w:r>
    </w:p>
    <w:p>
      <w:pPr>
        <w:spacing w:line="578" w:lineRule="exact"/>
        <w:ind w:left="2" w:leftChars="1"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（2）无限制参与比选情形的承诺函；</w:t>
      </w:r>
    </w:p>
    <w:p>
      <w:pPr>
        <w:spacing w:line="578" w:lineRule="exact"/>
        <w:ind w:left="2" w:leftChars="1"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（3）法定代表人身份证明原件及身份证复印件；</w:t>
      </w:r>
    </w:p>
    <w:p>
      <w:pPr>
        <w:spacing w:line="578" w:lineRule="exact"/>
        <w:ind w:left="2" w:leftChars="1"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（4）授权委托书原件及委托代理人身份证复印件；</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3．比选申请书统一用A4纸印制，并编制目录和页码。</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4．正本和副本分册装订，不得有松散页。</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5．比选申请书除签字外，全部用不褪色的墨水（粉）打印。</w:t>
      </w:r>
    </w:p>
    <w:p>
      <w:pPr>
        <w:rPr>
          <w:rFonts w:ascii="黑体" w:eastAsia="黑体" w:cs="Times New Roman"/>
          <w:b/>
          <w:sz w:val="44"/>
          <w:szCs w:val="44"/>
          <w:lang w:val="zh-CN"/>
        </w:rPr>
      </w:pPr>
      <w:r>
        <w:rPr>
          <w:rFonts w:hint="eastAsia" w:ascii="黑体" w:eastAsia="黑体" w:cs="Times New Roman"/>
          <w:b/>
          <w:sz w:val="44"/>
          <w:szCs w:val="44"/>
          <w:lang w:val="zh-CN"/>
        </w:rPr>
        <w:br w:type="page"/>
      </w:r>
    </w:p>
    <w:p>
      <w:pPr>
        <w:spacing w:line="360" w:lineRule="auto"/>
        <w:jc w:val="center"/>
        <w:outlineLvl w:val="0"/>
        <w:rPr>
          <w:rFonts w:ascii="方正小标宋_GBK" w:eastAsia="方正小标宋_GBK" w:cs="方正小标宋_GBK"/>
          <w:sz w:val="44"/>
          <w:szCs w:val="44"/>
          <w:lang w:val="zh-CN"/>
        </w:rPr>
      </w:pPr>
      <w:r>
        <w:rPr>
          <w:rFonts w:hint="eastAsia" w:ascii="方正小标宋_GBK" w:eastAsia="方正小标宋_GBK" w:cs="方正小标宋_GBK"/>
          <w:sz w:val="44"/>
          <w:szCs w:val="44"/>
          <w:lang w:val="zh-CN"/>
        </w:rPr>
        <w:t>第四章  比选申请文件格式</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1．比选申请人在制作比选申请书时必须使用本章所附格式。本章未规定格式的，由比选申请人根据实际情况自行编制。</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2．比选申请人应在比选申请书封面和法定代表人授权书中的“比选申请人”一栏填上比选申请人的全称。</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3．本章所附格式只是范例，如填写不下，可另附页。</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4．比选申请人应按照比选申请书格式的要求，提交比选申请书。比选申请书应包含以下内容：</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（1）比选申请人营业执照复印件；</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（2）针对本项目的人员配置；</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（3）项目实施方案；</w:t>
      </w:r>
    </w:p>
    <w:p>
      <w:pPr>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（4）比选文件要求的其他内容。</w:t>
      </w:r>
    </w:p>
    <w:p>
      <w:pPr>
        <w:spacing w:line="578" w:lineRule="exact"/>
        <w:rPr>
          <w:rFonts w:ascii="Times New Roman" w:hAnsi="Times New Roman" w:eastAsia="仿宋_GB2312" w:cs="Times New Roman"/>
          <w:b/>
          <w:sz w:val="32"/>
          <w:szCs w:val="32"/>
          <w:lang w:val="zh-CN"/>
        </w:rPr>
        <w:sectPr>
          <w:pgSz w:w="11906" w:h="16838"/>
          <w:pgMar w:top="1440" w:right="1800" w:bottom="1440" w:left="1800" w:header="851" w:footer="992" w:gutter="0"/>
          <w:docGrid w:type="lines" w:linePitch="312" w:charSpace="0"/>
        </w:sectPr>
      </w:pPr>
      <w:r>
        <w:rPr>
          <w:rFonts w:ascii="Times New Roman" w:hAnsi="Times New Roman" w:eastAsia="仿宋_GB2312" w:cs="Times New Roman"/>
          <w:kern w:val="0"/>
          <w:sz w:val="32"/>
          <w:szCs w:val="32"/>
        </w:rPr>
        <w:t>　　5．比选申请人编制的申请书应简洁明了，不提供与本项目无关的其他多余资料。</w:t>
      </w:r>
    </w:p>
    <w:p>
      <w:pPr>
        <w:rPr>
          <w:rFonts w:ascii="Times New Roman" w:hAnsi="Times New Roman" w:eastAsia="仿宋_GB2312"/>
          <w:b/>
          <w:kern w:val="0"/>
          <w:sz w:val="30"/>
          <w:szCs w:val="30"/>
        </w:rPr>
      </w:pPr>
      <w:r>
        <w:rPr>
          <w:rFonts w:hint="eastAsia" w:ascii="黑体" w:eastAsia="黑体"/>
          <w:kern w:val="0"/>
          <w:sz w:val="32"/>
          <w:szCs w:val="32"/>
        </w:rPr>
        <w:t>格式</w:t>
      </w:r>
    </w:p>
    <w:p>
      <w:pPr>
        <w:spacing w:line="360" w:lineRule="auto"/>
        <w:jc w:val="center"/>
        <w:rPr>
          <w:rFonts w:ascii="Times New Roman" w:hAnsi="Times New Roman" w:eastAsia="仿宋_GB2312"/>
          <w:kern w:val="0"/>
          <w:sz w:val="32"/>
          <w:szCs w:val="32"/>
        </w:rPr>
      </w:pPr>
      <w:r>
        <w:rPr>
          <w:rFonts w:ascii="Times New Roman" w:hAnsi="Times New Roman" w:eastAsia="仿宋_GB2312"/>
          <w:b/>
          <w:kern w:val="0"/>
          <w:sz w:val="44"/>
          <w:szCs w:val="44"/>
        </w:rPr>
        <w:t xml:space="preserve">                           </w:t>
      </w:r>
      <w:r>
        <w:rPr>
          <w:rFonts w:hint="eastAsia" w:ascii="黑体" w:eastAsia="黑体"/>
          <w:kern w:val="0"/>
          <w:sz w:val="44"/>
          <w:szCs w:val="44"/>
        </w:rPr>
        <w:t xml:space="preserve"> </w:t>
      </w:r>
      <w:r>
        <w:rPr>
          <w:rFonts w:hint="eastAsia" w:ascii="黑体" w:eastAsia="黑体"/>
          <w:kern w:val="0"/>
          <w:sz w:val="32"/>
          <w:szCs w:val="32"/>
        </w:rPr>
        <w:t>正本/副本</w:t>
      </w:r>
    </w:p>
    <w:p>
      <w:pPr>
        <w:spacing w:line="560" w:lineRule="exact"/>
        <w:jc w:val="center"/>
        <w:rPr>
          <w:rFonts w:ascii="方正小标宋_GBK" w:eastAsia="方正小标宋_GBK" w:cs="方正小标宋_GBK"/>
          <w:bCs/>
          <w:sz w:val="44"/>
          <w:szCs w:val="44"/>
        </w:rPr>
      </w:pPr>
      <w:r>
        <w:rPr>
          <w:rFonts w:hint="eastAsia" w:ascii="方正小标宋_GBK" w:eastAsia="方正小标宋_GBK" w:cs="方正小标宋_GBK"/>
          <w:bCs/>
          <w:sz w:val="44"/>
          <w:szCs w:val="44"/>
        </w:rPr>
        <w:t>攀枝花市盐边生态环境局</w:t>
      </w:r>
    </w:p>
    <w:p>
      <w:pPr>
        <w:spacing w:line="560" w:lineRule="exact"/>
        <w:jc w:val="center"/>
        <w:rPr>
          <w:rFonts w:ascii="方正小标宋_GBK" w:eastAsia="方正小标宋_GBK" w:cs="方正小标宋_GBK"/>
          <w:bCs/>
          <w:sz w:val="44"/>
          <w:szCs w:val="44"/>
        </w:rPr>
      </w:pPr>
      <w:r>
        <w:rPr>
          <w:rFonts w:hint="eastAsia" w:ascii="方正小标宋_GBK" w:eastAsia="方正小标宋_GBK" w:cs="方正小标宋_GBK"/>
          <w:bCs/>
          <w:sz w:val="44"/>
          <w:szCs w:val="44"/>
        </w:rPr>
        <w:t>盐边县祥黎工贸有限责任公司地块污染</w:t>
      </w:r>
    </w:p>
    <w:p>
      <w:pPr>
        <w:spacing w:line="560" w:lineRule="exact"/>
        <w:jc w:val="center"/>
      </w:pPr>
      <w:r>
        <w:rPr>
          <w:rFonts w:hint="eastAsia" w:ascii="方正小标宋_GBK" w:eastAsia="方正小标宋_GBK" w:cs="方正小标宋_GBK"/>
          <w:bCs/>
          <w:sz w:val="44"/>
          <w:szCs w:val="44"/>
        </w:rPr>
        <w:t>土壤风险管控效果评估项目</w:t>
      </w:r>
    </w:p>
    <w:p>
      <w:pPr>
        <w:spacing w:line="360" w:lineRule="auto"/>
        <w:jc w:val="center"/>
        <w:rPr>
          <w:rFonts w:ascii="Times New Roman" w:hAnsi="Times New Roman" w:eastAsia="仿宋_GB2312"/>
          <w:b/>
          <w:bCs/>
          <w:kern w:val="0"/>
          <w:sz w:val="44"/>
          <w:szCs w:val="44"/>
        </w:rPr>
      </w:pPr>
    </w:p>
    <w:p>
      <w:pPr>
        <w:pStyle w:val="7"/>
      </w:pPr>
    </w:p>
    <w:p>
      <w:pPr>
        <w:spacing w:line="1200" w:lineRule="exact"/>
        <w:jc w:val="center"/>
        <w:rPr>
          <w:rFonts w:ascii="方正小标宋_GBK" w:eastAsia="方正小标宋_GBK"/>
          <w:bCs/>
          <w:kern w:val="0"/>
          <w:sz w:val="84"/>
          <w:szCs w:val="84"/>
        </w:rPr>
      </w:pPr>
      <w:r>
        <w:rPr>
          <w:rFonts w:hint="eastAsia" w:ascii="方正小标宋_GBK" w:eastAsia="方正小标宋_GBK"/>
          <w:bCs/>
          <w:kern w:val="0"/>
          <w:sz w:val="84"/>
          <w:szCs w:val="84"/>
        </w:rPr>
        <w:t>比</w:t>
      </w:r>
    </w:p>
    <w:p>
      <w:pPr>
        <w:spacing w:line="1200" w:lineRule="exact"/>
        <w:jc w:val="center"/>
        <w:rPr>
          <w:rFonts w:ascii="方正小标宋_GBK" w:eastAsia="方正小标宋_GBK"/>
          <w:bCs/>
          <w:kern w:val="0"/>
          <w:sz w:val="84"/>
          <w:szCs w:val="84"/>
        </w:rPr>
      </w:pPr>
      <w:r>
        <w:rPr>
          <w:rFonts w:hint="eastAsia" w:ascii="方正小标宋_GBK" w:eastAsia="方正小标宋_GBK"/>
          <w:bCs/>
          <w:kern w:val="0"/>
          <w:sz w:val="84"/>
          <w:szCs w:val="84"/>
        </w:rPr>
        <w:t>选</w:t>
      </w:r>
    </w:p>
    <w:p>
      <w:pPr>
        <w:spacing w:line="1200" w:lineRule="exact"/>
        <w:jc w:val="center"/>
        <w:rPr>
          <w:rFonts w:ascii="方正小标宋_GBK" w:eastAsia="方正小标宋_GBK"/>
          <w:bCs/>
          <w:kern w:val="0"/>
          <w:sz w:val="84"/>
          <w:szCs w:val="84"/>
        </w:rPr>
      </w:pPr>
      <w:r>
        <w:rPr>
          <w:rFonts w:hint="eastAsia" w:ascii="方正小标宋_GBK" w:eastAsia="方正小标宋_GBK"/>
          <w:bCs/>
          <w:kern w:val="0"/>
          <w:sz w:val="84"/>
          <w:szCs w:val="84"/>
        </w:rPr>
        <w:t>申</w:t>
      </w:r>
    </w:p>
    <w:p>
      <w:pPr>
        <w:spacing w:line="1200" w:lineRule="exact"/>
        <w:jc w:val="center"/>
        <w:rPr>
          <w:rFonts w:ascii="方正小标宋_GBK" w:eastAsia="方正小标宋_GBK"/>
          <w:bCs/>
          <w:kern w:val="0"/>
          <w:sz w:val="84"/>
          <w:szCs w:val="84"/>
        </w:rPr>
      </w:pPr>
      <w:r>
        <w:rPr>
          <w:rFonts w:hint="eastAsia" w:ascii="方正小标宋_GBK" w:eastAsia="方正小标宋_GBK"/>
          <w:bCs/>
          <w:kern w:val="0"/>
          <w:sz w:val="84"/>
          <w:szCs w:val="84"/>
        </w:rPr>
        <w:t>请</w:t>
      </w:r>
    </w:p>
    <w:p>
      <w:pPr>
        <w:spacing w:line="1200" w:lineRule="exact"/>
        <w:jc w:val="center"/>
        <w:rPr>
          <w:rFonts w:ascii="方正小标宋_GBK" w:eastAsia="方正小标宋_GBK"/>
          <w:bCs/>
          <w:kern w:val="0"/>
          <w:sz w:val="84"/>
          <w:szCs w:val="84"/>
        </w:rPr>
      </w:pPr>
      <w:r>
        <w:rPr>
          <w:rFonts w:hint="eastAsia" w:ascii="方正小标宋_GBK" w:eastAsia="方正小标宋_GBK"/>
          <w:bCs/>
          <w:kern w:val="0"/>
          <w:sz w:val="84"/>
          <w:szCs w:val="84"/>
        </w:rPr>
        <w:t>书</w:t>
      </w:r>
    </w:p>
    <w:p>
      <w:pPr>
        <w:spacing w:line="360" w:lineRule="auto"/>
        <w:rPr>
          <w:rFonts w:ascii="Times New Roman" w:hAnsi="Times New Roman" w:eastAsia="仿宋_GB2312"/>
          <w:b/>
          <w:bCs/>
          <w:kern w:val="0"/>
          <w:sz w:val="44"/>
          <w:szCs w:val="44"/>
        </w:rPr>
      </w:pPr>
    </w:p>
    <w:p>
      <w:pPr>
        <w:pStyle w:val="7"/>
      </w:pPr>
    </w:p>
    <w:p>
      <w:pPr>
        <w:spacing w:line="360" w:lineRule="auto"/>
        <w:jc w:val="center"/>
        <w:rPr>
          <w:rFonts w:ascii="Times New Roman" w:hAnsi="Times New Roman" w:eastAsia="仿宋_GB2312"/>
          <w:kern w:val="0"/>
          <w:sz w:val="32"/>
          <w:szCs w:val="32"/>
        </w:rPr>
      </w:pPr>
      <w:r>
        <w:rPr>
          <w:rFonts w:ascii="Times New Roman" w:hAnsi="Times New Roman" w:eastAsia="仿宋_GB2312"/>
          <w:kern w:val="0"/>
          <w:sz w:val="32"/>
          <w:szCs w:val="32"/>
        </w:rPr>
        <w:t>比选申请人：</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（加盖公章）</w:t>
      </w:r>
    </w:p>
    <w:p>
      <w:pPr>
        <w:spacing w:line="360" w:lineRule="auto"/>
        <w:jc w:val="center"/>
        <w:rPr>
          <w:rFonts w:ascii="Times New Roman" w:hAnsi="Times New Roman" w:eastAsia="仿宋_GB2312"/>
          <w:kern w:val="0"/>
          <w:sz w:val="32"/>
          <w:szCs w:val="32"/>
        </w:rPr>
      </w:pPr>
    </w:p>
    <w:p>
      <w:pPr>
        <w:spacing w:line="360" w:lineRule="auto"/>
        <w:jc w:val="center"/>
        <w:rPr>
          <w:rFonts w:ascii="Times New Roman" w:hAnsi="Times New Roman" w:eastAsia="仿宋_GB2312"/>
          <w:kern w:val="0"/>
          <w:sz w:val="32"/>
          <w:szCs w:val="32"/>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kern w:val="0"/>
          <w:sz w:val="32"/>
          <w:szCs w:val="32"/>
        </w:rPr>
        <w:t>二</w:t>
      </w:r>
      <w:r>
        <w:rPr>
          <w:rFonts w:ascii="Times New Roman" w:hAnsi="Times New Roman" w:eastAsia="仿宋"/>
          <w:kern w:val="0"/>
          <w:sz w:val="32"/>
          <w:szCs w:val="32"/>
        </w:rPr>
        <w:t>〇</w:t>
      </w:r>
      <w:r>
        <w:rPr>
          <w:rFonts w:ascii="Times New Roman" w:hAnsi="Times New Roman" w:eastAsia="仿宋_GB2312"/>
          <w:kern w:val="0"/>
          <w:sz w:val="32"/>
          <w:szCs w:val="32"/>
        </w:rPr>
        <w:t>二三年　　月　　日</w:t>
      </w:r>
    </w:p>
    <w:p>
      <w:pPr>
        <w:rPr>
          <w:rFonts w:ascii="黑体" w:eastAsia="黑体" w:cs="黑体"/>
          <w:kern w:val="0"/>
          <w:sz w:val="32"/>
          <w:szCs w:val="32"/>
        </w:rPr>
      </w:pPr>
      <w:r>
        <w:rPr>
          <w:rFonts w:hint="eastAsia" w:ascii="黑体" w:eastAsia="黑体" w:cs="黑体"/>
          <w:sz w:val="32"/>
          <w:szCs w:val="32"/>
        </w:rPr>
        <w:t>附件一</w:t>
      </w:r>
    </w:p>
    <w:p>
      <w:pPr>
        <w:spacing w:line="480" w:lineRule="auto"/>
        <w:jc w:val="center"/>
        <w:rPr>
          <w:rFonts w:ascii="方正小标宋_GBK" w:eastAsia="方正小标宋_GBK"/>
          <w:kern w:val="0"/>
          <w:sz w:val="44"/>
          <w:szCs w:val="44"/>
        </w:rPr>
      </w:pPr>
      <w:r>
        <w:rPr>
          <w:rFonts w:hint="eastAsia" w:ascii="方正小标宋_GBK" w:eastAsia="方正小标宋_GBK"/>
          <w:kern w:val="0"/>
          <w:sz w:val="44"/>
          <w:szCs w:val="44"/>
        </w:rPr>
        <w:t>比选申请函</w:t>
      </w:r>
    </w:p>
    <w:p>
      <w:pPr>
        <w:pStyle w:val="7"/>
      </w:pPr>
    </w:p>
    <w:p>
      <w:pPr>
        <w:spacing w:line="480" w:lineRule="auto"/>
        <w:rPr>
          <w:rFonts w:ascii="Times New Roman" w:hAnsi="Times New Roman" w:eastAsia="仿宋_GB2312"/>
          <w:kern w:val="0"/>
          <w:sz w:val="32"/>
          <w:szCs w:val="32"/>
        </w:rPr>
      </w:pPr>
      <w:r>
        <w:rPr>
          <w:rFonts w:ascii="Times New Roman" w:hAnsi="Times New Roman" w:eastAsia="仿宋_GB2312"/>
          <w:kern w:val="0"/>
          <w:sz w:val="32"/>
          <w:szCs w:val="32"/>
        </w:rPr>
        <w:t>攀枝花市</w:t>
      </w:r>
      <w:r>
        <w:rPr>
          <w:rFonts w:hint="eastAsia" w:ascii="Times New Roman" w:hAnsi="Times New Roman" w:eastAsia="仿宋_GB2312"/>
          <w:kern w:val="0"/>
          <w:sz w:val="32"/>
          <w:szCs w:val="32"/>
        </w:rPr>
        <w:t>盐边</w:t>
      </w:r>
      <w:r>
        <w:rPr>
          <w:rFonts w:ascii="Times New Roman" w:hAnsi="Times New Roman" w:eastAsia="仿宋_GB2312"/>
          <w:kern w:val="0"/>
          <w:sz w:val="32"/>
          <w:szCs w:val="32"/>
        </w:rPr>
        <w:t>生态环境局：</w:t>
      </w:r>
    </w:p>
    <w:p>
      <w:pPr>
        <w:spacing w:line="48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在全面研究和理解了</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 xml:space="preserve"> （项目名称）比选文件后，我公司申请参加由贵单位组织的比选申请人比选活动。</w:t>
      </w:r>
    </w:p>
    <w:p>
      <w:pPr>
        <w:spacing w:line="48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1．我公司自愿按照比选文件的要求提供比选申请文件，并对提交的所有比选申请文件</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真实性负责，如有虚假或错误，由我公司承担一切责任和后果。</w:t>
      </w:r>
    </w:p>
    <w:p>
      <w:pPr>
        <w:spacing w:line="48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2．我公司完全理解比选人因法律或政策原因取消比选以及拒绝所有的比选申请文件，并对此类任何行为不承担任何责任。</w:t>
      </w:r>
    </w:p>
    <w:p>
      <w:pPr>
        <w:spacing w:line="48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3．我公司完全理解比选人可能因某种正当原因而改变比选结果（即使已签订合同）或重新比选并不承担任何责任。</w:t>
      </w:r>
    </w:p>
    <w:p>
      <w:pPr>
        <w:spacing w:line="480" w:lineRule="auto"/>
        <w:rPr>
          <w:rFonts w:ascii="Times New Roman" w:hAnsi="Times New Roman" w:eastAsia="仿宋_GB2312"/>
          <w:kern w:val="0"/>
          <w:sz w:val="32"/>
          <w:szCs w:val="32"/>
        </w:rPr>
      </w:pPr>
    </w:p>
    <w:p>
      <w:pPr>
        <w:spacing w:line="480" w:lineRule="auto"/>
        <w:rPr>
          <w:rFonts w:ascii="Times New Roman" w:hAnsi="Times New Roman" w:eastAsia="仿宋_GB2312"/>
          <w:kern w:val="0"/>
          <w:sz w:val="32"/>
          <w:szCs w:val="32"/>
        </w:rPr>
      </w:pPr>
      <w:bookmarkStart w:id="0" w:name="_Hlk7556407"/>
      <w:r>
        <w:rPr>
          <w:rFonts w:ascii="Times New Roman" w:hAnsi="Times New Roman" w:eastAsia="仿宋_GB2312"/>
          <w:kern w:val="0"/>
          <w:sz w:val="32"/>
          <w:szCs w:val="32"/>
        </w:rPr>
        <w:t>比选申请人：</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 xml:space="preserve">（加盖公章）   </w:t>
      </w:r>
    </w:p>
    <w:p>
      <w:pPr>
        <w:spacing w:line="480" w:lineRule="auto"/>
        <w:rPr>
          <w:rFonts w:ascii="Times New Roman" w:hAnsi="Times New Roman" w:eastAsia="仿宋_GB2312"/>
          <w:kern w:val="0"/>
          <w:sz w:val="32"/>
          <w:szCs w:val="32"/>
          <w:u w:val="single"/>
        </w:rPr>
      </w:pPr>
      <w:r>
        <w:rPr>
          <w:rFonts w:ascii="Times New Roman" w:hAnsi="Times New Roman" w:eastAsia="仿宋_GB2312"/>
          <w:kern w:val="0"/>
          <w:sz w:val="32"/>
          <w:szCs w:val="32"/>
        </w:rPr>
        <w:t>法定代表人或委托代理人（签字）：</w:t>
      </w:r>
      <w:r>
        <w:rPr>
          <w:rFonts w:ascii="Times New Roman" w:hAnsi="Times New Roman" w:eastAsia="仿宋_GB2312"/>
          <w:kern w:val="0"/>
          <w:sz w:val="32"/>
          <w:szCs w:val="32"/>
          <w:u w:val="single"/>
        </w:rPr>
        <w:t xml:space="preserve">             </w:t>
      </w:r>
    </w:p>
    <w:p>
      <w:pPr>
        <w:spacing w:line="480" w:lineRule="auto"/>
        <w:rPr>
          <w:rFonts w:ascii="Times New Roman" w:hAnsi="Times New Roman" w:eastAsia="仿宋_GB2312"/>
          <w:kern w:val="0"/>
          <w:sz w:val="32"/>
          <w:szCs w:val="32"/>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kern w:val="0"/>
          <w:sz w:val="32"/>
          <w:szCs w:val="32"/>
        </w:rPr>
        <w:t>日 期：</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年</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月</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日</w:t>
      </w:r>
    </w:p>
    <w:bookmarkEnd w:id="0"/>
    <w:p>
      <w:pPr>
        <w:rPr>
          <w:rFonts w:ascii="黑体" w:eastAsia="黑体" w:cs="黑体"/>
          <w:kern w:val="0"/>
          <w:sz w:val="32"/>
          <w:szCs w:val="32"/>
        </w:rPr>
      </w:pPr>
      <w:r>
        <w:rPr>
          <w:rFonts w:hint="eastAsia" w:ascii="黑体" w:eastAsia="黑体" w:cs="黑体"/>
          <w:kern w:val="0"/>
          <w:sz w:val="32"/>
          <w:szCs w:val="32"/>
        </w:rPr>
        <w:t>附件二</w:t>
      </w:r>
    </w:p>
    <w:p>
      <w:pPr>
        <w:spacing w:line="480" w:lineRule="auto"/>
        <w:jc w:val="center"/>
        <w:rPr>
          <w:rFonts w:ascii="方正小标宋_GBK" w:eastAsia="方正小标宋_GBK"/>
          <w:bCs/>
          <w:kern w:val="0"/>
          <w:sz w:val="44"/>
          <w:szCs w:val="44"/>
        </w:rPr>
      </w:pPr>
      <w:r>
        <w:rPr>
          <w:rFonts w:hint="eastAsia" w:ascii="方正小标宋_GBK" w:eastAsia="方正小标宋_GBK"/>
          <w:bCs/>
          <w:kern w:val="0"/>
          <w:sz w:val="44"/>
          <w:szCs w:val="44"/>
        </w:rPr>
        <w:t>授权委托书</w:t>
      </w:r>
    </w:p>
    <w:p>
      <w:pPr>
        <w:spacing w:line="480" w:lineRule="auto"/>
        <w:rPr>
          <w:rFonts w:ascii="Times New Roman" w:hAnsi="Times New Roman" w:eastAsia="仿宋_GB2312"/>
          <w:kern w:val="0"/>
          <w:sz w:val="24"/>
        </w:rPr>
      </w:pPr>
    </w:p>
    <w:p>
      <w:pPr>
        <w:spacing w:line="360" w:lineRule="auto"/>
        <w:ind w:firstLine="665" w:firstLineChars="208"/>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本人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（姓名）系</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（比选申请人名称）的法定代表人，现委托本单位人员</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（姓名）为我方代理人。代理人根据授权，以我方名义参加</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（项目名称）比选有关事宜，其法律后果由我方承担。</w:t>
      </w:r>
    </w:p>
    <w:p>
      <w:pPr>
        <w:spacing w:line="360" w:lineRule="auto"/>
        <w:ind w:firstLine="640" w:firstLineChars="200"/>
        <w:rPr>
          <w:rFonts w:ascii="Times New Roman" w:hAnsi="Times New Roman" w:eastAsia="仿宋_GB2312" w:cs="Times New Roman"/>
          <w:kern w:val="0"/>
          <w:sz w:val="32"/>
          <w:szCs w:val="32"/>
          <w:u w:val="single"/>
        </w:rPr>
      </w:pP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附：（1）法定代表人身份证复印件</w:t>
      </w:r>
    </w:p>
    <w:p>
      <w:pPr>
        <w:spacing w:line="480" w:lineRule="auto"/>
        <w:ind w:firstLine="1280" w:firstLineChars="4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（2）委托代理人身份证复印件</w:t>
      </w:r>
    </w:p>
    <w:p>
      <w:pPr>
        <w:spacing w:line="480" w:lineRule="auto"/>
        <w:rPr>
          <w:rFonts w:ascii="Times New Roman" w:hAnsi="Times New Roman" w:eastAsia="仿宋_GB2312" w:cs="Times New Roman"/>
          <w:kern w:val="0"/>
          <w:sz w:val="32"/>
          <w:szCs w:val="32"/>
        </w:rPr>
      </w:pP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比选申请人：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（加盖公章）   </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法定代表人（签字）：</w:t>
      </w:r>
      <w:r>
        <w:rPr>
          <w:rFonts w:ascii="Times New Roman" w:hAnsi="Times New Roman" w:eastAsia="仿宋_GB2312" w:cs="Times New Roman"/>
          <w:kern w:val="0"/>
          <w:sz w:val="32"/>
          <w:szCs w:val="32"/>
          <w:u w:val="single"/>
        </w:rPr>
        <w:t xml:space="preserve">             </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委托代理人（签字）：</w:t>
      </w:r>
      <w:r>
        <w:rPr>
          <w:rFonts w:ascii="Times New Roman" w:hAnsi="Times New Roman" w:eastAsia="仿宋_GB2312" w:cs="Times New Roman"/>
          <w:kern w:val="0"/>
          <w:sz w:val="32"/>
          <w:szCs w:val="32"/>
          <w:u w:val="single"/>
        </w:rPr>
        <w:t xml:space="preserve">             </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日 期：</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日</w:t>
      </w:r>
    </w:p>
    <w:p>
      <w:pPr>
        <w:spacing w:line="480" w:lineRule="auto"/>
        <w:ind w:firstLine="640" w:firstLineChars="200"/>
        <w:rPr>
          <w:rFonts w:ascii="Times New Roman" w:hAnsi="Times New Roman" w:eastAsia="仿宋_GB2312" w:cs="Times New Roman"/>
          <w:kern w:val="0"/>
          <w:sz w:val="32"/>
          <w:szCs w:val="32"/>
        </w:rPr>
      </w:pPr>
    </w:p>
    <w:p>
      <w:pPr>
        <w:spacing w:line="480" w:lineRule="auto"/>
        <w:ind w:firstLine="640" w:firstLineChars="200"/>
        <w:rPr>
          <w:rFonts w:ascii="Times New Roman" w:hAnsi="Times New Roman" w:eastAsia="仿宋_GB2312" w:cs="Times New Roman"/>
          <w:kern w:val="0"/>
          <w:sz w:val="32"/>
          <w:szCs w:val="32"/>
        </w:rPr>
      </w:pPr>
    </w:p>
    <w:p>
      <w:pPr>
        <w:spacing w:line="480" w:lineRule="auto"/>
        <w:ind w:firstLine="640" w:firstLineChars="200"/>
        <w:rPr>
          <w:rFonts w:ascii="Times New Roman" w:hAnsi="Times New Roman" w:eastAsia="仿宋_GB2312" w:cs="Times New Roman"/>
          <w:kern w:val="0"/>
          <w:sz w:val="32"/>
          <w:szCs w:val="32"/>
        </w:rPr>
      </w:pPr>
    </w:p>
    <w:p>
      <w:pPr>
        <w:spacing w:line="480" w:lineRule="auto"/>
        <w:ind w:firstLine="640" w:firstLineChars="200"/>
        <w:rPr>
          <w:rFonts w:ascii="Times New Roman" w:hAnsi="Times New Roman" w:eastAsia="仿宋_GB2312" w:cs="Times New Roman"/>
          <w:kern w:val="0"/>
          <w:sz w:val="32"/>
          <w:szCs w:val="32"/>
        </w:rPr>
      </w:pPr>
    </w:p>
    <w:p>
      <w:pPr>
        <w:spacing w:line="480" w:lineRule="auto"/>
        <w:ind w:firstLine="640" w:firstLineChars="200"/>
        <w:rPr>
          <w:rFonts w:ascii="Times New Roman" w:hAnsi="Times New Roman" w:eastAsia="仿宋_GB2312" w:cs="Times New Roman"/>
          <w:kern w:val="0"/>
          <w:sz w:val="32"/>
          <w:szCs w:val="32"/>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cs="Times New Roman"/>
          <w:kern w:val="0"/>
          <w:sz w:val="32"/>
          <w:szCs w:val="32"/>
        </w:rPr>
        <w:t>注：提供的证件、证明不齐或不符合要求的，比选申请文件不予接收</w:t>
      </w:r>
    </w:p>
    <w:p>
      <w:pPr>
        <w:rPr>
          <w:rFonts w:ascii="黑体" w:eastAsia="黑体"/>
          <w:kern w:val="0"/>
          <w:sz w:val="32"/>
          <w:szCs w:val="32"/>
        </w:rPr>
      </w:pPr>
      <w:r>
        <w:rPr>
          <w:rFonts w:hint="eastAsia" w:ascii="黑体" w:eastAsia="黑体"/>
          <w:kern w:val="0"/>
          <w:sz w:val="32"/>
          <w:szCs w:val="32"/>
        </w:rPr>
        <w:t>附件三</w:t>
      </w:r>
    </w:p>
    <w:p>
      <w:pPr>
        <w:spacing w:line="360" w:lineRule="auto"/>
        <w:rPr>
          <w:rFonts w:ascii="Times New Roman" w:hAnsi="Times New Roman" w:eastAsia="仿宋_GB2312"/>
          <w:b/>
          <w:kern w:val="0"/>
          <w:sz w:val="32"/>
          <w:szCs w:val="32"/>
        </w:rPr>
      </w:pPr>
    </w:p>
    <w:p>
      <w:pPr>
        <w:keepNext/>
        <w:keepLines/>
        <w:widowControl w:val="0"/>
        <w:jc w:val="center"/>
        <w:rPr>
          <w:rFonts w:ascii="方正小标宋_GBK" w:eastAsia="方正小标宋_GBK"/>
          <w:bCs/>
          <w:kern w:val="0"/>
          <w:sz w:val="44"/>
          <w:szCs w:val="44"/>
        </w:rPr>
      </w:pPr>
      <w:bookmarkStart w:id="1" w:name="_Toc355003675"/>
      <w:r>
        <w:rPr>
          <w:rFonts w:hint="eastAsia" w:ascii="方正小标宋_GBK" w:eastAsia="方正小标宋_GBK"/>
          <w:bCs/>
          <w:kern w:val="0"/>
          <w:sz w:val="44"/>
          <w:szCs w:val="44"/>
        </w:rPr>
        <w:t>法定代表人身份证明</w:t>
      </w:r>
      <w:bookmarkEnd w:id="1"/>
    </w:p>
    <w:p>
      <w:pPr>
        <w:spacing w:line="360" w:lineRule="auto"/>
        <w:ind w:firstLine="480" w:firstLineChars="200"/>
        <w:rPr>
          <w:rFonts w:ascii="Times New Roman" w:hAnsi="Times New Roman" w:eastAsia="仿宋_GB2312"/>
          <w:kern w:val="0"/>
          <w:sz w:val="24"/>
        </w:rPr>
      </w:pPr>
    </w:p>
    <w:p>
      <w:pPr>
        <w:spacing w:line="480" w:lineRule="auto"/>
        <w:ind w:firstLine="640" w:firstLineChars="200"/>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比选申请人名称：</w:t>
      </w:r>
      <w:r>
        <w:rPr>
          <w:rFonts w:ascii="Times New Roman" w:hAnsi="Times New Roman" w:eastAsia="仿宋_GB2312" w:cs="Times New Roman"/>
          <w:kern w:val="0"/>
          <w:sz w:val="32"/>
          <w:szCs w:val="32"/>
          <w:u w:val="single"/>
        </w:rPr>
        <w:t xml:space="preserve">                           </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单位性质：</w:t>
      </w:r>
      <w:r>
        <w:rPr>
          <w:rFonts w:ascii="Times New Roman" w:hAnsi="Times New Roman" w:eastAsia="仿宋_GB2312" w:cs="Times New Roman"/>
          <w:kern w:val="0"/>
          <w:sz w:val="32"/>
          <w:szCs w:val="32"/>
          <w:u w:val="single"/>
        </w:rPr>
        <w:t xml:space="preserve">                           </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地   址：</w:t>
      </w:r>
      <w:r>
        <w:rPr>
          <w:rFonts w:ascii="Times New Roman" w:hAnsi="Times New Roman" w:eastAsia="仿宋_GB2312" w:cs="Times New Roman"/>
          <w:kern w:val="0"/>
          <w:sz w:val="32"/>
          <w:szCs w:val="32"/>
          <w:u w:val="single"/>
        </w:rPr>
        <w:t xml:space="preserve">                           </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成立时间：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日</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经营期限：</w:t>
      </w:r>
    </w:p>
    <w:p>
      <w:pPr>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姓名：_______系_______（投标人名称）的法定代表人（职务：_______电话：_______）。</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特此证明。</w:t>
      </w:r>
    </w:p>
    <w:p>
      <w:pPr>
        <w:spacing w:line="360" w:lineRule="auto"/>
        <w:ind w:firstLine="640" w:firstLineChars="200"/>
        <w:rPr>
          <w:rFonts w:ascii="Times New Roman" w:hAnsi="Times New Roman" w:eastAsia="仿宋_GB2312" w:cs="Times New Roman"/>
          <w:kern w:val="0"/>
          <w:sz w:val="32"/>
          <w:szCs w:val="32"/>
        </w:rPr>
      </w:pPr>
    </w:p>
    <w:p>
      <w:pPr>
        <w:spacing w:line="360" w:lineRule="auto"/>
        <w:ind w:firstLine="640" w:firstLineChars="200"/>
        <w:rPr>
          <w:rFonts w:ascii="Times New Roman" w:hAnsi="Times New Roman" w:eastAsia="仿宋_GB2312" w:cs="Times New Roman"/>
          <w:kern w:val="0"/>
          <w:sz w:val="32"/>
          <w:szCs w:val="32"/>
        </w:rPr>
      </w:pPr>
    </w:p>
    <w:p>
      <w:pPr>
        <w:spacing w:line="360" w:lineRule="auto"/>
        <w:ind w:firstLine="640" w:firstLineChars="200"/>
        <w:rPr>
          <w:rFonts w:ascii="Times New Roman" w:hAnsi="Times New Roman" w:eastAsia="仿宋_GB2312" w:cs="Times New Roman"/>
          <w:kern w:val="0"/>
          <w:sz w:val="32"/>
          <w:szCs w:val="32"/>
        </w:rPr>
      </w:pPr>
    </w:p>
    <w:p>
      <w:pPr>
        <w:spacing w:line="360" w:lineRule="auto"/>
        <w:ind w:firstLine="640" w:firstLineChars="200"/>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比选申请人：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（加盖公章）</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日 期：</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日</w:t>
      </w:r>
    </w:p>
    <w:p>
      <w:pPr>
        <w:spacing w:line="360" w:lineRule="auto"/>
        <w:ind w:firstLine="320" w:firstLineChars="100"/>
        <w:rPr>
          <w:rFonts w:ascii="Times New Roman" w:hAnsi="Times New Roman" w:eastAsia="仿宋_GB2312" w:cs="Times New Roman"/>
          <w:kern w:val="0"/>
          <w:sz w:val="32"/>
          <w:szCs w:val="32"/>
        </w:rPr>
      </w:pPr>
    </w:p>
    <w:p>
      <w:pPr>
        <w:spacing w:line="360" w:lineRule="auto"/>
        <w:ind w:firstLine="320" w:firstLineChars="100"/>
        <w:rPr>
          <w:rFonts w:ascii="Times New Roman" w:hAnsi="Times New Roman" w:eastAsia="仿宋_GB2312" w:cs="Times New Roman"/>
          <w:kern w:val="0"/>
          <w:sz w:val="32"/>
          <w:szCs w:val="32"/>
        </w:rPr>
      </w:pPr>
    </w:p>
    <w:p>
      <w:pPr>
        <w:spacing w:line="360" w:lineRule="auto"/>
        <w:rPr>
          <w:rFonts w:ascii="Times New Roman" w:hAnsi="Times New Roman" w:eastAsia="仿宋_GB2312" w:cs="Times New Roman"/>
          <w:kern w:val="0"/>
          <w:sz w:val="32"/>
          <w:szCs w:val="32"/>
        </w:rPr>
      </w:pP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注：提供的证件、证明不齐或不符合要求的，比选申请文件不予接收。</w:t>
      </w:r>
    </w:p>
    <w:p>
      <w:pPr>
        <w:rPr>
          <w:rFonts w:ascii="仿宋_GB2312" w:eastAsia="仿宋_GB2312" w:cs="黑体"/>
          <w:b/>
          <w:bCs/>
          <w:kern w:val="0"/>
          <w:sz w:val="32"/>
          <w:szCs w:val="32"/>
        </w:rPr>
      </w:pPr>
      <w:r>
        <w:rPr>
          <w:rFonts w:hint="eastAsia" w:ascii="仿宋_GB2312" w:eastAsia="仿宋_GB2312" w:cs="黑体"/>
          <w:b/>
          <w:bCs/>
          <w:kern w:val="0"/>
          <w:sz w:val="32"/>
          <w:szCs w:val="32"/>
        </w:rPr>
        <w:br w:type="page"/>
      </w:r>
    </w:p>
    <w:p>
      <w:pPr>
        <w:rPr>
          <w:rFonts w:ascii="黑体" w:eastAsia="黑体" w:cs="黑体"/>
          <w:kern w:val="0"/>
          <w:sz w:val="32"/>
          <w:szCs w:val="32"/>
        </w:rPr>
      </w:pPr>
      <w:r>
        <w:rPr>
          <w:rFonts w:hint="eastAsia" w:ascii="黑体" w:eastAsia="黑体" w:cs="黑体"/>
          <w:kern w:val="0"/>
          <w:sz w:val="32"/>
          <w:szCs w:val="32"/>
        </w:rPr>
        <w:t>附件四</w:t>
      </w:r>
    </w:p>
    <w:p>
      <w:pPr>
        <w:spacing w:line="480" w:lineRule="auto"/>
        <w:jc w:val="center"/>
        <w:rPr>
          <w:rFonts w:ascii="方正小标宋_GBK" w:eastAsia="方正小标宋_GBK"/>
          <w:kern w:val="0"/>
          <w:sz w:val="44"/>
          <w:szCs w:val="44"/>
        </w:rPr>
      </w:pPr>
      <w:r>
        <w:rPr>
          <w:rFonts w:hint="eastAsia" w:ascii="方正小标宋_GBK" w:eastAsia="方正小标宋_GBK"/>
          <w:kern w:val="0"/>
          <w:sz w:val="44"/>
          <w:szCs w:val="44"/>
        </w:rPr>
        <w:t>报价函</w:t>
      </w:r>
    </w:p>
    <w:p>
      <w:pPr>
        <w:spacing w:line="480" w:lineRule="auto"/>
        <w:jc w:val="left"/>
        <w:rPr>
          <w:rFonts w:ascii="Times New Roman" w:hAnsi="Times New Roman" w:eastAsia="仿宋_GB2312"/>
          <w:kern w:val="0"/>
          <w:sz w:val="24"/>
        </w:rPr>
      </w:pPr>
    </w:p>
    <w:p>
      <w:pPr>
        <w:spacing w:line="48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致：攀枝花市盐边生态环境局</w:t>
      </w:r>
    </w:p>
    <w:p>
      <w:pPr>
        <w:spacing w:line="48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我单位仔细研究并了解了比选文件和委托代理项目的基本情况，根据本单位的实际情况，我单位投标报价为________（小写）元，________（大写）元。</w:t>
      </w:r>
    </w:p>
    <w:p>
      <w:pPr>
        <w:spacing w:line="48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注：比选申请人根据自身情况，自主报价，大写金额应与小写金额一致，大写金额与小写金额不一致的，以大写金额为准，但大写金额出现文字错误，导致金额无法判断的，视为无效报价，否决比选资格。</w:t>
      </w:r>
    </w:p>
    <w:p>
      <w:pPr>
        <w:spacing w:line="480" w:lineRule="auto"/>
        <w:jc w:val="left"/>
        <w:rPr>
          <w:rFonts w:ascii="Times New Roman" w:hAnsi="Times New Roman" w:eastAsia="仿宋_GB2312" w:cs="Times New Roman"/>
          <w:kern w:val="0"/>
          <w:sz w:val="32"/>
          <w:szCs w:val="32"/>
          <w:u w:val="single"/>
        </w:rPr>
      </w:pPr>
    </w:p>
    <w:p>
      <w:pPr>
        <w:spacing w:line="480" w:lineRule="auto"/>
        <w:jc w:val="left"/>
        <w:rPr>
          <w:rFonts w:ascii="Times New Roman" w:hAnsi="Times New Roman" w:eastAsia="仿宋_GB2312" w:cs="Times New Roman"/>
          <w:kern w:val="0"/>
          <w:sz w:val="32"/>
          <w:szCs w:val="32"/>
          <w:u w:val="single"/>
        </w:rPr>
      </w:pPr>
    </w:p>
    <w:p>
      <w:pPr>
        <w:spacing w:line="480" w:lineRule="auto"/>
        <w:jc w:val="left"/>
        <w:rPr>
          <w:rFonts w:ascii="Times New Roman" w:hAnsi="Times New Roman" w:eastAsia="仿宋_GB2312" w:cs="Times New Roman"/>
          <w:kern w:val="0"/>
          <w:sz w:val="32"/>
          <w:szCs w:val="32"/>
          <w:u w:val="single"/>
        </w:rPr>
      </w:pPr>
    </w:p>
    <w:p>
      <w:pPr>
        <w:spacing w:line="48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比选申请人：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（加盖公章）   </w:t>
      </w:r>
    </w:p>
    <w:p>
      <w:pPr>
        <w:spacing w:line="480" w:lineRule="auto"/>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法定代表人或委托代理人（签字）：</w:t>
      </w:r>
      <w:r>
        <w:rPr>
          <w:rFonts w:ascii="Times New Roman" w:hAnsi="Times New Roman" w:eastAsia="仿宋_GB2312" w:cs="Times New Roman"/>
          <w:kern w:val="0"/>
          <w:sz w:val="32"/>
          <w:szCs w:val="32"/>
          <w:u w:val="single"/>
        </w:rPr>
        <w:t xml:space="preserve">             </w:t>
      </w:r>
    </w:p>
    <w:p>
      <w:pPr>
        <w:spacing w:line="48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日 期：</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日</w:t>
      </w:r>
    </w:p>
    <w:p>
      <w:pPr>
        <w:autoSpaceDE w:val="0"/>
        <w:autoSpaceDN w:val="0"/>
        <w:adjustRightInd w:val="0"/>
        <w:spacing w:line="560" w:lineRule="atLeast"/>
        <w:ind w:firstLine="640"/>
        <w:jc w:val="center"/>
        <w:rPr>
          <w:rFonts w:ascii="Times New Roman" w:hAnsi="Times New Roman" w:eastAsia="仿宋_GB2312" w:cs="Times New Roman"/>
          <w:kern w:val="0"/>
          <w:sz w:val="32"/>
          <w:szCs w:val="32"/>
        </w:rPr>
      </w:pPr>
    </w:p>
    <w:p>
      <w:pPr>
        <w:rPr>
          <w:rFonts w:ascii="黑体" w:eastAsia="黑体"/>
          <w:bCs/>
          <w:kern w:val="0"/>
          <w:sz w:val="32"/>
          <w:szCs w:val="32"/>
        </w:rPr>
      </w:pPr>
      <w:r>
        <w:rPr>
          <w:rFonts w:hint="eastAsia" w:ascii="黑体" w:eastAsia="黑体"/>
          <w:bCs/>
          <w:kern w:val="0"/>
          <w:sz w:val="32"/>
          <w:szCs w:val="32"/>
        </w:rPr>
        <w:br w:type="page"/>
      </w:r>
    </w:p>
    <w:p>
      <w:pPr>
        <w:spacing w:line="480" w:lineRule="auto"/>
        <w:rPr>
          <w:rFonts w:ascii="黑体" w:eastAsia="黑体"/>
          <w:kern w:val="0"/>
          <w:sz w:val="32"/>
          <w:szCs w:val="32"/>
        </w:rPr>
      </w:pPr>
      <w:r>
        <w:rPr>
          <w:rFonts w:hint="eastAsia" w:ascii="黑体" w:eastAsia="黑体"/>
          <w:bCs/>
          <w:kern w:val="0"/>
          <w:sz w:val="32"/>
          <w:szCs w:val="32"/>
        </w:rPr>
        <w:t>附件五</w:t>
      </w:r>
    </w:p>
    <w:p>
      <w:pPr>
        <w:spacing w:line="480" w:lineRule="auto"/>
        <w:jc w:val="center"/>
        <w:rPr>
          <w:rFonts w:ascii="方正小标宋_GBK" w:eastAsia="方正小标宋_GBK"/>
          <w:bCs/>
          <w:kern w:val="0"/>
          <w:sz w:val="44"/>
          <w:szCs w:val="44"/>
        </w:rPr>
      </w:pPr>
      <w:r>
        <w:rPr>
          <w:rFonts w:hint="eastAsia" w:ascii="方正小标宋_GBK" w:eastAsia="方正小标宋_GBK"/>
          <w:bCs/>
          <w:kern w:val="0"/>
          <w:sz w:val="44"/>
          <w:szCs w:val="44"/>
        </w:rPr>
        <w:t>人员配备</w:t>
      </w:r>
    </w:p>
    <w:p>
      <w:pPr>
        <w:pStyle w:val="7"/>
      </w:pPr>
    </w:p>
    <w:tbl>
      <w:tblPr>
        <w:tblStyle w:val="13"/>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933"/>
        <w:gridCol w:w="933"/>
        <w:gridCol w:w="933"/>
        <w:gridCol w:w="1036"/>
        <w:gridCol w:w="830"/>
        <w:gridCol w:w="933"/>
        <w:gridCol w:w="93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932" w:type="dxa"/>
            <w:vMerge w:val="restart"/>
            <w:vAlign w:val="center"/>
          </w:tcPr>
          <w:p>
            <w:pPr>
              <w:jc w:val="center"/>
              <w:rPr>
                <w:rFonts w:ascii="黑体" w:eastAsia="黑体"/>
                <w:kern w:val="0"/>
                <w:sz w:val="24"/>
              </w:rPr>
            </w:pPr>
            <w:r>
              <w:rPr>
                <w:rFonts w:hint="eastAsia" w:ascii="黑体" w:eastAsia="黑体"/>
                <w:kern w:val="0"/>
                <w:sz w:val="24"/>
              </w:rPr>
              <w:t>类别</w:t>
            </w:r>
          </w:p>
        </w:tc>
        <w:tc>
          <w:tcPr>
            <w:tcW w:w="933" w:type="dxa"/>
            <w:vMerge w:val="restart"/>
            <w:vAlign w:val="center"/>
          </w:tcPr>
          <w:p>
            <w:pPr>
              <w:jc w:val="center"/>
              <w:rPr>
                <w:rFonts w:ascii="黑体" w:eastAsia="黑体"/>
                <w:kern w:val="0"/>
                <w:sz w:val="24"/>
              </w:rPr>
            </w:pPr>
            <w:r>
              <w:rPr>
                <w:rFonts w:hint="eastAsia" w:ascii="黑体" w:eastAsia="黑体"/>
                <w:kern w:val="0"/>
                <w:sz w:val="24"/>
              </w:rPr>
              <w:t>职务</w:t>
            </w:r>
          </w:p>
        </w:tc>
        <w:tc>
          <w:tcPr>
            <w:tcW w:w="933" w:type="dxa"/>
            <w:vMerge w:val="restart"/>
            <w:vAlign w:val="center"/>
          </w:tcPr>
          <w:p>
            <w:pPr>
              <w:jc w:val="center"/>
              <w:rPr>
                <w:rFonts w:ascii="黑体" w:eastAsia="黑体"/>
                <w:kern w:val="0"/>
                <w:sz w:val="24"/>
              </w:rPr>
            </w:pPr>
            <w:r>
              <w:rPr>
                <w:rFonts w:hint="eastAsia" w:ascii="黑体" w:eastAsia="黑体"/>
                <w:kern w:val="0"/>
                <w:sz w:val="24"/>
              </w:rPr>
              <w:t>姓名</w:t>
            </w:r>
          </w:p>
        </w:tc>
        <w:tc>
          <w:tcPr>
            <w:tcW w:w="933" w:type="dxa"/>
            <w:vMerge w:val="restart"/>
            <w:vAlign w:val="center"/>
          </w:tcPr>
          <w:p>
            <w:pPr>
              <w:jc w:val="center"/>
              <w:rPr>
                <w:rFonts w:ascii="黑体" w:eastAsia="黑体"/>
                <w:kern w:val="0"/>
                <w:sz w:val="24"/>
              </w:rPr>
            </w:pPr>
            <w:r>
              <w:rPr>
                <w:rFonts w:hint="eastAsia" w:ascii="黑体" w:eastAsia="黑体"/>
                <w:kern w:val="0"/>
                <w:sz w:val="24"/>
              </w:rPr>
              <w:t>职称</w:t>
            </w:r>
          </w:p>
        </w:tc>
        <w:tc>
          <w:tcPr>
            <w:tcW w:w="1036" w:type="dxa"/>
            <w:vMerge w:val="restart"/>
            <w:vAlign w:val="center"/>
          </w:tcPr>
          <w:p>
            <w:pPr>
              <w:jc w:val="center"/>
              <w:rPr>
                <w:rFonts w:ascii="黑体" w:eastAsia="黑体"/>
                <w:kern w:val="0"/>
                <w:sz w:val="24"/>
              </w:rPr>
            </w:pPr>
            <w:r>
              <w:rPr>
                <w:rFonts w:hint="eastAsia" w:ascii="黑体" w:eastAsia="黑体"/>
                <w:kern w:val="0"/>
                <w:sz w:val="24"/>
              </w:rPr>
              <w:t>常住地</w:t>
            </w:r>
          </w:p>
        </w:tc>
        <w:tc>
          <w:tcPr>
            <w:tcW w:w="4492" w:type="dxa"/>
            <w:gridSpan w:val="4"/>
            <w:vAlign w:val="center"/>
          </w:tcPr>
          <w:p>
            <w:pPr>
              <w:jc w:val="center"/>
              <w:rPr>
                <w:rFonts w:ascii="黑体" w:eastAsia="黑体"/>
                <w:kern w:val="0"/>
                <w:sz w:val="24"/>
              </w:rPr>
            </w:pPr>
            <w:r>
              <w:rPr>
                <w:rFonts w:hint="eastAsia" w:ascii="黑体" w:eastAsia="黑体"/>
                <w:kern w:val="0"/>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32" w:type="dxa"/>
            <w:vMerge w:val="continue"/>
            <w:vAlign w:val="center"/>
          </w:tcPr>
          <w:p/>
        </w:tc>
        <w:tc>
          <w:tcPr>
            <w:tcW w:w="933" w:type="dxa"/>
            <w:vMerge w:val="continue"/>
            <w:vAlign w:val="center"/>
          </w:tcPr>
          <w:p/>
        </w:tc>
        <w:tc>
          <w:tcPr>
            <w:tcW w:w="933" w:type="dxa"/>
            <w:vMerge w:val="continue"/>
            <w:vAlign w:val="center"/>
          </w:tcPr>
          <w:p/>
        </w:tc>
        <w:tc>
          <w:tcPr>
            <w:tcW w:w="933" w:type="dxa"/>
            <w:vMerge w:val="continue"/>
            <w:vAlign w:val="center"/>
          </w:tcPr>
          <w:p/>
        </w:tc>
        <w:tc>
          <w:tcPr>
            <w:tcW w:w="1036" w:type="dxa"/>
            <w:vMerge w:val="continue"/>
            <w:vAlign w:val="center"/>
          </w:tcPr>
          <w:p/>
        </w:tc>
        <w:tc>
          <w:tcPr>
            <w:tcW w:w="830" w:type="dxa"/>
            <w:vAlign w:val="center"/>
          </w:tcPr>
          <w:p>
            <w:pPr>
              <w:jc w:val="center"/>
              <w:rPr>
                <w:rFonts w:ascii="黑体" w:eastAsia="黑体"/>
                <w:kern w:val="0"/>
                <w:sz w:val="24"/>
              </w:rPr>
            </w:pPr>
            <w:r>
              <w:rPr>
                <w:rFonts w:hint="eastAsia" w:ascii="黑体" w:eastAsia="黑体"/>
                <w:kern w:val="0"/>
                <w:sz w:val="24"/>
              </w:rPr>
              <w:t>证书</w:t>
            </w:r>
          </w:p>
          <w:p>
            <w:pPr>
              <w:jc w:val="center"/>
              <w:rPr>
                <w:rFonts w:ascii="黑体" w:eastAsia="黑体"/>
                <w:kern w:val="0"/>
                <w:sz w:val="24"/>
              </w:rPr>
            </w:pPr>
            <w:r>
              <w:rPr>
                <w:rFonts w:hint="eastAsia" w:ascii="黑体" w:eastAsia="黑体"/>
                <w:kern w:val="0"/>
                <w:sz w:val="24"/>
              </w:rPr>
              <w:t>名称</w:t>
            </w:r>
          </w:p>
        </w:tc>
        <w:tc>
          <w:tcPr>
            <w:tcW w:w="933" w:type="dxa"/>
            <w:vAlign w:val="center"/>
          </w:tcPr>
          <w:p>
            <w:pPr>
              <w:jc w:val="center"/>
              <w:rPr>
                <w:rFonts w:ascii="黑体" w:eastAsia="黑体"/>
                <w:kern w:val="0"/>
                <w:sz w:val="24"/>
              </w:rPr>
            </w:pPr>
            <w:r>
              <w:rPr>
                <w:rFonts w:hint="eastAsia" w:ascii="黑体" w:eastAsia="黑体"/>
                <w:kern w:val="0"/>
                <w:sz w:val="24"/>
              </w:rPr>
              <w:t>级别</w:t>
            </w:r>
          </w:p>
        </w:tc>
        <w:tc>
          <w:tcPr>
            <w:tcW w:w="933" w:type="dxa"/>
            <w:vAlign w:val="center"/>
          </w:tcPr>
          <w:p>
            <w:pPr>
              <w:jc w:val="center"/>
              <w:rPr>
                <w:rFonts w:ascii="黑体" w:eastAsia="黑体"/>
                <w:kern w:val="0"/>
                <w:sz w:val="24"/>
              </w:rPr>
            </w:pPr>
            <w:r>
              <w:rPr>
                <w:rFonts w:hint="eastAsia" w:ascii="黑体" w:eastAsia="黑体"/>
                <w:kern w:val="0"/>
                <w:sz w:val="24"/>
              </w:rPr>
              <w:t>证号</w:t>
            </w:r>
          </w:p>
        </w:tc>
        <w:tc>
          <w:tcPr>
            <w:tcW w:w="1796" w:type="dxa"/>
            <w:vAlign w:val="center"/>
          </w:tcPr>
          <w:p>
            <w:pPr>
              <w:jc w:val="center"/>
              <w:rPr>
                <w:rFonts w:ascii="黑体" w:eastAsia="黑体"/>
                <w:kern w:val="0"/>
                <w:sz w:val="24"/>
              </w:rPr>
            </w:pPr>
            <w:r>
              <w:rPr>
                <w:rFonts w:hint="eastAsia" w:ascii="黑体" w:eastAsia="黑体"/>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restart"/>
            <w:vAlign w:val="center"/>
          </w:tcPr>
          <w:p>
            <w:pPr>
              <w:jc w:val="center"/>
              <w:rPr>
                <w:rFonts w:ascii="Times New Roman" w:hAnsi="Times New Roman" w:eastAsia="仿宋_GB2312"/>
                <w:kern w:val="0"/>
                <w:sz w:val="24"/>
              </w:rPr>
            </w:pPr>
            <w:r>
              <w:rPr>
                <w:rFonts w:ascii="Times New Roman" w:hAnsi="Times New Roman" w:eastAsia="仿宋_GB2312"/>
                <w:kern w:val="0"/>
                <w:sz w:val="24"/>
              </w:rPr>
              <w:t>管理</w:t>
            </w:r>
          </w:p>
          <w:p>
            <w:pPr>
              <w:jc w:val="center"/>
              <w:rPr>
                <w:rFonts w:ascii="Times New Roman" w:hAnsi="Times New Roman" w:eastAsia="仿宋_GB2312"/>
                <w:kern w:val="0"/>
                <w:sz w:val="24"/>
              </w:rPr>
            </w:pPr>
            <w:r>
              <w:rPr>
                <w:rFonts w:ascii="Times New Roman" w:hAnsi="Times New Roman" w:eastAsia="仿宋_GB2312"/>
                <w:kern w:val="0"/>
                <w:sz w:val="24"/>
              </w:rPr>
              <w:t>人员</w:t>
            </w: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vAlign w:val="center"/>
          </w:tc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vAlign w:val="center"/>
          </w:tc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restart"/>
            <w:vAlign w:val="center"/>
          </w:tcPr>
          <w:p>
            <w:pPr>
              <w:jc w:val="center"/>
              <w:rPr>
                <w:rFonts w:ascii="Times New Roman" w:hAnsi="Times New Roman" w:eastAsia="仿宋_GB2312"/>
                <w:kern w:val="0"/>
                <w:sz w:val="24"/>
              </w:rPr>
            </w:pPr>
            <w:r>
              <w:rPr>
                <w:rFonts w:ascii="Times New Roman" w:hAnsi="Times New Roman" w:eastAsia="仿宋_GB2312"/>
                <w:kern w:val="0"/>
                <w:sz w:val="24"/>
              </w:rPr>
              <w:t>技术</w:t>
            </w:r>
          </w:p>
          <w:p>
            <w:pPr>
              <w:jc w:val="center"/>
              <w:rPr>
                <w:rFonts w:ascii="Times New Roman" w:hAnsi="Times New Roman" w:eastAsia="仿宋_GB2312"/>
                <w:kern w:val="0"/>
                <w:sz w:val="24"/>
              </w:rPr>
            </w:pPr>
            <w:r>
              <w:rPr>
                <w:rFonts w:ascii="Times New Roman" w:hAnsi="Times New Roman" w:eastAsia="仿宋_GB2312"/>
                <w:kern w:val="0"/>
                <w:sz w:val="24"/>
              </w:rPr>
              <w:t>人员</w:t>
            </w: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vAlign w:val="center"/>
          </w:tc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vAlign w:val="center"/>
          </w:tc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restart"/>
            <w:vAlign w:val="center"/>
          </w:tcPr>
          <w:p>
            <w:pPr>
              <w:jc w:val="center"/>
              <w:rPr>
                <w:rFonts w:ascii="Times New Roman" w:hAnsi="Times New Roman" w:eastAsia="仿宋_GB2312"/>
                <w:kern w:val="0"/>
                <w:sz w:val="24"/>
              </w:rPr>
            </w:pPr>
            <w:r>
              <w:rPr>
                <w:rFonts w:ascii="Times New Roman" w:hAnsi="Times New Roman" w:eastAsia="仿宋_GB2312"/>
                <w:kern w:val="0"/>
                <w:sz w:val="24"/>
              </w:rPr>
              <w:t>其他服务人员</w:t>
            </w: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32" w:type="dxa"/>
            <w:vMerge w:val="continue"/>
          </w:tc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32" w:type="dxa"/>
            <w:vMerge w:val="continue"/>
          </w:tc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036" w:type="dxa"/>
          </w:tcPr>
          <w:p>
            <w:pPr>
              <w:rPr>
                <w:rFonts w:ascii="Times New Roman" w:hAnsi="Times New Roman" w:eastAsia="仿宋_GB2312"/>
                <w:kern w:val="0"/>
                <w:sz w:val="24"/>
              </w:rPr>
            </w:pPr>
          </w:p>
        </w:tc>
        <w:tc>
          <w:tcPr>
            <w:tcW w:w="830"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933" w:type="dxa"/>
          </w:tcPr>
          <w:p>
            <w:pPr>
              <w:rPr>
                <w:rFonts w:ascii="Times New Roman" w:hAnsi="Times New Roman" w:eastAsia="仿宋_GB2312"/>
                <w:kern w:val="0"/>
                <w:sz w:val="24"/>
              </w:rPr>
            </w:pPr>
          </w:p>
        </w:tc>
        <w:tc>
          <w:tcPr>
            <w:tcW w:w="1796" w:type="dxa"/>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259" w:type="dxa"/>
            <w:gridSpan w:val="9"/>
          </w:tcPr>
          <w:p>
            <w:pPr>
              <w:jc w:val="center"/>
              <w:rPr>
                <w:rFonts w:ascii="Times New Roman" w:hAnsi="Times New Roman" w:eastAsia="仿宋_GB2312"/>
                <w:kern w:val="0"/>
                <w:sz w:val="24"/>
              </w:rPr>
            </w:pPr>
            <w:r>
              <w:rPr>
                <w:rFonts w:ascii="Times New Roman" w:hAnsi="Times New Roman" w:eastAsia="仿宋_GB2312"/>
                <w:kern w:val="0"/>
                <w:sz w:val="24"/>
              </w:rPr>
              <w:t>…</w:t>
            </w:r>
          </w:p>
        </w:tc>
      </w:tr>
    </w:tbl>
    <w:p>
      <w:pPr>
        <w:pStyle w:val="7"/>
        <w:rPr>
          <w:rFonts w:ascii="Times New Roman" w:hAnsi="Times New Roman" w:eastAsia="仿宋_GB2312"/>
          <w:kern w:val="0"/>
        </w:rPr>
      </w:pPr>
    </w:p>
    <w:p>
      <w:pPr>
        <w:spacing w:line="480" w:lineRule="auto"/>
        <w:jc w:val="center"/>
        <w:rPr>
          <w:rFonts w:ascii="Times New Roman" w:hAnsi="Times New Roman" w:eastAsia="仿宋_GB2312"/>
          <w:kern w:val="0"/>
          <w:sz w:val="24"/>
        </w:rPr>
      </w:pPr>
    </w:p>
    <w:p>
      <w:pPr>
        <w:rPr>
          <w:rFonts w:ascii="黑体" w:eastAsia="黑体" w:cs="Times New Roman"/>
          <w:bCs/>
          <w:kern w:val="0"/>
          <w:sz w:val="32"/>
          <w:szCs w:val="32"/>
        </w:rPr>
      </w:pPr>
      <w:r>
        <w:rPr>
          <w:rFonts w:hint="eastAsia" w:ascii="黑体" w:eastAsia="黑体" w:cs="Times New Roman"/>
          <w:bCs/>
          <w:kern w:val="0"/>
          <w:sz w:val="32"/>
          <w:szCs w:val="32"/>
        </w:rPr>
        <w:br w:type="page"/>
      </w:r>
    </w:p>
    <w:p>
      <w:pPr>
        <w:spacing w:line="480" w:lineRule="auto"/>
        <w:jc w:val="left"/>
        <w:rPr>
          <w:rFonts w:ascii="仿宋" w:eastAsia="仿宋" w:cs="仿宋"/>
          <w:sz w:val="32"/>
          <w:szCs w:val="32"/>
        </w:rPr>
      </w:pPr>
      <w:r>
        <w:rPr>
          <w:rFonts w:hint="eastAsia" w:ascii="黑体" w:eastAsia="黑体" w:cs="Times New Roman"/>
          <w:bCs/>
          <w:kern w:val="0"/>
          <w:sz w:val="32"/>
          <w:szCs w:val="32"/>
        </w:rPr>
        <w:t>附件六</w:t>
      </w:r>
    </w:p>
    <w:p>
      <w:pPr>
        <w:spacing w:line="480" w:lineRule="auto"/>
        <w:jc w:val="center"/>
        <w:rPr>
          <w:rFonts w:ascii="仿宋" w:eastAsia="仿宋" w:cs="仿宋"/>
          <w:bCs/>
          <w:sz w:val="44"/>
          <w:szCs w:val="44"/>
        </w:rPr>
      </w:pPr>
      <w:r>
        <w:rPr>
          <w:rFonts w:hint="eastAsia" w:ascii="方正小标宋_GBK" w:eastAsia="方正小标宋_GBK" w:cs="方正小标宋_GBK"/>
          <w:bCs/>
          <w:sz w:val="44"/>
          <w:szCs w:val="44"/>
        </w:rPr>
        <w:t>业  绩</w:t>
      </w:r>
    </w:p>
    <w:p>
      <w:pPr>
        <w:spacing w:line="480" w:lineRule="auto"/>
        <w:jc w:val="center"/>
        <w:rPr>
          <w:rFonts w:ascii="仿宋" w:eastAsia="仿宋" w:cs="仿宋"/>
          <w:sz w:val="24"/>
        </w:rPr>
      </w:pPr>
    </w:p>
    <w:p>
      <w:pPr>
        <w:spacing w:line="480" w:lineRule="auto"/>
        <w:rPr>
          <w:rFonts w:ascii="仿宋" w:eastAsia="仿宋" w:cs="仿宋"/>
          <w:sz w:val="32"/>
          <w:szCs w:val="32"/>
        </w:rPr>
      </w:pPr>
      <w:r>
        <w:rPr>
          <w:rFonts w:hint="eastAsia" w:ascii="仿宋" w:eastAsia="仿宋" w:cs="仿宋"/>
          <w:sz w:val="24"/>
        </w:rPr>
        <w:br w:type="page"/>
      </w:r>
      <w:r>
        <w:rPr>
          <w:rFonts w:hint="eastAsia" w:ascii="黑体" w:eastAsia="黑体" w:cs="Times New Roman"/>
          <w:bCs/>
          <w:kern w:val="0"/>
          <w:sz w:val="32"/>
          <w:szCs w:val="32"/>
        </w:rPr>
        <w:t>附件七</w:t>
      </w:r>
    </w:p>
    <w:p>
      <w:pPr>
        <w:spacing w:line="480" w:lineRule="auto"/>
        <w:jc w:val="center"/>
        <w:rPr>
          <w:rFonts w:ascii="仿宋" w:eastAsia="仿宋" w:cs="仿宋"/>
          <w:sz w:val="44"/>
          <w:szCs w:val="44"/>
        </w:rPr>
      </w:pPr>
      <w:r>
        <w:rPr>
          <w:rFonts w:hint="eastAsia" w:ascii="方正小标宋_GBK" w:eastAsia="方正小标宋_GBK" w:cs="方正小标宋_GBK"/>
          <w:bCs/>
          <w:sz w:val="44"/>
          <w:szCs w:val="44"/>
        </w:rPr>
        <w:t>服务方案</w:t>
      </w:r>
    </w:p>
    <w:p>
      <w:pPr>
        <w:spacing w:line="480" w:lineRule="auto"/>
        <w:jc w:val="center"/>
        <w:rPr>
          <w:rFonts w:ascii="仿宋" w:eastAsia="仿宋" w:cs="仿宋"/>
          <w:sz w:val="32"/>
          <w:szCs w:val="32"/>
        </w:rPr>
      </w:pPr>
      <w:r>
        <w:rPr>
          <w:rFonts w:hint="eastAsia" w:ascii="仿宋" w:eastAsia="仿宋" w:cs="仿宋"/>
          <w:sz w:val="32"/>
          <w:szCs w:val="32"/>
        </w:rPr>
        <w:t>（格式自拟）</w:t>
      </w:r>
    </w:p>
    <w:p>
      <w:pPr>
        <w:spacing w:line="480" w:lineRule="auto"/>
        <w:rPr>
          <w:rFonts w:ascii="仿宋" w:eastAsia="仿宋" w:cs="仿宋"/>
          <w:b/>
          <w:sz w:val="32"/>
          <w:szCs w:val="32"/>
        </w:rPr>
      </w:pPr>
    </w:p>
    <w:p>
      <w:pPr>
        <w:spacing w:line="480" w:lineRule="auto"/>
        <w:rPr>
          <w:rFonts w:ascii="仿宋" w:eastAsia="仿宋" w:cs="仿宋"/>
          <w:sz w:val="44"/>
          <w:szCs w:val="44"/>
        </w:rPr>
      </w:pPr>
      <w:r>
        <w:rPr>
          <w:rFonts w:hint="eastAsia" w:ascii="仿宋" w:eastAsia="仿宋" w:cs="仿宋"/>
          <w:sz w:val="32"/>
          <w:szCs w:val="32"/>
        </w:rPr>
        <w:br w:type="page"/>
      </w:r>
      <w:r>
        <w:rPr>
          <w:rFonts w:hint="eastAsia" w:ascii="黑体" w:eastAsia="黑体" w:cs="Times New Roman"/>
          <w:bCs/>
          <w:kern w:val="0"/>
          <w:sz w:val="32"/>
          <w:szCs w:val="32"/>
        </w:rPr>
        <w:t>附件八</w:t>
      </w:r>
    </w:p>
    <w:p>
      <w:pPr>
        <w:spacing w:line="66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比选申请文件真实性和不存在限制投标</w:t>
      </w:r>
    </w:p>
    <w:p>
      <w:pPr>
        <w:spacing w:line="660" w:lineRule="exact"/>
        <w:jc w:val="center"/>
        <w:rPr>
          <w:rFonts w:ascii="仿宋" w:eastAsia="仿宋" w:cs="仿宋"/>
          <w:sz w:val="44"/>
          <w:szCs w:val="44"/>
        </w:rPr>
      </w:pPr>
      <w:r>
        <w:rPr>
          <w:rFonts w:hint="eastAsia" w:ascii="方正小标宋_GBK" w:eastAsia="方正小标宋_GBK" w:cs="方正小标宋_GBK"/>
          <w:sz w:val="44"/>
          <w:szCs w:val="44"/>
        </w:rPr>
        <w:t>情形的声明及遵纪守法诚信承诺</w:t>
      </w:r>
    </w:p>
    <w:p>
      <w:pPr>
        <w:pStyle w:val="10"/>
        <w:rPr>
          <w:rFonts w:ascii="仿宋" w:eastAsia="仿宋" w:cs="仿宋"/>
        </w:rPr>
      </w:pPr>
    </w:p>
    <w:p>
      <w:pPr>
        <w:spacing w:line="48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_______（比选邀请人名称）：</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我方在此声明，所递交的比选申请文件（包括有关资料、澄清）真实可信，不存在虚假隐瞒。</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本申请人不存在比选文件限制参加比选的任何一种情形。</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我方承诺，如存在违法违纪投标行为，我方自愿按比选文件有关规定承担责任。同时，我方还承诺：</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1．保证服从比选文件和比选邀请人安排，遵守比选有关会议现场纪律。否则，同意被废除比选申请资格。</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2．接受比选文件全部内容。否则，同意被废除比选资格。</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保证比选申请文件内容无任何虚假。比选申请文件中所有内容全部真实有效（包括证件、资料、业绩、造价人员印章，法人印章与工商、公安机关备案的网上印章相符）。若评比过程中查出有虚假或中选之后查处有虚假，比选申请人同意取消中选资格，接受相关行政部门的行政处罚。</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保证不挂靠具有资质的企业参加比选，包括挂靠其他单位，或从其他单位通过转让或租借的方式获取资格或资质证书，或者由其他单位及其法定代表人在自己编制的比选申请文件上加盖印章和签字等行为。否则，同意接受相关行政部门的行政处罚。</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5．保证不与其他比选申请人串通投标或者与比选邀请人串通投标。否则，同意接受相关部门的行政处罚。</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6．保证不参与陪标、围标行为。否则，同意接受相关部门的行政处罚。</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7．保证不向比选申请人、评审委员会成员采用行贿等不正当手段谋取中选。否则，同意接受相关行政部门的行政处罚。</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比选申请人若有以上违反承诺的行为，将自觉接受行政主管部门依照法律法规和有关规定作出的行政处罚。</w:t>
      </w:r>
    </w:p>
    <w:p>
      <w:pPr>
        <w:spacing w:line="480" w:lineRule="auto"/>
        <w:ind w:firstLine="640" w:firstLineChars="200"/>
        <w:rPr>
          <w:rFonts w:ascii="Times New Roman" w:hAnsi="Times New Roman" w:eastAsia="仿宋_GB2312" w:cs="Times New Roman"/>
          <w:sz w:val="32"/>
          <w:szCs w:val="32"/>
        </w:rPr>
      </w:pP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比选申请人：______________  （加盖公章）</w:t>
      </w:r>
    </w:p>
    <w:p>
      <w:pPr>
        <w:spacing w:line="48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法定代表人或其委托代理人：______________（签字）</w:t>
      </w:r>
    </w:p>
    <w:p>
      <w:pPr>
        <w:spacing w:line="480" w:lineRule="auto"/>
        <w:ind w:firstLine="640" w:firstLineChars="200"/>
        <w:rPr>
          <w:rFonts w:ascii="Times New Roman" w:hAnsi="Times New Roman" w:eastAsia="仿宋_GB2312" w:cs="Times New Roman"/>
          <w:sz w:val="32"/>
          <w:szCs w:val="32"/>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cs="Times New Roman"/>
          <w:sz w:val="32"/>
          <w:szCs w:val="32"/>
        </w:rPr>
        <w:t>时间：____年___月___日</w:t>
      </w:r>
    </w:p>
    <w:p>
      <w:pPr>
        <w:spacing w:line="360" w:lineRule="auto"/>
        <w:jc w:val="center"/>
        <w:outlineLvl w:val="0"/>
        <w:rPr>
          <w:rFonts w:ascii="仿宋" w:eastAsia="仿宋" w:cs="仿宋"/>
          <w:bCs/>
          <w:sz w:val="44"/>
          <w:szCs w:val="44"/>
        </w:rPr>
      </w:pPr>
      <w:bookmarkStart w:id="2" w:name="_Toc18715_WPSOffice_Level1"/>
      <w:bookmarkStart w:id="3" w:name="_Toc23935"/>
      <w:r>
        <w:rPr>
          <w:rFonts w:hint="eastAsia" w:ascii="方正小标宋_GBK" w:eastAsia="方正小标宋_GBK" w:cs="方正小标宋_GBK"/>
          <w:sz w:val="44"/>
          <w:szCs w:val="44"/>
        </w:rPr>
        <w:t xml:space="preserve">第五章 </w:t>
      </w:r>
      <w:bookmarkEnd w:id="2"/>
      <w:r>
        <w:rPr>
          <w:rFonts w:hint="eastAsia" w:ascii="方正小标宋_GBK" w:eastAsia="方正小标宋_GBK" w:cs="方正小标宋_GBK"/>
          <w:sz w:val="44"/>
          <w:szCs w:val="44"/>
        </w:rPr>
        <w:t>评审办法</w:t>
      </w:r>
      <w:bookmarkEnd w:id="3"/>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1．本项目的比选由比选邀请人组织相关人员组成比选申请人评审委员会对比选申请人的比选申请文件按照比选文件的规定进行评审。</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2．评审委员会应将所有比选申请书同时启封，评委独立打分，合计得分最高的比选申请人中选。</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3．比选邀请人及评审委员会成员须对比选申请人报送的比选申请书内容保密，不得泄露参加比选的比选申请人的任何信息。</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4．严禁任何单位和个人以任何形式操纵或干预评比过程和评比结果。参加比选的比选申请人试图采用不正当手段干扰评委公平、公正评审的，将取消其比选资格。</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评审委员会成员不得在比选期间私下接触参加比选的比选申请人人员，不得接受比选申请人或相关人员的任何馈赠，不得参加比选申请人组织的任何形式的宴请、娱乐、旅游等活动，不得透露与比选工作有关的内部情况。</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评审委员会对比选申请书响应比选文件进行检查。没有充分响应比选文件的不得进入打分程序；评比委员会认为比选申请书有不清楚的地方，可以要求比选申请人解释、澄清，但比选申请人不得对比选文件作实质性的修改。拒绝澄清的，比选申请书无效。</w:t>
      </w:r>
    </w:p>
    <w:p>
      <w:pPr>
        <w:spacing w:line="57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本项目比选申请人的比选采用综合评估法，按得分高低进行排序，比选邀请人确定得分最高的为中选人。若得分相同则报价低的排序在前；若仍相同则人员得分高的在前；若仍相同则业绩得分高的排序在前；若仍相同则由评比委员会讨论决定排序。</w:t>
      </w:r>
    </w:p>
    <w:p>
      <w:pPr>
        <w:spacing w:line="57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8．凡比选标准中没有列出的评定内容在评比时不得作为打分的依据。</w:t>
      </w:r>
    </w:p>
    <w:p>
      <w:pPr>
        <w:spacing w:line="57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9．资格审查内容见下表：</w:t>
      </w:r>
    </w:p>
    <w:tbl>
      <w:tblPr>
        <w:tblStyle w:val="13"/>
        <w:tblW w:w="9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280"/>
        <w:gridCol w:w="317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40" w:type="dxa"/>
            <w:vAlign w:val="center"/>
          </w:tcPr>
          <w:p>
            <w:pPr>
              <w:spacing w:line="320" w:lineRule="exact"/>
              <w:jc w:val="center"/>
              <w:rPr>
                <w:rFonts w:ascii="黑体" w:eastAsia="黑体" w:cs="黑体"/>
                <w:sz w:val="24"/>
              </w:rPr>
            </w:pPr>
            <w:r>
              <w:rPr>
                <w:rFonts w:hint="eastAsia" w:ascii="黑体" w:eastAsia="黑体" w:cs="黑体"/>
                <w:sz w:val="24"/>
              </w:rPr>
              <w:t>序号</w:t>
            </w:r>
          </w:p>
        </w:tc>
        <w:tc>
          <w:tcPr>
            <w:tcW w:w="4280" w:type="dxa"/>
            <w:vAlign w:val="center"/>
          </w:tcPr>
          <w:p>
            <w:pPr>
              <w:spacing w:line="320" w:lineRule="exact"/>
              <w:jc w:val="center"/>
              <w:rPr>
                <w:rFonts w:ascii="黑体" w:eastAsia="黑体" w:cs="黑体"/>
                <w:sz w:val="24"/>
              </w:rPr>
            </w:pPr>
            <w:r>
              <w:rPr>
                <w:rFonts w:hint="eastAsia" w:ascii="黑体" w:eastAsia="黑体" w:cs="黑体"/>
                <w:sz w:val="24"/>
              </w:rPr>
              <w:t>审查内容</w:t>
            </w:r>
          </w:p>
        </w:tc>
        <w:tc>
          <w:tcPr>
            <w:tcW w:w="3175" w:type="dxa"/>
            <w:vAlign w:val="center"/>
          </w:tcPr>
          <w:p>
            <w:pPr>
              <w:spacing w:line="320" w:lineRule="exact"/>
              <w:jc w:val="center"/>
              <w:rPr>
                <w:rFonts w:ascii="黑体" w:eastAsia="黑体" w:cs="黑体"/>
                <w:sz w:val="24"/>
              </w:rPr>
            </w:pPr>
            <w:r>
              <w:rPr>
                <w:rFonts w:hint="eastAsia" w:ascii="黑体" w:eastAsia="黑体" w:cs="黑体"/>
                <w:sz w:val="24"/>
              </w:rPr>
              <w:t>合格条件</w:t>
            </w:r>
          </w:p>
        </w:tc>
        <w:tc>
          <w:tcPr>
            <w:tcW w:w="1389" w:type="dxa"/>
            <w:vAlign w:val="center"/>
          </w:tcPr>
          <w:p>
            <w:pPr>
              <w:spacing w:line="320" w:lineRule="exact"/>
              <w:jc w:val="center"/>
              <w:rPr>
                <w:rFonts w:ascii="黑体" w:eastAsia="黑体" w:cs="黑体"/>
                <w:sz w:val="24"/>
              </w:rPr>
            </w:pPr>
            <w:r>
              <w:rPr>
                <w:rFonts w:hint="eastAsia" w:ascii="黑体" w:eastAsia="黑体" w:cs="黑体"/>
                <w:sz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4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4280" w:type="dxa"/>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企业法人营业执照</w:t>
            </w:r>
          </w:p>
        </w:tc>
        <w:tc>
          <w:tcPr>
            <w:tcW w:w="3175"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有效</w:t>
            </w:r>
          </w:p>
        </w:tc>
        <w:tc>
          <w:tcPr>
            <w:tcW w:w="1389" w:type="dxa"/>
            <w:vAlign w:val="center"/>
          </w:tcPr>
          <w:p>
            <w:pPr>
              <w:spacing w:line="320" w:lineRule="exact"/>
              <w:jc w:val="center"/>
              <w:rPr>
                <w:rFonts w:asci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4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4280" w:type="dxa"/>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项目负责人、专职技术人员</w:t>
            </w:r>
          </w:p>
        </w:tc>
        <w:tc>
          <w:tcPr>
            <w:tcW w:w="3175" w:type="dxa"/>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配备负责人1人，专职技术人员3人，提供上述人员的在职证明。</w:t>
            </w:r>
          </w:p>
        </w:tc>
        <w:tc>
          <w:tcPr>
            <w:tcW w:w="1389" w:type="dxa"/>
            <w:vAlign w:val="center"/>
          </w:tcPr>
          <w:p>
            <w:pPr>
              <w:spacing w:line="320" w:lineRule="exact"/>
              <w:jc w:val="center"/>
              <w:rPr>
                <w:rFonts w:asci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4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4280" w:type="dxa"/>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法定代表人身份证明原件及身份证复印件</w:t>
            </w:r>
          </w:p>
        </w:tc>
        <w:tc>
          <w:tcPr>
            <w:tcW w:w="3175"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有效</w:t>
            </w:r>
          </w:p>
        </w:tc>
        <w:tc>
          <w:tcPr>
            <w:tcW w:w="1389" w:type="dxa"/>
            <w:vAlign w:val="center"/>
          </w:tcPr>
          <w:p>
            <w:pPr>
              <w:spacing w:line="320" w:lineRule="exact"/>
              <w:jc w:val="center"/>
              <w:rPr>
                <w:rFonts w:asci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84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4280" w:type="dxa"/>
            <w:vAlign w:val="center"/>
          </w:tcPr>
          <w:p>
            <w:pPr>
              <w:spacing w:line="320" w:lineRule="exact"/>
              <w:jc w:val="left"/>
              <w:rPr>
                <w:rFonts w:ascii="Times New Roman" w:hAnsi="Times New Roman" w:eastAsia="仿宋_GB2312" w:cs="Times New Roman"/>
                <w:sz w:val="24"/>
              </w:rPr>
            </w:pPr>
            <w:r>
              <w:rPr>
                <w:rFonts w:ascii="Times New Roman" w:hAnsi="Times New Roman" w:eastAsia="仿宋_GB2312" w:cs="Times New Roman"/>
                <w:sz w:val="24"/>
              </w:rPr>
              <w:t>授权委托书原件及委托代理人身份证复印件</w:t>
            </w:r>
          </w:p>
        </w:tc>
        <w:tc>
          <w:tcPr>
            <w:tcW w:w="3175"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有效</w:t>
            </w:r>
          </w:p>
        </w:tc>
        <w:tc>
          <w:tcPr>
            <w:tcW w:w="1389" w:type="dxa"/>
            <w:vAlign w:val="center"/>
          </w:tcPr>
          <w:p>
            <w:pPr>
              <w:spacing w:line="320" w:lineRule="exact"/>
              <w:jc w:val="center"/>
              <w:rPr>
                <w:rFonts w:asci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84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4280" w:type="dxa"/>
            <w:vAlign w:val="center"/>
          </w:tcPr>
          <w:p>
            <w:pPr>
              <w:spacing w:line="320" w:lineRule="exact"/>
              <w:jc w:val="left"/>
              <w:rPr>
                <w:rFonts w:ascii="Times New Roman" w:hAnsi="Times New Roman" w:eastAsia="仿宋_GB2312" w:cs="Times New Roman"/>
                <w:sz w:val="24"/>
              </w:rPr>
            </w:pPr>
            <w:r>
              <w:rPr>
                <w:rFonts w:ascii="Times New Roman" w:hAnsi="Times New Roman" w:eastAsia="仿宋_GB2312" w:cs="Times New Roman"/>
                <w:sz w:val="24"/>
              </w:rPr>
              <w:t>政府采购严重违法失信行为记录名单</w:t>
            </w:r>
          </w:p>
        </w:tc>
        <w:tc>
          <w:tcPr>
            <w:tcW w:w="3175"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不属于名单目录内的比选申请人</w:t>
            </w:r>
          </w:p>
        </w:tc>
        <w:tc>
          <w:tcPr>
            <w:tcW w:w="1389" w:type="dxa"/>
            <w:vAlign w:val="center"/>
          </w:tcPr>
          <w:p>
            <w:pPr>
              <w:spacing w:line="320" w:lineRule="exact"/>
              <w:jc w:val="center"/>
              <w:rPr>
                <w:rFonts w:asci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84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428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报价</w:t>
            </w:r>
          </w:p>
        </w:tc>
        <w:tc>
          <w:tcPr>
            <w:tcW w:w="3175"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不高于最高限价</w:t>
            </w:r>
          </w:p>
        </w:tc>
        <w:tc>
          <w:tcPr>
            <w:tcW w:w="1389" w:type="dxa"/>
            <w:vAlign w:val="center"/>
          </w:tcPr>
          <w:p>
            <w:pPr>
              <w:spacing w:line="320" w:lineRule="exact"/>
              <w:jc w:val="center"/>
              <w:rPr>
                <w:rFonts w:asci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84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4280"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是否存在限制情形</w:t>
            </w:r>
          </w:p>
        </w:tc>
        <w:tc>
          <w:tcPr>
            <w:tcW w:w="3175"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不存在比选文件中载明的限制情形</w:t>
            </w:r>
          </w:p>
        </w:tc>
        <w:tc>
          <w:tcPr>
            <w:tcW w:w="1389" w:type="dxa"/>
            <w:vAlign w:val="center"/>
          </w:tcPr>
          <w:p>
            <w:pPr>
              <w:spacing w:line="320" w:lineRule="exact"/>
              <w:jc w:val="center"/>
              <w:rPr>
                <w:rFonts w:asci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120" w:type="dxa"/>
            <w:gridSpan w:val="2"/>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结论</w:t>
            </w:r>
          </w:p>
        </w:tc>
        <w:tc>
          <w:tcPr>
            <w:tcW w:w="3175"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以上条件必须全部通过</w:t>
            </w:r>
          </w:p>
        </w:tc>
        <w:tc>
          <w:tcPr>
            <w:tcW w:w="1389" w:type="dxa"/>
            <w:vAlign w:val="center"/>
          </w:tcPr>
          <w:p>
            <w:pPr>
              <w:spacing w:line="320" w:lineRule="exact"/>
              <w:jc w:val="center"/>
              <w:rPr>
                <w:rFonts w:ascii="仿宋" w:eastAsia="仿宋" w:cs="仿宋"/>
                <w:sz w:val="24"/>
              </w:rPr>
            </w:pPr>
          </w:p>
        </w:tc>
      </w:tr>
    </w:tbl>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HTK">
    <w:altName w:val="宋体"/>
    <w:panose1 w:val="00000000000000000000"/>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AE1"/>
    <w:multiLevelType w:val="multilevel"/>
    <w:tmpl w:val="6D2F6AE1"/>
    <w:lvl w:ilvl="0" w:tentative="0">
      <w:start w:val="1"/>
      <w:numFmt w:val="decimal"/>
      <w:lvlText w:val="%1."/>
      <w:lvlJc w:val="left"/>
      <w:pPr>
        <w:tabs>
          <w:tab w:val="left" w:pos="0"/>
        </w:tabs>
        <w:ind w:left="786" w:hanging="360"/>
      </w:pPr>
    </w:lvl>
    <w:lvl w:ilvl="1" w:tentative="0">
      <w:start w:val="1"/>
      <w:numFmt w:val="decimal"/>
      <w:lvlText w:val="%2."/>
      <w:lvlJc w:val="left"/>
      <w:pPr>
        <w:tabs>
          <w:tab w:val="left" w:pos="0"/>
        </w:tabs>
        <w:ind w:left="1226" w:hanging="360"/>
      </w:pPr>
    </w:lvl>
    <w:lvl w:ilvl="2" w:tentative="0">
      <w:start w:val="1"/>
      <w:numFmt w:val="decimal"/>
      <w:lvlText w:val="%3."/>
      <w:lvlJc w:val="left"/>
      <w:pPr>
        <w:tabs>
          <w:tab w:val="left" w:pos="0"/>
        </w:tabs>
        <w:ind w:left="1946" w:hanging="360"/>
      </w:pPr>
    </w:lvl>
    <w:lvl w:ilvl="3" w:tentative="0">
      <w:start w:val="1"/>
      <w:numFmt w:val="decimal"/>
      <w:lvlText w:val="%4."/>
      <w:lvlJc w:val="left"/>
      <w:pPr>
        <w:tabs>
          <w:tab w:val="left" w:pos="0"/>
        </w:tabs>
        <w:ind w:left="2666" w:hanging="360"/>
      </w:pPr>
    </w:lvl>
    <w:lvl w:ilvl="4" w:tentative="0">
      <w:start w:val="1"/>
      <w:numFmt w:val="decimal"/>
      <w:lvlText w:val="%5."/>
      <w:lvlJc w:val="left"/>
      <w:pPr>
        <w:tabs>
          <w:tab w:val="left" w:pos="0"/>
        </w:tabs>
        <w:ind w:left="3386" w:hanging="360"/>
      </w:pPr>
    </w:lvl>
    <w:lvl w:ilvl="5" w:tentative="0">
      <w:start w:val="1"/>
      <w:numFmt w:val="decimal"/>
      <w:lvlText w:val="%6."/>
      <w:lvlJc w:val="left"/>
      <w:pPr>
        <w:tabs>
          <w:tab w:val="left" w:pos="0"/>
        </w:tabs>
        <w:ind w:left="4106" w:hanging="360"/>
      </w:pPr>
    </w:lvl>
    <w:lvl w:ilvl="6" w:tentative="0">
      <w:start w:val="1"/>
      <w:numFmt w:val="decimal"/>
      <w:lvlText w:val="%7."/>
      <w:lvlJc w:val="left"/>
      <w:pPr>
        <w:tabs>
          <w:tab w:val="left" w:pos="0"/>
        </w:tabs>
        <w:ind w:left="4826" w:hanging="360"/>
      </w:pPr>
    </w:lvl>
    <w:lvl w:ilvl="7" w:tentative="0">
      <w:start w:val="1"/>
      <w:numFmt w:val="decimal"/>
      <w:lvlText w:val="%8."/>
      <w:lvlJc w:val="left"/>
      <w:pPr>
        <w:tabs>
          <w:tab w:val="left" w:pos="0"/>
        </w:tabs>
        <w:ind w:left="5546" w:hanging="360"/>
      </w:pPr>
    </w:lvl>
    <w:lvl w:ilvl="8" w:tentative="0">
      <w:start w:val="1"/>
      <w:numFmt w:val="decimal"/>
      <w:lvlText w:val="%9."/>
      <w:lvlJc w:val="left"/>
      <w:pPr>
        <w:tabs>
          <w:tab w:val="left" w:pos="0"/>
        </w:tabs>
        <w:ind w:left="6266" w:hanging="360"/>
      </w:pPr>
    </w:lvl>
  </w:abstractNum>
  <w:num w:numId="1">
    <w:abstractNumId w:val="0"/>
    <w:lvlOverride w:ilvl="0">
      <w:startOverride w:val="1"/>
      <w:lvl w:ilvl="0" w:tentative="1">
        <w:start w:val="1"/>
        <w:numFmt w:val="decimal"/>
        <w:lvlText w:val="%1."/>
        <w:lvlJc w:val="left"/>
        <w:pPr>
          <w:tabs>
            <w:tab w:val="left" w:pos="0"/>
          </w:tabs>
          <w:ind w:left="786" w:hanging="360"/>
        </w:pPr>
      </w:lvl>
    </w:lvlOverride>
    <w:lvlOverride w:ilvl="1">
      <w:startOverride w:val="1"/>
      <w:lvl w:ilvl="1" w:tentative="1">
        <w:start w:val="1"/>
        <w:numFmt w:val="decimal"/>
        <w:pStyle w:val="4"/>
        <w:lvlText w:val="%2."/>
        <w:lvlJc w:val="left"/>
        <w:pPr>
          <w:tabs>
            <w:tab w:val="left" w:pos="0"/>
          </w:tabs>
          <w:ind w:left="1226" w:hanging="360"/>
        </w:pPr>
      </w:lvl>
    </w:lvlOverride>
    <w:lvlOverride w:ilvl="2">
      <w:startOverride w:val="1"/>
      <w:lvl w:ilvl="2" w:tentative="1">
        <w:start w:val="1"/>
        <w:numFmt w:val="decimal"/>
        <w:lvlText w:val="%3."/>
        <w:lvlJc w:val="left"/>
        <w:pPr>
          <w:tabs>
            <w:tab w:val="left" w:pos="0"/>
          </w:tabs>
          <w:ind w:left="1946" w:hanging="360"/>
        </w:pPr>
      </w:lvl>
    </w:lvlOverride>
    <w:lvlOverride w:ilvl="3">
      <w:startOverride w:val="1"/>
      <w:lvl w:ilvl="3" w:tentative="1">
        <w:start w:val="1"/>
        <w:numFmt w:val="decimal"/>
        <w:lvlText w:val="%4."/>
        <w:lvlJc w:val="left"/>
        <w:pPr>
          <w:tabs>
            <w:tab w:val="left" w:pos="0"/>
          </w:tabs>
          <w:ind w:left="2666" w:hanging="360"/>
        </w:pPr>
      </w:lvl>
    </w:lvlOverride>
    <w:lvlOverride w:ilvl="4">
      <w:startOverride w:val="1"/>
      <w:lvl w:ilvl="4" w:tentative="1">
        <w:start w:val="1"/>
        <w:numFmt w:val="decimal"/>
        <w:lvlText w:val="%5."/>
        <w:lvlJc w:val="left"/>
        <w:pPr>
          <w:tabs>
            <w:tab w:val="left" w:pos="0"/>
          </w:tabs>
          <w:ind w:left="3386" w:hanging="360"/>
        </w:pPr>
      </w:lvl>
    </w:lvlOverride>
    <w:lvlOverride w:ilvl="5">
      <w:startOverride w:val="1"/>
      <w:lvl w:ilvl="5" w:tentative="1">
        <w:start w:val="1"/>
        <w:numFmt w:val="decimal"/>
        <w:lvlText w:val="%6."/>
        <w:lvlJc w:val="left"/>
        <w:pPr>
          <w:tabs>
            <w:tab w:val="left" w:pos="0"/>
          </w:tabs>
          <w:ind w:left="4106" w:hanging="360"/>
        </w:pPr>
      </w:lvl>
    </w:lvlOverride>
    <w:lvlOverride w:ilvl="6">
      <w:startOverride w:val="1"/>
      <w:lvl w:ilvl="6" w:tentative="1">
        <w:start w:val="1"/>
        <w:numFmt w:val="decimal"/>
        <w:lvlText w:val="%7."/>
        <w:lvlJc w:val="left"/>
        <w:pPr>
          <w:tabs>
            <w:tab w:val="left" w:pos="0"/>
          </w:tabs>
          <w:ind w:left="4826" w:hanging="360"/>
        </w:pPr>
      </w:lvl>
    </w:lvlOverride>
    <w:lvlOverride w:ilvl="7">
      <w:startOverride w:val="1"/>
      <w:lvl w:ilvl="7" w:tentative="1">
        <w:start w:val="1"/>
        <w:numFmt w:val="decimal"/>
        <w:lvlText w:val="%8."/>
        <w:lvlJc w:val="left"/>
        <w:pPr>
          <w:tabs>
            <w:tab w:val="left" w:pos="0"/>
          </w:tabs>
          <w:ind w:left="5546" w:hanging="360"/>
        </w:pPr>
      </w:lvl>
    </w:lvlOverride>
    <w:lvlOverride w:ilvl="8">
      <w:startOverride w:val="1"/>
      <w:lvl w:ilvl="8" w:tentative="1">
        <w:start w:val="1"/>
        <w:numFmt w:val="decimal"/>
        <w:lvlText w:val="%9."/>
        <w:lvlJc w:val="left"/>
        <w:pPr>
          <w:tabs>
            <w:tab w:val="left" w:pos="0"/>
          </w:tabs>
          <w:ind w:left="6266"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5"/>
  </w:compat>
  <w:docVars>
    <w:docVar w:name="commondata" w:val="eyJoZGlkIjoiYjYwZmE2ZjY2MDJmODYzNjI2YmJlYjZhOThhNGY1MzcifQ=="/>
  </w:docVars>
  <w:rsids>
    <w:rsidRoot w:val="00000000"/>
    <w:rsid w:val="02387EBC"/>
    <w:rsid w:val="07C861E6"/>
    <w:rsid w:val="15821EC8"/>
    <w:rsid w:val="37C729B1"/>
    <w:rsid w:val="42014B1A"/>
    <w:rsid w:val="55D412F5"/>
    <w:rsid w:val="65780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numPr>
        <w:ilvl w:val="1"/>
        <w:numId w:val="1"/>
      </w:numPr>
      <w:tabs>
        <w:tab w:val="left" w:pos="576"/>
      </w:tabs>
      <w:spacing w:before="240" w:after="240" w:line="520" w:lineRule="atLeast"/>
      <w:ind w:left="840" w:hanging="420"/>
      <w:outlineLvl w:val="1"/>
    </w:pPr>
    <w:rPr>
      <w:rFonts w:ascii="Arial" w:hAnsi="Arial" w:eastAsia="黑体" w:cs="Times New Roman"/>
      <w:sz w:val="30"/>
      <w:szCs w:val="30"/>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FZHTK" w:hAnsi="FZHTK" w:eastAsia="FZHTK" w:cs="FZHTK"/>
      <w:color w:val="000000"/>
      <w:sz w:val="24"/>
      <w:szCs w:val="24"/>
      <w:lang w:val="en-US" w:eastAsia="zh-CN" w:bidi="ar-SA"/>
    </w:rPr>
  </w:style>
  <w:style w:type="paragraph" w:styleId="6">
    <w:name w:val="Normal Indent"/>
    <w:basedOn w:val="1"/>
    <w:qFormat/>
    <w:uiPriority w:val="0"/>
    <w:pPr>
      <w:ind w:firstLine="200" w:firstLineChars="200"/>
    </w:pPr>
  </w:style>
  <w:style w:type="paragraph" w:styleId="7">
    <w:name w:val="Body Text"/>
    <w:basedOn w:val="1"/>
    <w:next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Subtitle"/>
    <w:basedOn w:val="1"/>
    <w:next w:val="1"/>
    <w:qFormat/>
    <w:uiPriority w:val="0"/>
    <w:rPr>
      <w:rFonts w:ascii="宋体"/>
      <w:sz w:val="28"/>
      <w:szCs w:val="20"/>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Times New Roman"/>
      <w:kern w:val="0"/>
      <w:sz w:val="24"/>
      <w:szCs w:val="24"/>
    </w:rPr>
  </w:style>
  <w:style w:type="paragraph" w:styleId="15">
    <w:name w:val="List Paragraph"/>
    <w:basedOn w:val="1"/>
    <w:qFormat/>
    <w:uiPriority w:val="0"/>
    <w:pPr>
      <w:ind w:firstLine="200" w:firstLineChars="200"/>
    </w:pPr>
  </w:style>
  <w:style w:type="paragraph" w:customStyle="1" w:styleId="16">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7">
    <w:name w:val="Table Paragraph"/>
    <w:basedOn w:val="1"/>
    <w:qFormat/>
    <w:uiPriority w:val="0"/>
    <w:pPr>
      <w:spacing w:line="560" w:lineRule="exact"/>
    </w:pPr>
    <w:rPr>
      <w:rFonts w:ascii="宋体" w:cs="宋体"/>
      <w:sz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25</Pages>
  <Words>6676</Words>
  <Characters>6939</Characters>
  <Lines>609</Lines>
  <Paragraphs>313</Paragraphs>
  <TotalTime>20</TotalTime>
  <ScaleCrop>false</ScaleCrop>
  <LinksUpToDate>false</LinksUpToDate>
  <CharactersWithSpaces>7553</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2023-11-23T08:00:00Z</dcterms:created>
  <dc:creator>韩明达</dc:creator>
  <cp:lastModifiedBy>尹梅</cp:lastModifiedBy>
  <cp:lastPrinted>2023-11-20T08:36:00Z</cp:lastPrinted>
  <dcterms:modified xsi:type="dcterms:W3CDTF">2023-12-15T02:58:39Z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0104411477E846C7933DC3159F77A8B3_12</vt:lpwstr>
  </property>
</Properties>
</file>