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default" w:ascii="Times New Roman" w:hAnsi="Times New Roman" w:eastAsia="方正小标宋简体" w:cs="Times New Roman"/>
          <w:sz w:val="52"/>
          <w:szCs w:val="52"/>
        </w:rPr>
      </w:pPr>
      <w:bookmarkStart w:id="1" w:name="_Toc15377425"/>
      <w:bookmarkStart w:id="2" w:name="_Toc15377193"/>
      <w:bookmarkStart w:id="3" w:name="_Toc15396475"/>
      <w:bookmarkStart w:id="4" w:name="_Toc15396597"/>
      <w:bookmarkStart w:id="5" w:name="_Toc15378441"/>
      <w:r>
        <w:rPr>
          <w:rFonts w:hint="default" w:ascii="Times New Roman" w:hAnsi="Times New Roman" w:eastAsia="方正小标宋简体" w:cs="Times New Roman"/>
          <w:sz w:val="52"/>
          <w:szCs w:val="52"/>
        </w:rPr>
        <w:t>2022年度</w:t>
      </w:r>
      <w:bookmarkEnd w:id="1"/>
      <w:bookmarkEnd w:id="2"/>
      <w:bookmarkEnd w:id="3"/>
      <w:bookmarkEnd w:id="4"/>
      <w:bookmarkEnd w:id="5"/>
    </w:p>
    <w:bookmarkEnd w:id="0"/>
    <w:p>
      <w:pPr>
        <w:adjustRightInd w:val="0"/>
        <w:snapToGrid w:val="0"/>
        <w:spacing w:line="360" w:lineRule="auto"/>
        <w:jc w:val="center"/>
        <w:outlineLvl w:val="0"/>
        <w:rPr>
          <w:rFonts w:hint="default" w:ascii="Times New Roman" w:hAnsi="Times New Roman" w:eastAsia="方正小标宋简体" w:cs="Times New Roman"/>
          <w:sz w:val="52"/>
          <w:szCs w:val="52"/>
          <w:lang w:val="en-US" w:eastAsia="zh-CN"/>
        </w:rPr>
      </w:pPr>
      <w:bookmarkStart w:id="6" w:name="_Toc15396598"/>
      <w:bookmarkStart w:id="7" w:name="_Toc15377194"/>
      <w:bookmarkStart w:id="8" w:name="_Toc15396476"/>
      <w:bookmarkStart w:id="9" w:name="_Toc15377426"/>
      <w:bookmarkStart w:id="10" w:name="_Toc15378442"/>
      <w:bookmarkStart w:id="11" w:name="_Toc15306268"/>
      <w:r>
        <w:rPr>
          <w:rFonts w:hint="default" w:ascii="Times New Roman" w:hAnsi="Times New Roman" w:eastAsia="方正小标宋简体" w:cs="Times New Roman"/>
          <w:sz w:val="52"/>
          <w:szCs w:val="52"/>
          <w:lang w:val="en-US" w:eastAsia="zh-CN"/>
        </w:rPr>
        <w:t>盐边县红宝苗族彝族乡卫生院</w:t>
      </w:r>
    </w:p>
    <w:p>
      <w:pPr>
        <w:adjustRightInd w:val="0"/>
        <w:snapToGrid w:val="0"/>
        <w:spacing w:line="360" w:lineRule="auto"/>
        <w:jc w:val="center"/>
        <w:outlineLvl w:val="0"/>
        <w:rPr>
          <w:rFonts w:hint="eastAsia" w:eastAsia="方正小标宋简体" w:cs="Times New Roman"/>
          <w:sz w:val="52"/>
          <w:szCs w:val="52"/>
          <w:lang w:val="en-US" w:eastAsia="zh-CN"/>
        </w:rPr>
      </w:pPr>
      <w:r>
        <w:rPr>
          <w:rFonts w:hint="default" w:ascii="Times New Roman" w:hAnsi="Times New Roman" w:eastAsia="方正小标宋简体" w:cs="Times New Roman"/>
          <w:sz w:val="52"/>
          <w:szCs w:val="52"/>
        </w:rPr>
        <w:t>单位决算</w:t>
      </w:r>
      <w:bookmarkEnd w:id="6"/>
      <w:bookmarkEnd w:id="7"/>
      <w:bookmarkEnd w:id="8"/>
      <w:bookmarkEnd w:id="9"/>
      <w:bookmarkEnd w:id="10"/>
      <w:bookmarkEnd w:id="11"/>
    </w:p>
    <w:p>
      <w:pPr>
        <w:pStyle w:val="2"/>
        <w:rPr>
          <w:rFonts w:hint="default"/>
          <w:lang w:val="en-US" w:eastAsia="zh-CN"/>
        </w:rPr>
      </w:pPr>
      <w:r>
        <w:rPr>
          <w:rFonts w:hint="eastAsia" w:eastAsia="方正小标宋简体" w:cs="Times New Roman"/>
          <w:sz w:val="52"/>
          <w:szCs w:val="52"/>
          <w:lang w:val="en-US" w:eastAsia="zh-CN"/>
        </w:rPr>
        <w:t xml:space="preserve">            </w:t>
      </w:r>
    </w:p>
    <w:p>
      <w:pPr>
        <w:widowControl/>
        <w:jc w:val="center"/>
        <w:rPr>
          <w:rFonts w:hint="eastAsia" w:ascii="黑体" w:hAnsi="黑体" w:eastAsia="黑体"/>
          <w:color w:val="000000"/>
          <w:sz w:val="48"/>
          <w:szCs w:val="48"/>
        </w:rPr>
      </w:pPr>
      <w:r>
        <w:rPr>
          <w:rFonts w:ascii="方正小标宋简体" w:hAnsi="宋体" w:eastAsia="方正小标宋简体"/>
          <w:sz w:val="36"/>
          <w:szCs w:val="36"/>
        </w:rPr>
        <w:br w:type="page"/>
      </w:r>
      <w:bookmarkStart w:id="12" w:name="_Toc15396599"/>
      <w:bookmarkStart w:id="13" w:name="_Toc15377196"/>
      <w:r>
        <w:rPr>
          <w:rFonts w:hint="eastAsia" w:ascii="黑体" w:hAnsi="黑体" w:eastAsia="黑体"/>
          <w:color w:val="000000"/>
          <w:sz w:val="48"/>
          <w:szCs w:val="48"/>
        </w:rPr>
        <w:t>目录</w:t>
      </w:r>
    </w:p>
    <w:p>
      <w:pPr>
        <w:pStyle w:val="2"/>
      </w:pPr>
    </w:p>
    <w:p>
      <w:pPr>
        <w:pStyle w:val="11"/>
        <w:ind w:right="-218" w:rightChars="-104" w:firstLine="2240" w:firstLineChars="7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pPr>
        <w:rPr>
          <w:rFonts w:hint="default"/>
        </w:rPr>
      </w:pPr>
    </w:p>
    <w:p>
      <w:pPr>
        <w:tabs>
          <w:tab w:val="left" w:pos="8400"/>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第一部分单位概况</w:t>
      </w:r>
      <w:r>
        <w:rPr>
          <w:rFonts w:hint="eastAsia" w:eastAsia="仿宋_GB2312"/>
          <w:sz w:val="28"/>
          <w:szCs w:val="28"/>
          <w:lang w:val="en-US" w:eastAsia="zh-CN"/>
        </w:rPr>
        <w:t>................................................................................</w:t>
      </w:r>
      <w:r>
        <w:rPr>
          <w:rFonts w:hint="eastAsia" w:eastAsia="仿宋_GB2312"/>
          <w:b w:val="0"/>
          <w:bCs w:val="0"/>
          <w:sz w:val="32"/>
          <w:szCs w:val="32"/>
          <w:lang w:val="en-US" w:eastAsia="zh-CN"/>
        </w:rPr>
        <w:t>1</w:t>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 主要职责</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_Toc29815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 xml:space="preserve">二、 </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pPr>
        <w:pStyle w:val="11"/>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_Toc18061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第二部分 2022年度单位决算情况说明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_Toc6490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 xml:space="preserve">一、 </w:t>
      </w:r>
      <w:r>
        <w:rPr>
          <w:rFonts w:hint="default" w:ascii="Times New Roman" w:hAnsi="Times New Roman" w:eastAsia="仿宋_GB2312" w:cs="Times New Roman"/>
          <w:sz w:val="32"/>
          <w:szCs w:val="32"/>
        </w:rPr>
        <w:t>收</w:t>
      </w:r>
      <w:r>
        <w:rPr>
          <w:rFonts w:hint="default" w:ascii="Times New Roman" w:hAnsi="Times New Roman" w:eastAsia="仿宋_GB2312" w:cs="Times New Roman"/>
          <w:bCs/>
          <w:sz w:val="32"/>
          <w:szCs w:val="32"/>
        </w:rPr>
        <w:t>入支出决算总体情况说明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 收入决算情况说明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_Toc4157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 支出决算情况说明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4</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7</w:t>
      </w:r>
    </w:p>
    <w:p>
      <w:pPr>
        <w:pStyle w:val="12"/>
        <w:tabs>
          <w:tab w:val="right" w:leader="dot" w:pos="8306"/>
          <w:tab w:val="clear" w:pos="8296"/>
        </w:tabs>
        <w:ind w:right="-218" w:rightChars="-1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_Toc29779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_Toc10932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8</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_Toc5995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 国有资本经营预算支出决算情况说明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_Toc12051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 其他重要事项的情况说明</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fldChar w:fldCharType="end"/>
      </w:r>
    </w:p>
    <w:p>
      <w:pPr>
        <w:pStyle w:val="11"/>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_Toc20138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第三部分 名词解释</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0</w:t>
      </w:r>
    </w:p>
    <w:p>
      <w:pPr>
        <w:pStyle w:val="11"/>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_Toc18807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第四部分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13</w:t>
      </w:r>
    </w:p>
    <w:p>
      <w:pPr>
        <w:pStyle w:val="11"/>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14</w:t>
      </w:r>
    </w:p>
    <w:p>
      <w:pPr>
        <w:pStyle w:val="12"/>
        <w:tabs>
          <w:tab w:val="right" w:leader="dot" w:pos="8306"/>
          <w:tab w:val="clear" w:pos="8296"/>
        </w:tabs>
        <w:ind w:right="-218" w:rightChars="-104"/>
        <w:rPr>
          <w:rFonts w:hint="eastAsia"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_Toc14349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bCs/>
          <w:sz w:val="32"/>
          <w:szCs w:val="32"/>
        </w:rPr>
        <w:t>收入支出决算总表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收入决算表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6</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_Toc24186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三、</w:t>
      </w:r>
      <w:r>
        <w:rPr>
          <w:rFonts w:hint="default" w:ascii="Times New Roman" w:hAnsi="Times New Roman" w:eastAsia="仿宋_GB2312" w:cs="Times New Roman"/>
          <w:bCs/>
          <w:sz w:val="32"/>
          <w:szCs w:val="32"/>
        </w:rPr>
        <w:t>支出决算表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7</w:t>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四、</w:t>
      </w:r>
      <w:r>
        <w:rPr>
          <w:rFonts w:hint="default" w:ascii="Times New Roman" w:hAnsi="Times New Roman" w:eastAsia="仿宋_GB2312" w:cs="Times New Roman"/>
          <w:bCs/>
          <w:sz w:val="32"/>
          <w:szCs w:val="32"/>
        </w:rPr>
        <w:t>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18</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五、</w:t>
      </w:r>
      <w:r>
        <w:rPr>
          <w:rFonts w:hint="default" w:ascii="Times New Roman" w:hAnsi="Times New Roman" w:eastAsia="仿宋_GB2312" w:cs="Times New Roman"/>
          <w:bCs/>
          <w:sz w:val="32"/>
          <w:szCs w:val="32"/>
        </w:rPr>
        <w:t>财政拨款支出决算明细表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9</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_Toc13960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六、</w:t>
      </w:r>
      <w:r>
        <w:rPr>
          <w:rFonts w:hint="default" w:ascii="Times New Roman" w:hAnsi="Times New Roman" w:eastAsia="仿宋_GB2312" w:cs="Times New Roman"/>
          <w:bCs/>
          <w:sz w:val="32"/>
          <w:szCs w:val="32"/>
        </w:rPr>
        <w:t>一般公共预算财政拨款支出决算表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七、</w:t>
      </w:r>
      <w:r>
        <w:rPr>
          <w:rFonts w:hint="default" w:ascii="Times New Roman" w:hAnsi="Times New Roman" w:eastAsia="仿宋_GB2312" w:cs="Times New Roman"/>
          <w:bCs/>
          <w:sz w:val="32"/>
          <w:szCs w:val="32"/>
        </w:rPr>
        <w:t>一般公共预算财政拨款支出决算明细表</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4</w:t>
      </w:r>
    </w:p>
    <w:p>
      <w:pPr>
        <w:pStyle w:val="12"/>
        <w:tabs>
          <w:tab w:val="right" w:leader="dot" w:pos="8306"/>
          <w:tab w:val="clear" w:pos="8296"/>
        </w:tabs>
        <w:ind w:right="-218" w:rightChars="-1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八、</w:t>
      </w:r>
      <w:r>
        <w:rPr>
          <w:rFonts w:hint="default" w:ascii="Times New Roman" w:hAnsi="Times New Roman" w:eastAsia="仿宋_GB2312" w:cs="Times New Roman"/>
          <w:bCs/>
          <w:sz w:val="32"/>
          <w:szCs w:val="32"/>
        </w:rPr>
        <w:t>一般公共预算财政拨款基本支出决算</w:t>
      </w:r>
      <w:r>
        <w:rPr>
          <w:rFonts w:hint="eastAsia" w:ascii="Times New Roman" w:hAnsi="Times New Roman" w:eastAsia="仿宋_GB2312" w:cs="Times New Roman"/>
          <w:bCs/>
          <w:sz w:val="32"/>
          <w:szCs w:val="32"/>
          <w:lang w:val="en-US" w:eastAsia="zh-CN"/>
        </w:rPr>
        <w:t>明细</w:t>
      </w:r>
      <w:r>
        <w:rPr>
          <w:rFonts w:hint="default" w:ascii="Times New Roman" w:hAnsi="Times New Roman" w:eastAsia="仿宋_GB2312" w:cs="Times New Roman"/>
          <w:bCs/>
          <w:sz w:val="32"/>
          <w:szCs w:val="32"/>
        </w:rPr>
        <w:t>表</w:t>
      </w:r>
      <w:r>
        <w:rPr>
          <w:rFonts w:hint="default" w:ascii="Times New Roman" w:hAnsi="Times New Roman" w:eastAsia="仿宋_GB2312" w:cs="Times New Roman"/>
          <w:sz w:val="32"/>
          <w:szCs w:val="32"/>
        </w:rPr>
        <w:tab/>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2</w:t>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九、</w:t>
      </w:r>
      <w:r>
        <w:rPr>
          <w:rFonts w:hint="default" w:ascii="Times New Roman" w:hAnsi="Times New Roman" w:eastAsia="仿宋_GB2312" w:cs="Times New Roman"/>
          <w:bCs/>
          <w:sz w:val="32"/>
          <w:szCs w:val="32"/>
        </w:rPr>
        <w:t>一般公共预算财政拨款项目支出决算表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33</w:t>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_Toc10415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w:t>
      </w:r>
      <w:r>
        <w:rPr>
          <w:rFonts w:hint="default" w:ascii="Times New Roman" w:hAnsi="Times New Roman" w:eastAsia="仿宋_GB2312" w:cs="Times New Roman"/>
          <w:bCs/>
          <w:sz w:val="32"/>
          <w:szCs w:val="32"/>
        </w:rPr>
        <w:t>政府性基金预算财政拨款收入支出决算</w:t>
      </w:r>
      <w:r>
        <w:rPr>
          <w:rFonts w:hint="eastAsia" w:ascii="Times New Roman" w:hAnsi="Times New Roman" w:eastAsia="仿宋_GB2312" w:cs="Times New Roman"/>
          <w:bCs/>
          <w:sz w:val="32"/>
          <w:szCs w:val="32"/>
          <w:lang w:eastAsia="zh-CN"/>
        </w:rPr>
        <w:t>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34</w:t>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_Toc26668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十一</w:t>
      </w:r>
      <w:r>
        <w:rPr>
          <w:rFonts w:hint="default" w:ascii="Times New Roman" w:hAnsi="Times New Roman" w:eastAsia="仿宋_GB2312" w:cs="Times New Roman"/>
          <w:bCs/>
          <w:sz w:val="32"/>
          <w:szCs w:val="32"/>
        </w:rPr>
        <w:t>、国有资本经营预算财政拨款收入支出决算表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35</w:t>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十二、国有资本经营预算财政拨款支出决算表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36</w:t>
      </w:r>
    </w:p>
    <w:p>
      <w:pPr>
        <w:pStyle w:val="12"/>
        <w:tabs>
          <w:tab w:val="right" w:leader="dot" w:pos="8306"/>
          <w:tab w:val="clear" w:pos="8296"/>
        </w:tabs>
        <w:ind w:right="-218" w:rightChars="-104"/>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_Toc22381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十三、财政拨款“三公”经费支出决算表</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37</w:t>
      </w:r>
    </w:p>
    <w:p>
      <w:pPr>
        <w:ind w:right="-218" w:rightChars="-104"/>
      </w:pPr>
      <w:r>
        <w:rPr>
          <w:rFonts w:hint="default" w:ascii="Times New Roman" w:hAnsi="Times New Roman" w:eastAsia="仿宋_GB2312" w:cs="Times New Roman"/>
          <w:sz w:val="32"/>
          <w:szCs w:val="32"/>
        </w:rPr>
        <w:fldChar w:fldCharType="end"/>
      </w:r>
    </w:p>
    <w:p>
      <w:pPr>
        <w:pStyle w:val="3"/>
        <w:ind w:firstLine="2200" w:firstLineChars="500"/>
        <w:jc w:val="both"/>
        <w:rPr>
          <w:rFonts w:hint="eastAsia" w:ascii="黑体" w:hAnsi="黑体" w:eastAsia="黑体"/>
          <w:b w:val="0"/>
        </w:rPr>
        <w:sectPr>
          <w:footerReference r:id="rId4" w:type="first"/>
          <w:headerReference r:id="rId3" w:type="default"/>
          <w:pgSz w:w="11906" w:h="16838"/>
          <w:pgMar w:top="1440" w:right="1926" w:bottom="1440" w:left="1800" w:header="851" w:footer="992" w:gutter="0"/>
          <w:pgNumType w:start="1"/>
          <w:cols w:space="720" w:num="1"/>
          <w:docGrid w:type="lines" w:linePitch="312" w:charSpace="0"/>
        </w:sectPr>
      </w:pPr>
    </w:p>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 w:val="0"/>
          <w:bCs w:val="0"/>
          <w:kern w:val="44"/>
          <w:sz w:val="32"/>
          <w:szCs w:val="32"/>
        </w:rPr>
      </w:pPr>
    </w:p>
    <w:p>
      <w:pPr>
        <w:pStyle w:val="3"/>
        <w:pageBreakBefore w:val="0"/>
        <w:kinsoku/>
        <w:wordWrap/>
        <w:overflowPunct/>
        <w:topLinePunct w:val="0"/>
        <w:bidi w:val="0"/>
        <w:spacing w:line="560" w:lineRule="exact"/>
        <w:ind w:firstLine="880" w:firstLineChars="200"/>
        <w:jc w:val="center"/>
        <w:textAlignment w:val="auto"/>
        <w:rPr>
          <w:rStyle w:val="26"/>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val="0"/>
          <w:sz w:val="44"/>
          <w:szCs w:val="44"/>
        </w:rPr>
        <w:t>第一部分 单位</w:t>
      </w:r>
      <w:r>
        <w:rPr>
          <w:rStyle w:val="26"/>
          <w:rFonts w:hint="eastAsia" w:ascii="方正小标宋简体" w:hAnsi="方正小标宋简体" w:eastAsia="方正小标宋简体" w:cs="方正小标宋简体"/>
          <w:b w:val="0"/>
          <w:bCs w:val="0"/>
          <w:sz w:val="44"/>
          <w:szCs w:val="44"/>
        </w:rPr>
        <w:t>概况</w:t>
      </w:r>
      <w:bookmarkEnd w:id="12"/>
      <w:bookmarkEnd w:id="13"/>
    </w:p>
    <w:p>
      <w:pPr>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sz w:val="32"/>
          <w:szCs w:val="32"/>
        </w:rPr>
      </w:pP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Style w:val="27"/>
          <w:rFonts w:hint="eastAsia" w:ascii="黑体" w:hAnsi="黑体" w:eastAsia="黑体" w:cs="黑体"/>
          <w:b w:val="0"/>
          <w:bCs w:val="0"/>
          <w:sz w:val="32"/>
          <w:szCs w:val="32"/>
          <w:lang w:eastAsia="zh-CN"/>
        </w:rPr>
      </w:pPr>
      <w:bookmarkStart w:id="14" w:name="_Toc52180066"/>
      <w:bookmarkStart w:id="15" w:name="_Toc15377197"/>
      <w:bookmarkStart w:id="16" w:name="_Toc15396600"/>
      <w:r>
        <w:rPr>
          <w:rFonts w:hint="eastAsia" w:ascii="黑体" w:hAnsi="黑体" w:eastAsia="黑体" w:cs="黑体"/>
          <w:b w:val="0"/>
          <w:color w:val="000000"/>
          <w:sz w:val="32"/>
          <w:szCs w:val="32"/>
          <w:lang w:eastAsia="zh-CN"/>
        </w:rPr>
        <w:t>一、</w:t>
      </w:r>
      <w:bookmarkEnd w:id="14"/>
      <w:bookmarkStart w:id="17" w:name="_Toc15377198"/>
      <w:bookmarkStart w:id="18" w:name="_Toc15378445"/>
      <w:bookmarkStart w:id="19" w:name="_Toc52180067"/>
      <w:r>
        <w:rPr>
          <w:rFonts w:hint="eastAsia" w:ascii="黑体" w:hAnsi="黑体" w:eastAsia="黑体" w:cs="黑体"/>
          <w:b w:val="0"/>
          <w:color w:val="000000"/>
          <w:sz w:val="32"/>
          <w:szCs w:val="32"/>
          <w:lang w:eastAsia="zh-CN"/>
        </w:rPr>
        <w:t>主要职责</w:t>
      </w:r>
    </w:p>
    <w:bookmarkEnd w:id="17"/>
    <w:bookmarkEnd w:id="18"/>
    <w:bookmarkEnd w:id="19"/>
    <w:p>
      <w:pPr>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我辖区常住居民</w:t>
      </w:r>
      <w:r>
        <w:rPr>
          <w:rFonts w:hint="eastAsia" w:ascii="仿宋_GB2312" w:hAnsi="仿宋_GB2312" w:eastAsia="仿宋_GB2312" w:cs="仿宋_GB2312"/>
          <w:sz w:val="32"/>
          <w:szCs w:val="32"/>
          <w:lang w:val="en-US" w:eastAsia="zh-CN"/>
        </w:rPr>
        <w:t>4286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Style w:val="27"/>
          <w:rFonts w:hint="eastAsia" w:ascii="仿宋_GB2312" w:hAnsi="仿宋_GB2312" w:eastAsia="仿宋_GB2312" w:cs="仿宋_GB2312"/>
          <w:b w:val="0"/>
          <w:bCs w:val="0"/>
          <w:sz w:val="32"/>
          <w:szCs w:val="32"/>
          <w:lang w:val="en-US" w:eastAsia="zh-CN"/>
        </w:rPr>
        <w:t>我院</w:t>
      </w:r>
      <w:r>
        <w:rPr>
          <w:rFonts w:hint="eastAsia" w:ascii="仿宋_GB2312" w:hAnsi="仿宋_GB2312" w:eastAsia="仿宋_GB2312" w:cs="仿宋_GB2312"/>
          <w:kern w:val="2"/>
          <w:sz w:val="32"/>
          <w:szCs w:val="32"/>
          <w:lang w:val="en-US" w:bidi="ar-SA"/>
        </w:rPr>
        <w:t>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做生健康检查项目等任务;负责对村医生及计生服务人员提供业务培训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根据国家确定的基本公共卫生服务项目，通过基层医疗卫生机构，免费向全镇居民提供1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4大</w:t>
      </w:r>
      <w:r>
        <w:rPr>
          <w:rFonts w:hint="eastAsia" w:ascii="仿宋_GB2312" w:hAnsi="仿宋_GB2312" w:eastAsia="仿宋_GB2312" w:cs="仿宋_GB2312"/>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48小项</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基本公共卫生服务。</w:t>
      </w:r>
    </w:p>
    <w:p>
      <w:pPr>
        <w:pStyle w:val="4"/>
        <w:pageBreakBefore w:val="0"/>
        <w:numPr>
          <w:ilvl w:val="0"/>
          <w:numId w:val="0"/>
        </w:numPr>
        <w:kinsoku/>
        <w:wordWrap/>
        <w:overflowPunct/>
        <w:topLinePunct w:val="0"/>
        <w:bidi w:val="0"/>
        <w:spacing w:line="560" w:lineRule="exact"/>
        <w:ind w:leftChars="200"/>
        <w:textAlignment w:val="auto"/>
        <w:rPr>
          <w:rFonts w:hint="eastAsia" w:ascii="黑体" w:hAnsi="黑体" w:eastAsia="黑体" w:cs="黑体"/>
          <w:b w:val="0"/>
          <w:sz w:val="32"/>
          <w:szCs w:val="32"/>
        </w:rPr>
      </w:pPr>
      <w:r>
        <w:rPr>
          <w:rFonts w:hint="eastAsia" w:ascii="黑体" w:hAnsi="黑体" w:eastAsia="黑体" w:cs="黑体"/>
          <w:b w:val="0"/>
          <w:sz w:val="32"/>
          <w:szCs w:val="32"/>
          <w:lang w:eastAsia="zh-CN"/>
        </w:rPr>
        <w:t>二、</w:t>
      </w:r>
      <w:r>
        <w:rPr>
          <w:rFonts w:hint="eastAsia" w:ascii="黑体" w:hAnsi="黑体" w:eastAsia="黑体" w:cs="黑体"/>
          <w:b w:val="0"/>
          <w:sz w:val="32"/>
          <w:szCs w:val="32"/>
        </w:rPr>
        <w:t>机构设置</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按照决算管理规定，部门决算编报内容为本单位的全部收支情况。纳入</w:t>
      </w:r>
      <w:r>
        <w:rPr>
          <w:rFonts w:hint="default" w:ascii="Times New Roman" w:hAnsi="Times New Roman" w:eastAsia="仿宋_GB2312" w:cs="Times New Roman"/>
          <w:sz w:val="32"/>
          <w:szCs w:val="32"/>
          <w:lang w:val="en-US" w:eastAsia="zh-CN"/>
        </w:rPr>
        <w:t>2022年度部门决算编报范围的单位是盐边县惠民中心卫生院。内设机构6个，分别为中医科、西医科、护理部、药</w:t>
      </w:r>
      <w:r>
        <w:rPr>
          <w:rFonts w:hint="eastAsia" w:eastAsia="仿宋_GB2312" w:cs="Times New Roman"/>
          <w:sz w:val="32"/>
          <w:szCs w:val="32"/>
          <w:lang w:val="en-US" w:eastAsia="zh-CN"/>
        </w:rPr>
        <w:t>房</w:t>
      </w:r>
      <w:r>
        <w:rPr>
          <w:rFonts w:hint="default" w:ascii="Times New Roman" w:hAnsi="Times New Roman" w:eastAsia="仿宋_GB2312" w:cs="Times New Roman"/>
          <w:sz w:val="32"/>
          <w:szCs w:val="32"/>
          <w:lang w:val="en-US" w:eastAsia="zh-CN"/>
        </w:rPr>
        <w:t>、公共卫生科、综合办公室。</w:t>
      </w:r>
    </w:p>
    <w:p>
      <w:pPr>
        <w:pageBreakBefore w:val="0"/>
        <w:numPr>
          <w:ilvl w:val="0"/>
          <w:numId w:val="0"/>
        </w:numPr>
        <w:kinsoku/>
        <w:wordWrap/>
        <w:overflowPunct/>
        <w:topLinePunct w:val="0"/>
        <w:bidi w:val="0"/>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bookmarkEnd w:id="15"/>
    <w:bookmarkEnd w:id="16"/>
    <w:p>
      <w:pPr>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br w:type="page"/>
      </w:r>
    </w:p>
    <w:p>
      <w:pPr>
        <w:pStyle w:val="3"/>
        <w:pageBreakBefore w:val="0"/>
        <w:widowControl w:val="0"/>
        <w:kinsoku/>
        <w:wordWrap/>
        <w:overflowPunct/>
        <w:topLinePunct w:val="0"/>
        <w:autoSpaceDE/>
        <w:autoSpaceDN/>
        <w:bidi w:val="0"/>
        <w:adjustRightInd/>
        <w:snapToGrid/>
        <w:spacing w:line="560" w:lineRule="exact"/>
        <w:ind w:right="440"/>
        <w:jc w:val="center"/>
        <w:textAlignment w:val="auto"/>
        <w:rPr>
          <w:rStyle w:val="26"/>
          <w:rFonts w:hint="default" w:ascii="Times New Roman" w:hAnsi="Times New Roman" w:eastAsia="方正小标宋简体" w:cs="Times New Roman"/>
          <w:b w:val="0"/>
          <w:bCs/>
          <w:sz w:val="44"/>
          <w:szCs w:val="44"/>
        </w:rPr>
      </w:pPr>
      <w:bookmarkStart w:id="20" w:name="_Toc15377204"/>
      <w:bookmarkStart w:id="21" w:name="_Toc15396602"/>
      <w:r>
        <w:rPr>
          <w:rFonts w:hint="default" w:ascii="Times New Roman" w:hAnsi="Times New Roman" w:eastAsia="方正小标宋简体" w:cs="Times New Roman"/>
          <w:b w:val="0"/>
          <w:sz w:val="44"/>
          <w:szCs w:val="44"/>
        </w:rPr>
        <w:t>第二部分 2022年度</w:t>
      </w:r>
      <w:r>
        <w:rPr>
          <w:rStyle w:val="26"/>
          <w:rFonts w:hint="default" w:ascii="Times New Roman" w:hAnsi="Times New Roman" w:eastAsia="方正小标宋简体" w:cs="Times New Roman"/>
          <w:b w:val="0"/>
          <w:bCs/>
          <w:sz w:val="44"/>
          <w:szCs w:val="44"/>
        </w:rPr>
        <w:t>单位决算情况说明</w:t>
      </w:r>
      <w:bookmarkEnd w:id="20"/>
      <w:bookmarkEnd w:id="21"/>
    </w:p>
    <w:p>
      <w:pPr>
        <w:pStyle w:val="25"/>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7"/>
          <w:rFonts w:hint="eastAsia" w:ascii="黑体" w:hAnsi="黑体" w:eastAsia="黑体" w:cs="黑体"/>
          <w:b w:val="0"/>
          <w:sz w:val="32"/>
          <w:szCs w:val="32"/>
        </w:rPr>
      </w:pPr>
      <w:bookmarkStart w:id="22" w:name="_Toc15396603"/>
      <w:bookmarkStart w:id="23" w:name="_Toc15377205"/>
      <w:r>
        <w:rPr>
          <w:rFonts w:hint="eastAsia" w:ascii="黑体" w:hAnsi="黑体" w:eastAsia="黑体" w:cs="黑体"/>
          <w:sz w:val="32"/>
          <w:szCs w:val="32"/>
        </w:rPr>
        <w:t>收</w:t>
      </w:r>
      <w:r>
        <w:rPr>
          <w:rStyle w:val="27"/>
          <w:rFonts w:hint="eastAsia" w:ascii="黑体" w:hAnsi="黑体" w:eastAsia="黑体" w:cs="黑体"/>
          <w:b w:val="0"/>
          <w:sz w:val="32"/>
          <w:szCs w:val="32"/>
        </w:rPr>
        <w:t>入支出决算总体情况说明</w:t>
      </w:r>
      <w:bookmarkEnd w:id="22"/>
      <w:bookmarkEnd w:id="2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总收入</w:t>
      </w:r>
      <w:r>
        <w:rPr>
          <w:rFonts w:hint="eastAsia" w:eastAsia="仿宋_GB2312" w:cs="Times New Roman"/>
          <w:sz w:val="32"/>
          <w:szCs w:val="32"/>
          <w:lang w:val="en-US" w:eastAsia="zh-CN"/>
        </w:rPr>
        <w:t>171.27</w:t>
      </w:r>
      <w:r>
        <w:rPr>
          <w:rFonts w:hint="default" w:ascii="Times New Roman" w:hAnsi="Times New Roman" w:eastAsia="仿宋_GB2312" w:cs="Times New Roman"/>
          <w:sz w:val="32"/>
          <w:szCs w:val="32"/>
          <w:lang w:val="en-US" w:eastAsia="zh-CN"/>
        </w:rPr>
        <w:t>万元，与2021年</w:t>
      </w:r>
      <w:r>
        <w:rPr>
          <w:rFonts w:hint="eastAsia" w:eastAsia="仿宋_GB2312" w:cs="Times New Roman"/>
          <w:sz w:val="32"/>
          <w:szCs w:val="32"/>
          <w:lang w:val="en-US" w:eastAsia="zh-CN"/>
        </w:rPr>
        <w:t>179.24</w:t>
      </w:r>
      <w:r>
        <w:rPr>
          <w:rFonts w:hint="default" w:ascii="Times New Roman" w:hAnsi="Times New Roman" w:eastAsia="仿宋_GB2312" w:cs="Times New Roman"/>
          <w:sz w:val="32"/>
          <w:szCs w:val="32"/>
          <w:lang w:val="en-US" w:eastAsia="zh-CN"/>
        </w:rPr>
        <w:t>万元相比减少</w:t>
      </w:r>
      <w:r>
        <w:rPr>
          <w:rFonts w:hint="eastAsia" w:eastAsia="仿宋_GB2312" w:cs="Times New Roman"/>
          <w:sz w:val="32"/>
          <w:szCs w:val="32"/>
          <w:lang w:val="en-US" w:eastAsia="zh-CN"/>
        </w:rPr>
        <w:t>7..97</w:t>
      </w:r>
      <w:r>
        <w:rPr>
          <w:rFonts w:hint="default" w:ascii="Times New Roman" w:hAnsi="Times New Roman" w:eastAsia="仿宋_GB2312" w:cs="Times New Roman"/>
          <w:sz w:val="32"/>
          <w:szCs w:val="32"/>
          <w:lang w:val="en-US" w:eastAsia="zh-CN"/>
        </w:rPr>
        <w:t>万元，同比减少</w:t>
      </w:r>
      <w:r>
        <w:rPr>
          <w:rFonts w:hint="eastAsia" w:eastAsia="仿宋_GB2312" w:cs="Times New Roman"/>
          <w:sz w:val="32"/>
          <w:szCs w:val="32"/>
          <w:lang w:val="en-US" w:eastAsia="zh-CN"/>
        </w:rPr>
        <w:t>4.45</w:t>
      </w:r>
      <w:r>
        <w:rPr>
          <w:rFonts w:hint="default" w:ascii="Times New Roman" w:hAnsi="Times New Roman" w:eastAsia="仿宋_GB2312" w:cs="Times New Roman"/>
          <w:sz w:val="32"/>
          <w:szCs w:val="32"/>
          <w:lang w:val="en-US" w:eastAsia="zh-CN"/>
        </w:rPr>
        <w:t>%。2022年度总支出</w:t>
      </w:r>
      <w:r>
        <w:rPr>
          <w:rFonts w:hint="eastAsia" w:eastAsia="仿宋_GB2312" w:cs="Times New Roman"/>
          <w:sz w:val="32"/>
          <w:szCs w:val="32"/>
          <w:lang w:val="en-US" w:eastAsia="zh-CN"/>
        </w:rPr>
        <w:t>171.27</w:t>
      </w:r>
      <w:r>
        <w:rPr>
          <w:rFonts w:hint="default" w:ascii="Times New Roman" w:hAnsi="Times New Roman" w:eastAsia="仿宋_GB2312" w:cs="Times New Roman"/>
          <w:sz w:val="32"/>
          <w:szCs w:val="32"/>
          <w:lang w:val="en-US" w:eastAsia="zh-CN"/>
        </w:rPr>
        <w:t>万元，与2021年</w:t>
      </w:r>
      <w:r>
        <w:rPr>
          <w:rFonts w:hint="eastAsia" w:eastAsia="仿宋_GB2312" w:cs="Times New Roman"/>
          <w:sz w:val="32"/>
          <w:szCs w:val="32"/>
          <w:lang w:val="en-US" w:eastAsia="zh-CN"/>
        </w:rPr>
        <w:t>179.24</w:t>
      </w:r>
      <w:r>
        <w:rPr>
          <w:rFonts w:hint="default" w:ascii="Times New Roman" w:hAnsi="Times New Roman" w:eastAsia="仿宋_GB2312" w:cs="Times New Roman"/>
          <w:sz w:val="32"/>
          <w:szCs w:val="32"/>
          <w:lang w:val="en-US" w:eastAsia="zh-CN"/>
        </w:rPr>
        <w:t>万元相比减少</w:t>
      </w:r>
      <w:r>
        <w:rPr>
          <w:rFonts w:hint="eastAsia" w:eastAsia="仿宋_GB2312" w:cs="Times New Roman"/>
          <w:sz w:val="32"/>
          <w:szCs w:val="32"/>
          <w:lang w:val="en-US" w:eastAsia="zh-CN"/>
        </w:rPr>
        <w:t>7.97</w:t>
      </w:r>
      <w:r>
        <w:rPr>
          <w:rFonts w:hint="default" w:ascii="Times New Roman" w:hAnsi="Times New Roman" w:eastAsia="仿宋_GB2312" w:cs="Times New Roman"/>
          <w:sz w:val="32"/>
          <w:szCs w:val="32"/>
          <w:lang w:val="en-US" w:eastAsia="zh-CN"/>
        </w:rPr>
        <w:t>万元，同比减少</w:t>
      </w:r>
      <w:r>
        <w:rPr>
          <w:rFonts w:hint="eastAsia" w:eastAsia="仿宋_GB2312" w:cs="Times New Roman"/>
          <w:sz w:val="32"/>
          <w:szCs w:val="32"/>
          <w:lang w:val="en-US" w:eastAsia="zh-CN"/>
        </w:rPr>
        <w:t>4.45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本年度收到新冠疫情防控资金在上年基础上减少。</w:t>
      </w:r>
    </w:p>
    <w:p>
      <w:pPr>
        <w:pStyle w:val="2"/>
        <w:rPr>
          <w:rFonts w:ascii="仿宋" w:hAnsi="仿宋" w:eastAsia="仿宋"/>
          <w:sz w:val="32"/>
          <w:szCs w:val="32"/>
        </w:rPr>
      </w:pPr>
      <w:r>
        <w:rPr>
          <w:rFonts w:hint="default" w:ascii="仿宋_GB2312" w:hAnsi="Times New Roman" w:eastAsia="仿宋_GB2312" w:cs="Times New Roman"/>
          <w:kern w:val="0"/>
          <w:sz w:val="30"/>
          <w:szCs w:val="24"/>
          <w:lang w:val="en-US" w:eastAsia="zh-CN" w:bidi="ar-SA"/>
        </w:rPr>
        <w:object>
          <v:shape id="_x0000_i1025" o:spt="75" type="#_x0000_t75" style="height:226.2pt;width:447.55pt;" o:ole="t" filled="f" o:preferrelative="t" stroked="f" coordsize="21600,21600">
            <v:path/>
            <v:fill on="f" focussize="0,0"/>
            <v:stroke on="f"/>
            <v:imagedata r:id="rId10" blacklevel="0f" o:title=""/>
            <o:lock v:ext="edit" aspectratio="t"/>
            <w10:wrap type="none"/>
            <w10:anchorlock/>
          </v:shape>
          <o:OLEObject Type="Embed" ProgID="Excel.Chart.8" ShapeID="_x0000_i1025" DrawAspect="Content" ObjectID="_1468075725" r:id="rId9">
            <o:LockedField>false</o:LockedField>
          </o:OLEObject>
        </w:objec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1"/>
        </w:numPr>
        <w:spacing w:line="600" w:lineRule="exact"/>
        <w:ind w:firstLineChars="0"/>
        <w:outlineLvl w:val="1"/>
        <w:rPr>
          <w:rStyle w:val="27"/>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7"/>
          <w:rFonts w:hint="eastAsia" w:ascii="黑体" w:hAnsi="黑体" w:eastAsia="黑体"/>
          <w:b w:val="0"/>
        </w:rPr>
        <w:t>入决算情况说明</w:t>
      </w:r>
      <w:bookmarkEnd w:id="24"/>
      <w:bookmarkEnd w:id="25"/>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2022年本年收入合计</w:t>
      </w:r>
      <w:r>
        <w:rPr>
          <w:rFonts w:hint="default" w:ascii="Times New Roman" w:hAnsi="Times New Roman" w:eastAsia="仿宋_GB2312" w:cs="Times New Roman"/>
          <w:sz w:val="32"/>
          <w:szCs w:val="32"/>
          <w:lang w:val="en-US" w:eastAsia="zh-CN"/>
        </w:rPr>
        <w:t>168.21</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166.44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98.95</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%；国有资本经营预算财政拨款收入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%；上级补助收入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1.76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%；经营收入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%；附属单位上缴收入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0.01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0.0059</w:t>
      </w:r>
      <w:r>
        <w:rPr>
          <w:rFonts w:hint="default" w:ascii="Times New Roman" w:hAnsi="Times New Roman" w:eastAsia="仿宋_GB2312" w:cs="Times New Roman"/>
          <w:sz w:val="32"/>
          <w:szCs w:val="32"/>
        </w:rPr>
        <w:t>%。</w:t>
      </w:r>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6" o:spt="75" type="#_x0000_t75" style="height:230.7pt;width:423.05pt;" o:ole="t" filled="f" o:preferrelative="t" stroked="f" coordsize="21600,21600">
            <v:path/>
            <v:fill on="f" focussize="0,0"/>
            <v:stroke on="f"/>
            <v:imagedata r:id="rId12" blacklevel="0f" o:title=""/>
            <o:lock v:ext="edit" aspectratio="t"/>
            <w10:wrap type="none"/>
            <w10:anchorlock/>
          </v:shape>
          <o:OLEObject Type="Embed" ProgID="Excel.Chart.8" ShapeID="_x0000_i1026" DrawAspect="Content" ObjectID="_1468075726" r:id="rId11">
            <o:LockedField>false</o:LockedField>
          </o:OLEObject>
        </w:object>
      </w:r>
      <w:r>
        <w:rPr>
          <w:rFonts w:hint="eastAsia" w:ascii="仿宋" w:hAnsi="仿宋" w:eastAsia="仿宋"/>
          <w:sz w:val="32"/>
          <w:szCs w:val="32"/>
        </w:rPr>
        <w:t>（图2：收入决算结构图）（饼状图）</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7"/>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7"/>
          <w:rFonts w:hint="eastAsia" w:ascii="黑体" w:hAnsi="黑体" w:eastAsia="黑体"/>
          <w:b w:val="0"/>
        </w:rPr>
        <w:t>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2022年本年支出合计</w:t>
      </w:r>
      <w:r>
        <w:rPr>
          <w:rFonts w:hint="default" w:ascii="Times New Roman" w:hAnsi="Times New Roman" w:eastAsia="仿宋_GB2312" w:cs="Times New Roman"/>
          <w:sz w:val="32"/>
          <w:szCs w:val="32"/>
          <w:lang w:val="en-US" w:eastAsia="zh-CN"/>
        </w:rPr>
        <w:t>169.50</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115.89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68.37</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53.61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31.63</w:t>
      </w:r>
      <w:r>
        <w:rPr>
          <w:rFonts w:hint="default" w:ascii="Times New Roman" w:hAnsi="Times New Roman" w:eastAsia="仿宋_GB2312" w:cs="Times New Roman"/>
          <w:sz w:val="32"/>
          <w:szCs w:val="32"/>
        </w:rPr>
        <w:t>%；上缴上级支出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%；经营支出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%；对附属单位补助支出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Style w:val="2"/>
      </w:pPr>
      <w:r>
        <w:rPr>
          <w:rFonts w:hint="eastAsia" w:ascii="仿宋" w:hAnsi="仿宋" w:eastAsia="仿宋" w:cs="Times New Roman"/>
          <w:kern w:val="0"/>
          <w:sz w:val="32"/>
          <w:szCs w:val="32"/>
          <w:shd w:val="pct10" w:color="auto" w:fill="FFFFFF"/>
          <w:lang w:val="en-US" w:eastAsia="zh-CN" w:bidi="ar-SA"/>
        </w:rPr>
        <w:object>
          <v:shape id="_x0000_i1027" o:spt="75" type="#_x0000_t75" style="height:236.05pt;width:414.3pt;" o:ole="t" filled="f" o:preferrelative="t" stroked="f" coordsize="21600,21600">
            <v:path/>
            <v:fill on="f" focussize="0,0"/>
            <v:stroke on="f"/>
            <v:imagedata r:id="rId14" blacklevel="0f" o:title=""/>
            <o:lock v:ext="edit" aspectratio="t"/>
            <w10:wrap type="none"/>
            <w10:anchorlock/>
          </v:shape>
          <o:OLEObject Type="Embed" ProgID="Excel.Chart.8" ShapeID="_x0000_i1027" DrawAspect="Content" ObjectID="_1468075727" r:id="rId13">
            <o:LockedField>false</o:LockedField>
          </o:OLEObject>
        </w:objec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7"/>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8"/>
      <w:bookmarkEnd w:id="29"/>
    </w:p>
    <w:p>
      <w:pPr>
        <w:spacing w:line="600" w:lineRule="exact"/>
        <w:ind w:firstLine="640"/>
        <w:rPr>
          <w:rFonts w:hint="eastAsia" w:ascii="仿宋" w:hAnsi="仿宋" w:eastAsia="仿宋"/>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年财政拨款收</w:t>
      </w:r>
      <w:r>
        <w:rPr>
          <w:rFonts w:hint="default" w:ascii="Times New Roman" w:hAnsi="Times New Roman" w:eastAsia="仿宋_GB2312" w:cs="Times New Roman"/>
          <w:sz w:val="32"/>
          <w:szCs w:val="32"/>
          <w:lang w:val="en-US" w:eastAsia="zh-CN"/>
        </w:rPr>
        <w:t>入总计166.44万元，与2021年150.47万元增加15.97万元，增长10.61%。2022年财政拨款支出总计166.44万元，与2021年157.94万元增加8.5万元，增长5.38%。</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本年度收到基本公共卫生经费在上年基础上增加</w:t>
      </w:r>
      <w:r>
        <w:rPr>
          <w:rFonts w:hint="eastAsia" w:ascii="仿宋_GB2312" w:hAnsi="仿宋" w:eastAsia="仿宋_GB2312"/>
          <w:sz w:val="32"/>
          <w:szCs w:val="32"/>
          <w:lang w:val="en-US" w:eastAsia="zh-CN"/>
        </w:rPr>
        <w:t>。</w:t>
      </w:r>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8" o:spt="75" type="#_x0000_t75" style="height:220.8pt;width:422.25pt;" o:ole="t" filled="f" o:preferrelative="t" stroked="f" coordsize="21600,21600">
            <v:path/>
            <v:fill on="f" focussize="0,0"/>
            <v:stroke on="f"/>
            <v:imagedata r:id="rId16" blacklevel="0f" o:title=""/>
            <o:lock v:ext="edit" aspectratio="t"/>
            <w10:wrap type="none"/>
            <w10:anchorlock/>
          </v:shape>
          <o:OLEObject Type="Embed" ProgID="Excel.Chart.8" ShapeID="_x0000_i1028" DrawAspect="Content" ObjectID="_1468075728" r:id="rId15">
            <o:LockedField>false</o:LockedField>
          </o:OLEObject>
        </w:object>
      </w: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hint="eastAsia" w:ascii="楷体_GB2312" w:hAnsi="楷体_GB2312" w:eastAsia="楷体_GB2312" w:cs="楷体_GB2312"/>
          <w:b/>
          <w:sz w:val="32"/>
          <w:szCs w:val="32"/>
        </w:rPr>
      </w:pPr>
      <w:bookmarkStart w:id="32" w:name="_Toc15377210"/>
      <w:r>
        <w:rPr>
          <w:rFonts w:hint="eastAsia" w:ascii="楷体_GB2312" w:hAnsi="楷体_GB2312" w:eastAsia="楷体_GB2312" w:cs="楷体_GB2312"/>
          <w:b/>
          <w:sz w:val="32"/>
          <w:szCs w:val="32"/>
        </w:rPr>
        <w:t>（一）一般公共预算财政拨款支出决算总体情况</w:t>
      </w:r>
      <w:bookmarkEnd w:id="32"/>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2022年一般公共预算财政拨款支出</w:t>
      </w:r>
      <w:r>
        <w:rPr>
          <w:rFonts w:hint="default" w:ascii="Times New Roman" w:hAnsi="Times New Roman" w:eastAsia="仿宋_GB2312" w:cs="Times New Roman"/>
          <w:sz w:val="32"/>
          <w:szCs w:val="32"/>
          <w:lang w:val="en-US" w:eastAsia="zh-CN"/>
        </w:rPr>
        <w:t>166.44</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98.19</w:t>
      </w:r>
      <w:r>
        <w:rPr>
          <w:rFonts w:hint="default" w:ascii="Times New Roman" w:hAnsi="Times New Roman" w:eastAsia="仿宋_GB2312" w:cs="Times New Roman"/>
          <w:sz w:val="32"/>
          <w:szCs w:val="32"/>
        </w:rPr>
        <w:t>%。与2021年</w:t>
      </w:r>
      <w:r>
        <w:rPr>
          <w:rFonts w:hint="default" w:ascii="Times New Roman" w:hAnsi="Times New Roman" w:eastAsia="仿宋_GB2312" w:cs="Times New Roman"/>
          <w:sz w:val="32"/>
          <w:szCs w:val="32"/>
          <w:lang w:val="en-US" w:eastAsia="zh-CN"/>
        </w:rPr>
        <w:t>157.94万元</w:t>
      </w:r>
      <w:r>
        <w:rPr>
          <w:rFonts w:hint="default" w:ascii="Times New Roman" w:hAnsi="Times New Roman" w:eastAsia="仿宋_GB2312" w:cs="Times New Roman"/>
          <w:sz w:val="32"/>
          <w:szCs w:val="32"/>
        </w:rPr>
        <w:t>相比，一般公共预算财政拨款支出增加</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5.38</w:t>
      </w:r>
      <w:r>
        <w:rPr>
          <w:rFonts w:hint="default" w:ascii="Times New Roman" w:hAnsi="Times New Roman" w:eastAsia="仿宋_GB2312" w:cs="Times New Roman"/>
          <w:sz w:val="32"/>
          <w:szCs w:val="32"/>
        </w:rPr>
        <w:t>%。主要变动原因是</w:t>
      </w:r>
      <w:bookmarkStart w:id="72" w:name="_GoBack"/>
      <w:bookmarkEnd w:id="72"/>
      <w:r>
        <w:rPr>
          <w:rFonts w:hint="default" w:ascii="Times New Roman" w:hAnsi="Times New Roman" w:eastAsia="仿宋_GB2312" w:cs="Times New Roman"/>
          <w:sz w:val="32"/>
          <w:szCs w:val="32"/>
          <w:lang w:val="en-US" w:eastAsia="zh-CN"/>
        </w:rPr>
        <w:t>本年度收到基本公共卫生经费在上年基础上增加。</w:t>
      </w:r>
    </w:p>
    <w:p>
      <w:pPr>
        <w:pStyle w:val="2"/>
        <w:rPr>
          <w:rFonts w:ascii="仿宋" w:hAnsi="仿宋" w:eastAsia="仿宋"/>
          <w:sz w:val="30"/>
          <w:szCs w:val="30"/>
        </w:rPr>
      </w:pPr>
      <w:r>
        <w:rPr>
          <w:rFonts w:hint="eastAsia" w:ascii="仿宋_GB2312" w:hAnsi="Times New Roman" w:eastAsia="仿宋_GB2312" w:cs="Times New Roman"/>
          <w:kern w:val="0"/>
          <w:sz w:val="30"/>
          <w:szCs w:val="24"/>
          <w:lang w:val="en-US" w:eastAsia="zh-CN" w:bidi="ar-SA"/>
        </w:rPr>
        <w:object>
          <v:shape id="_x0000_i1029" o:spt="75" type="#_x0000_t75" style="height:215.7pt;width:427.65pt;" o:ole="t" filled="f" o:preferrelative="t" stroked="f" coordsize="21600,21600">
            <v:path/>
            <v:fill on="f" focussize="0,0"/>
            <v:stroke on="f"/>
            <v:imagedata r:id="rId18" blacklevel="0f" o:title=""/>
            <o:lock v:ext="edit" aspectratio="t"/>
            <w10:wrap type="none"/>
            <w10:anchorlock/>
          </v:shape>
          <o:OLEObject Type="Embed" ProgID="Excel.Chart.8" ShapeID="_x0000_i1029" DrawAspect="Content" ObjectID="_1468075729" r:id="rId17">
            <o:LockedField>false</o:LockedField>
          </o:OLEObject>
        </w:object>
      </w:r>
      <w:r>
        <w:rPr>
          <w:rFonts w:hint="eastAsia" w:ascii="仿宋" w:hAnsi="仿宋" w:eastAsia="仿宋"/>
          <w:sz w:val="30"/>
          <w:szCs w:val="30"/>
        </w:rPr>
        <w:t>（图5：一般公共预算财政拨款支出决算变动情况）（柱状图）</w:t>
      </w:r>
    </w:p>
    <w:p>
      <w:pPr>
        <w:spacing w:line="600" w:lineRule="exact"/>
        <w:ind w:firstLine="643" w:firstLineChars="200"/>
        <w:outlineLvl w:val="2"/>
        <w:rPr>
          <w:rFonts w:hint="eastAsia" w:ascii="楷体_GB2312" w:hAnsi="楷体_GB2312" w:eastAsia="楷体_GB2312" w:cs="楷体_GB2312"/>
          <w:b/>
          <w:sz w:val="32"/>
          <w:szCs w:val="32"/>
        </w:rPr>
      </w:pPr>
      <w:bookmarkStart w:id="33" w:name="_Toc15377211"/>
      <w:r>
        <w:rPr>
          <w:rFonts w:hint="eastAsia" w:ascii="楷体_GB2312" w:hAnsi="楷体_GB2312" w:eastAsia="楷体_GB2312" w:cs="楷体_GB2312"/>
          <w:b/>
          <w:sz w:val="32"/>
          <w:szCs w:val="32"/>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2022年一般公共预算财政拨款支出</w:t>
      </w:r>
      <w:r>
        <w:rPr>
          <w:rFonts w:hint="default" w:ascii="Times New Roman" w:hAnsi="Times New Roman" w:eastAsia="仿宋_GB2312" w:cs="Times New Roman"/>
          <w:sz w:val="32"/>
          <w:szCs w:val="32"/>
          <w:lang w:val="en-US" w:eastAsia="zh-CN"/>
        </w:rPr>
        <w:t>166.44</w:t>
      </w:r>
      <w:r>
        <w:rPr>
          <w:rFonts w:hint="default" w:ascii="Times New Roman" w:hAnsi="Times New Roman" w:eastAsia="仿宋_GB2312" w:cs="Times New Roman"/>
          <w:sz w:val="32"/>
          <w:szCs w:val="32"/>
        </w:rPr>
        <w:t>万元，主要用于以下方面:</w:t>
      </w:r>
      <w:r>
        <w:rPr>
          <w:rFonts w:hint="default" w:ascii="Times New Roman" w:hAnsi="Times New Roman" w:eastAsia="仿宋_GB2312" w:cs="Times New Roman"/>
          <w:b/>
          <w:sz w:val="32"/>
          <w:szCs w:val="32"/>
        </w:rPr>
        <w:t>一般公共服务</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教育支出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科学技术</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0万</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文化旅游体育与传媒支出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万元，占</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14.67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8.81</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卫生健康支出</w:t>
      </w:r>
      <w:r>
        <w:rPr>
          <w:rFonts w:hint="default" w:ascii="Times New Roman" w:hAnsi="Times New Roman" w:eastAsia="仿宋_GB2312" w:cs="Times New Roman"/>
          <w:sz w:val="32"/>
          <w:szCs w:val="32"/>
          <w:lang w:val="en-US" w:eastAsia="zh-CN"/>
        </w:rPr>
        <w:t>142.94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85.88</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住房保障支出</w:t>
      </w:r>
      <w:r>
        <w:rPr>
          <w:rFonts w:hint="default" w:ascii="Times New Roman" w:hAnsi="Times New Roman" w:eastAsia="仿宋_GB2312" w:cs="Times New Roman"/>
          <w:sz w:val="32"/>
          <w:szCs w:val="32"/>
          <w:lang w:val="en-US" w:eastAsia="zh-CN"/>
        </w:rPr>
        <w:t>8.83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w:t>
      </w:r>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30" o:spt="75" type="#_x0000_t75" style="height:210.1pt;width:414.2pt;" o:ole="t" filled="f" o:preferrelative="t" stroked="f" coordsize="21600,21600">
            <v:path/>
            <v:fill on="f" focussize="0,0"/>
            <v:stroke on="f"/>
            <v:imagedata r:id="rId20" blacklevel="0f" o:title=""/>
            <o:lock v:ext="edit" aspectratio="t"/>
            <w10:wrap type="none"/>
            <w10:anchorlock/>
          </v:shape>
          <o:OLEObject Type="Embed" ProgID="Excel.Chart.8" ShapeID="_x0000_i1030" DrawAspect="Content" ObjectID="_1468075730" r:id="rId19">
            <o:LockedField>false</o:LockedField>
          </o:OLEObject>
        </w:object>
      </w: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hint="eastAsia" w:ascii="楷体_GB2312" w:hAnsi="楷体_GB2312" w:eastAsia="楷体_GB2312" w:cs="楷体_GB2312"/>
          <w:b/>
          <w:sz w:val="32"/>
          <w:szCs w:val="32"/>
        </w:rPr>
      </w:pPr>
      <w:bookmarkStart w:id="34" w:name="_Toc15377212"/>
      <w:r>
        <w:rPr>
          <w:rFonts w:hint="eastAsia" w:ascii="楷体_GB2312" w:hAnsi="楷体_GB2312" w:eastAsia="楷体_GB2312" w:cs="楷体_GB2312"/>
          <w:b/>
          <w:sz w:val="32"/>
          <w:szCs w:val="32"/>
        </w:rPr>
        <w:t>（三）一般公共预算财政拨款支出决算具体情况</w:t>
      </w:r>
      <w:bookmarkEnd w:id="34"/>
    </w:p>
    <w:p>
      <w:pPr>
        <w:keepNext w:val="0"/>
        <w:keepLines w:val="0"/>
        <w:pageBreakBefore w:val="0"/>
        <w:kinsoku/>
        <w:wordWrap/>
        <w:overflowPunct/>
        <w:topLinePunct w:val="0"/>
        <w:bidi w:val="0"/>
        <w:snapToGrid/>
        <w:spacing w:line="560" w:lineRule="exact"/>
        <w:ind w:firstLine="643" w:firstLineChars="200"/>
        <w:textAlignment w:val="auto"/>
        <w:outlineLvl w:val="2"/>
        <w:rPr>
          <w:rFonts w:hint="default" w:ascii="Times New Roman" w:hAnsi="Times New Roman" w:eastAsia="仿宋_GB2312" w:cs="Times New Roman"/>
          <w:sz w:val="32"/>
          <w:szCs w:val="32"/>
        </w:rPr>
      </w:pPr>
      <w:bookmarkStart w:id="35" w:name="_Toc15377213"/>
      <w:bookmarkStart w:id="36" w:name="_Toc15378460"/>
      <w:bookmarkStart w:id="37" w:name="_Toc15377444"/>
      <w:r>
        <w:rPr>
          <w:rFonts w:hint="default" w:ascii="Times New Roman" w:hAnsi="Times New Roman" w:eastAsia="仿宋_GB2312" w:cs="Times New Roman"/>
          <w:b/>
          <w:sz w:val="32"/>
          <w:szCs w:val="32"/>
        </w:rPr>
        <w:t>2022年一般公共预算支出决算数为</w:t>
      </w:r>
      <w:r>
        <w:rPr>
          <w:rFonts w:hint="default" w:ascii="Times New Roman" w:hAnsi="Times New Roman" w:eastAsia="仿宋_GB2312" w:cs="Times New Roman"/>
          <w:b/>
          <w:sz w:val="32"/>
          <w:szCs w:val="32"/>
          <w:lang w:val="en-US" w:eastAsia="zh-CN"/>
        </w:rPr>
        <w:t>166.44</w:t>
      </w:r>
      <w:r>
        <w:rPr>
          <w:rFonts w:hint="default" w:ascii="Times New Roman" w:hAnsi="Times New Roman" w:eastAsia="仿宋_GB2312" w:cs="Times New Roman"/>
          <w:sz w:val="32"/>
          <w:szCs w:val="32"/>
        </w:rPr>
        <w:t>，</w:t>
      </w:r>
      <w:r>
        <w:rPr>
          <w:rStyle w:val="16"/>
          <w:rFonts w:hint="default" w:ascii="Times New Roman" w:hAnsi="Times New Roman" w:eastAsia="仿宋_GB2312" w:cs="Times New Roman"/>
          <w:bCs/>
          <w:sz w:val="32"/>
          <w:szCs w:val="32"/>
        </w:rPr>
        <w:t>完成预算</w:t>
      </w:r>
      <w:r>
        <w:rPr>
          <w:rStyle w:val="16"/>
          <w:rFonts w:hint="default" w:ascii="Times New Roman" w:hAnsi="Times New Roman" w:eastAsia="仿宋_GB2312" w:cs="Times New Roman"/>
          <w:bCs/>
          <w:sz w:val="32"/>
          <w:szCs w:val="32"/>
          <w:lang w:val="en-US" w:eastAsia="zh-CN"/>
        </w:rPr>
        <w:t>100</w:t>
      </w:r>
      <w:r>
        <w:rPr>
          <w:rStyle w:val="16"/>
          <w:rFonts w:hint="default" w:ascii="Times New Roman" w:hAnsi="Times New Roman" w:eastAsia="仿宋_GB2312" w:cs="Times New Roman"/>
          <w:bCs/>
          <w:sz w:val="32"/>
          <w:szCs w:val="32"/>
        </w:rPr>
        <w:t>%。其中：</w:t>
      </w:r>
      <w:bookmarkEnd w:id="35"/>
      <w:bookmarkEnd w:id="36"/>
      <w:bookmarkEnd w:id="37"/>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1</w:t>
      </w:r>
      <w:r>
        <w:rPr>
          <w:rStyle w:val="16"/>
          <w:rFonts w:hint="default" w:ascii="Times New Roman" w:hAnsi="Times New Roman" w:eastAsia="仿宋_GB2312" w:cs="Times New Roman"/>
          <w:bCs/>
          <w:sz w:val="32"/>
          <w:szCs w:val="32"/>
        </w:rPr>
        <w:t>.社会保障和就业（类）</w:t>
      </w:r>
      <w:r>
        <w:rPr>
          <w:rStyle w:val="16"/>
          <w:rFonts w:hint="default" w:ascii="Times New Roman" w:hAnsi="Times New Roman" w:eastAsia="仿宋_GB2312" w:cs="Times New Roman"/>
          <w:bCs/>
          <w:sz w:val="32"/>
          <w:szCs w:val="32"/>
          <w:lang w:val="en-US" w:eastAsia="zh-CN"/>
        </w:rPr>
        <w:t>行政事业养老支出</w:t>
      </w:r>
      <w:r>
        <w:rPr>
          <w:rStyle w:val="16"/>
          <w:rFonts w:hint="default" w:ascii="Times New Roman" w:hAnsi="Times New Roman" w:eastAsia="仿宋_GB2312" w:cs="Times New Roman"/>
          <w:bCs/>
          <w:sz w:val="32"/>
          <w:szCs w:val="32"/>
        </w:rPr>
        <w:t>（款）事业单位离退休（项）: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3.24</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2</w:t>
      </w:r>
      <w:r>
        <w:rPr>
          <w:rStyle w:val="16"/>
          <w:rFonts w:hint="default" w:ascii="Times New Roman" w:hAnsi="Times New Roman" w:eastAsia="仿宋_GB2312" w:cs="Times New Roman"/>
          <w:bCs/>
          <w:sz w:val="32"/>
          <w:szCs w:val="32"/>
        </w:rPr>
        <w:t>.社会保障和就业（类）</w:t>
      </w:r>
      <w:r>
        <w:rPr>
          <w:rStyle w:val="16"/>
          <w:rFonts w:hint="default" w:ascii="Times New Roman" w:hAnsi="Times New Roman" w:eastAsia="仿宋_GB2312" w:cs="Times New Roman"/>
          <w:bCs/>
          <w:sz w:val="32"/>
          <w:szCs w:val="32"/>
          <w:lang w:val="en-US" w:eastAsia="zh-CN"/>
        </w:rPr>
        <w:t>行政事业养老支出</w:t>
      </w:r>
      <w:r>
        <w:rPr>
          <w:rStyle w:val="16"/>
          <w:rFonts w:hint="default" w:ascii="Times New Roman" w:hAnsi="Times New Roman" w:eastAsia="仿宋_GB2312" w:cs="Times New Roman"/>
          <w:bCs/>
          <w:sz w:val="32"/>
          <w:szCs w:val="32"/>
        </w:rPr>
        <w:t>（款）机关事业单位基本养老保险缴费支出（项）: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10.72</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Style w:val="16"/>
          <w:rFonts w:hint="default" w:ascii="Times New Roman" w:hAnsi="Times New Roman" w:eastAsia="仿宋_GB2312" w:cs="Times New Roman"/>
          <w:bCs/>
          <w:sz w:val="32"/>
          <w:szCs w:val="32"/>
          <w:lang w:val="en-US" w:eastAsia="zh-CN"/>
        </w:rPr>
        <w:t>3</w:t>
      </w:r>
      <w:r>
        <w:rPr>
          <w:rStyle w:val="16"/>
          <w:rFonts w:hint="default" w:ascii="Times New Roman" w:hAnsi="Times New Roman" w:eastAsia="仿宋_GB2312" w:cs="Times New Roman"/>
          <w:bCs/>
          <w:sz w:val="32"/>
          <w:szCs w:val="32"/>
        </w:rPr>
        <w:t>.社会保障和就业（类）</w:t>
      </w:r>
      <w:r>
        <w:rPr>
          <w:rStyle w:val="16"/>
          <w:rFonts w:hint="default" w:ascii="Times New Roman" w:hAnsi="Times New Roman" w:eastAsia="仿宋_GB2312" w:cs="Times New Roman"/>
          <w:bCs/>
          <w:sz w:val="32"/>
          <w:szCs w:val="32"/>
          <w:lang w:val="en-US" w:eastAsia="zh-CN"/>
        </w:rPr>
        <w:t>残疾人事业</w:t>
      </w:r>
      <w:r>
        <w:rPr>
          <w:rStyle w:val="16"/>
          <w:rFonts w:hint="default" w:ascii="Times New Roman" w:hAnsi="Times New Roman" w:eastAsia="仿宋_GB2312" w:cs="Times New Roman"/>
          <w:bCs/>
          <w:sz w:val="32"/>
          <w:szCs w:val="32"/>
        </w:rPr>
        <w:t>（款）其他残疾人事业支出（项）: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0.71</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4</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（类）基层医疗卫生机构（款）乡镇卫生院（项）: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83.96</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5</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（类）基层医疗卫生机构（款）其他基层医疗卫生机构支出（项）: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6.26</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6</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w:t>
      </w:r>
      <w:r>
        <w:rPr>
          <w:rFonts w:hint="default" w:ascii="Times New Roman" w:hAnsi="Times New Roman" w:eastAsia="仿宋_GB2312" w:cs="Times New Roman"/>
          <w:b/>
          <w:bCs/>
          <w:sz w:val="32"/>
          <w:szCs w:val="32"/>
        </w:rPr>
        <w:t>公共卫生</w:t>
      </w:r>
      <w:r>
        <w:rPr>
          <w:rStyle w:val="16"/>
          <w:rFonts w:hint="default" w:ascii="Times New Roman" w:hAnsi="Times New Roman" w:eastAsia="仿宋_GB2312" w:cs="Times New Roman"/>
          <w:bCs/>
          <w:sz w:val="32"/>
          <w:szCs w:val="32"/>
        </w:rPr>
        <w:t>（款）基本公共卫生服务（项）: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37.18</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7</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w:t>
      </w:r>
      <w:r>
        <w:rPr>
          <w:rFonts w:hint="default" w:ascii="Times New Roman" w:hAnsi="Times New Roman" w:eastAsia="仿宋_GB2312" w:cs="Times New Roman"/>
          <w:b/>
          <w:bCs/>
          <w:sz w:val="32"/>
          <w:szCs w:val="32"/>
        </w:rPr>
        <w:t>公共卫生</w:t>
      </w:r>
      <w:r>
        <w:rPr>
          <w:rStyle w:val="16"/>
          <w:rFonts w:hint="default" w:ascii="Times New Roman" w:hAnsi="Times New Roman" w:eastAsia="仿宋_GB2312" w:cs="Times New Roman"/>
          <w:bCs/>
          <w:sz w:val="32"/>
          <w:szCs w:val="32"/>
        </w:rPr>
        <w:t>（款）重大公共卫生服务（项）: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1.43</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8</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w:t>
      </w:r>
      <w:r>
        <w:rPr>
          <w:rFonts w:hint="default" w:ascii="Times New Roman" w:hAnsi="Times New Roman" w:eastAsia="仿宋_GB2312" w:cs="Times New Roman"/>
          <w:b/>
          <w:bCs/>
          <w:sz w:val="32"/>
          <w:szCs w:val="32"/>
        </w:rPr>
        <w:t>公共卫生</w:t>
      </w:r>
      <w:r>
        <w:rPr>
          <w:rStyle w:val="16"/>
          <w:rFonts w:hint="default" w:ascii="Times New Roman" w:hAnsi="Times New Roman" w:eastAsia="仿宋_GB2312" w:cs="Times New Roman"/>
          <w:bCs/>
          <w:sz w:val="32"/>
          <w:szCs w:val="32"/>
        </w:rPr>
        <w:t>（款）其他公共卫生支出（项）: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4.98</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Style w:val="16"/>
          <w:rFonts w:hint="default" w:ascii="Times New Roman" w:hAnsi="Times New Roman" w:eastAsia="仿宋_GB2312" w:cs="Times New Roman"/>
          <w:b w:val="0"/>
          <w:bCs/>
          <w:sz w:val="32"/>
          <w:szCs w:val="32"/>
        </w:rPr>
      </w:pPr>
      <w:r>
        <w:rPr>
          <w:rStyle w:val="16"/>
          <w:rFonts w:hint="default" w:ascii="Times New Roman" w:hAnsi="Times New Roman" w:eastAsia="仿宋_GB2312" w:cs="Times New Roman"/>
          <w:bCs/>
          <w:sz w:val="32"/>
          <w:szCs w:val="32"/>
          <w:lang w:val="en-US" w:eastAsia="zh-CN"/>
        </w:rPr>
        <w:t>9</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w:t>
      </w:r>
      <w:r>
        <w:rPr>
          <w:rFonts w:hint="default" w:ascii="Times New Roman" w:hAnsi="Times New Roman" w:eastAsia="仿宋_GB2312" w:cs="Times New Roman"/>
          <w:b/>
          <w:bCs/>
          <w:sz w:val="32"/>
          <w:szCs w:val="32"/>
        </w:rPr>
        <w:t>行政事业单位医疗</w:t>
      </w:r>
      <w:r>
        <w:rPr>
          <w:rStyle w:val="16"/>
          <w:rFonts w:hint="default" w:ascii="Times New Roman" w:hAnsi="Times New Roman" w:eastAsia="仿宋_GB2312" w:cs="Times New Roman"/>
          <w:bCs/>
          <w:sz w:val="32"/>
          <w:szCs w:val="32"/>
        </w:rPr>
        <w:t>（款）事业单位医疗（项）: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5.61</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Style w:val="16"/>
          <w:rFonts w:hint="default" w:ascii="Times New Roman" w:hAnsi="Times New Roman" w:eastAsia="仿宋_GB2312" w:cs="Times New Roman"/>
          <w:bCs/>
          <w:sz w:val="32"/>
          <w:szCs w:val="32"/>
          <w:lang w:val="en-US" w:eastAsia="zh-CN"/>
        </w:rPr>
        <w:t>10</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w:t>
      </w:r>
      <w:r>
        <w:rPr>
          <w:rStyle w:val="16"/>
          <w:rFonts w:hint="default" w:ascii="Times New Roman" w:hAnsi="Times New Roman" w:eastAsia="仿宋_GB2312" w:cs="Times New Roman"/>
          <w:bCs/>
          <w:sz w:val="32"/>
          <w:szCs w:val="32"/>
        </w:rPr>
        <w:t>（类）</w:t>
      </w:r>
      <w:r>
        <w:rPr>
          <w:rFonts w:hint="default" w:ascii="Times New Roman" w:hAnsi="Times New Roman" w:eastAsia="仿宋_GB2312" w:cs="Times New Roman"/>
          <w:b/>
          <w:bCs/>
          <w:sz w:val="32"/>
          <w:szCs w:val="32"/>
        </w:rPr>
        <w:t>行政事业单位医疗</w:t>
      </w:r>
      <w:r>
        <w:rPr>
          <w:rStyle w:val="16"/>
          <w:rFonts w:hint="default" w:ascii="Times New Roman" w:hAnsi="Times New Roman" w:eastAsia="仿宋_GB2312" w:cs="Times New Roman"/>
          <w:bCs/>
          <w:sz w:val="32"/>
          <w:szCs w:val="32"/>
        </w:rPr>
        <w:t>（款）其他行政事业单位医疗支出（项）: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3.54</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Style w:val="16"/>
          <w:rFonts w:hint="default" w:ascii="Times New Roman" w:hAnsi="Times New Roman" w:eastAsia="仿宋_GB2312" w:cs="Times New Roman"/>
          <w:bCs/>
          <w:sz w:val="32"/>
          <w:szCs w:val="32"/>
          <w:lang w:val="en-US" w:eastAsia="zh-CN"/>
        </w:rPr>
        <w:t>11</w:t>
      </w:r>
      <w:r>
        <w:rPr>
          <w:rStyle w:val="16"/>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住房保障</w:t>
      </w:r>
      <w:r>
        <w:rPr>
          <w:rStyle w:val="16"/>
          <w:rFonts w:hint="default" w:ascii="Times New Roman" w:hAnsi="Times New Roman" w:eastAsia="仿宋_GB2312" w:cs="Times New Roman"/>
          <w:bCs/>
          <w:sz w:val="32"/>
          <w:szCs w:val="32"/>
        </w:rPr>
        <w:t>（类）</w:t>
      </w:r>
      <w:r>
        <w:rPr>
          <w:rFonts w:hint="default" w:ascii="Times New Roman" w:hAnsi="Times New Roman" w:eastAsia="仿宋_GB2312" w:cs="Times New Roman"/>
          <w:b/>
          <w:bCs/>
          <w:sz w:val="32"/>
          <w:szCs w:val="32"/>
        </w:rPr>
        <w:t>住房改革支出</w:t>
      </w:r>
      <w:r>
        <w:rPr>
          <w:rStyle w:val="16"/>
          <w:rFonts w:hint="default" w:ascii="Times New Roman" w:hAnsi="Times New Roman" w:eastAsia="仿宋_GB2312" w:cs="Times New Roman"/>
          <w:bCs/>
          <w:sz w:val="32"/>
          <w:szCs w:val="32"/>
        </w:rPr>
        <w:t>（款） 住房公积金（项）:</w:t>
      </w:r>
      <w:r>
        <w:rPr>
          <w:rStyle w:val="16"/>
          <w:rFonts w:hint="default" w:ascii="Times New Roman" w:hAnsi="Times New Roman" w:eastAsia="仿宋_GB2312" w:cs="Times New Roman"/>
          <w:b w:val="0"/>
          <w:bCs/>
          <w:sz w:val="32"/>
          <w:szCs w:val="32"/>
        </w:rPr>
        <w:t>支出决算为</w:t>
      </w:r>
      <w:r>
        <w:rPr>
          <w:rStyle w:val="16"/>
          <w:rFonts w:hint="default" w:ascii="Times New Roman" w:hAnsi="Times New Roman" w:eastAsia="仿宋_GB2312" w:cs="Times New Roman"/>
          <w:b w:val="0"/>
          <w:bCs/>
          <w:sz w:val="32"/>
          <w:szCs w:val="32"/>
          <w:lang w:val="en-US" w:eastAsia="zh-CN"/>
        </w:rPr>
        <w:t>8.83</w:t>
      </w:r>
      <w:r>
        <w:rPr>
          <w:rStyle w:val="16"/>
          <w:rFonts w:hint="default" w:ascii="Times New Roman" w:hAnsi="Times New Roman" w:eastAsia="仿宋_GB2312" w:cs="Times New Roman"/>
          <w:b w:val="0"/>
          <w:bCs/>
          <w:sz w:val="32"/>
          <w:szCs w:val="32"/>
        </w:rPr>
        <w:t>万元，完成预算</w:t>
      </w:r>
      <w:r>
        <w:rPr>
          <w:rStyle w:val="16"/>
          <w:rFonts w:hint="default" w:ascii="Times New Roman" w:hAnsi="Times New Roman" w:eastAsia="仿宋_GB2312" w:cs="Times New Roman"/>
          <w:b w:val="0"/>
          <w:bCs/>
          <w:sz w:val="32"/>
          <w:szCs w:val="32"/>
          <w:lang w:val="en-US" w:eastAsia="zh-CN"/>
        </w:rPr>
        <w:t>100</w:t>
      </w:r>
      <w:r>
        <w:rPr>
          <w:rStyle w:val="16"/>
          <w:rFonts w:hint="default" w:ascii="Times New Roman" w:hAnsi="Times New Roman" w:eastAsia="仿宋_GB2312" w:cs="Times New Roman"/>
          <w:b w:val="0"/>
          <w:bCs/>
          <w:sz w:val="32"/>
          <w:szCs w:val="32"/>
        </w:rPr>
        <w:t>%，决算数等于预算数。</w:t>
      </w:r>
    </w:p>
    <w:p>
      <w:pPr>
        <w:keepNext w:val="0"/>
        <w:keepLines w:val="0"/>
        <w:pageBreakBefore w:val="0"/>
        <w:tabs>
          <w:tab w:val="right" w:pos="8306"/>
        </w:tabs>
        <w:kinsoku/>
        <w:wordWrap/>
        <w:overflowPunct/>
        <w:topLinePunct w:val="0"/>
        <w:bidi w:val="0"/>
        <w:snapToGrid/>
        <w:spacing w:line="560" w:lineRule="exact"/>
        <w:ind w:firstLine="640"/>
        <w:textAlignment w:val="auto"/>
        <w:outlineLvl w:val="1"/>
        <w:rPr>
          <w:rStyle w:val="27"/>
          <w:rFonts w:hint="eastAsia" w:ascii="黑体" w:hAnsi="黑体" w:eastAsia="黑体" w:cs="黑体"/>
          <w:sz w:val="32"/>
          <w:szCs w:val="32"/>
        </w:rPr>
      </w:pPr>
      <w:bookmarkStart w:id="38" w:name="_Toc15377214"/>
      <w:bookmarkStart w:id="39" w:name="_Toc15396608"/>
      <w:r>
        <w:rPr>
          <w:rFonts w:hint="eastAsia" w:ascii="黑体" w:hAnsi="黑体" w:eastAsia="黑体" w:cs="黑体"/>
          <w:sz w:val="32"/>
          <w:szCs w:val="32"/>
        </w:rPr>
        <w:t>六</w:t>
      </w:r>
      <w:r>
        <w:rPr>
          <w:rFonts w:hint="eastAsia" w:ascii="黑体" w:hAnsi="黑体" w:eastAsia="黑体" w:cs="黑体"/>
          <w:b/>
          <w:sz w:val="32"/>
          <w:szCs w:val="32"/>
        </w:rPr>
        <w:t>、一</w:t>
      </w:r>
      <w:r>
        <w:rPr>
          <w:rStyle w:val="27"/>
          <w:rFonts w:hint="eastAsia" w:ascii="黑体" w:hAnsi="黑体" w:eastAsia="黑体" w:cs="黑体"/>
          <w:b w:val="0"/>
          <w:sz w:val="32"/>
          <w:szCs w:val="32"/>
        </w:rPr>
        <w:t>般公共预算财政拨款基本支出决算情况说明</w:t>
      </w:r>
      <w:bookmarkEnd w:id="38"/>
      <w:bookmarkEnd w:id="39"/>
      <w:r>
        <w:rPr>
          <w:rStyle w:val="27"/>
          <w:rFonts w:hint="eastAsia" w:ascii="黑体" w:hAnsi="黑体" w:eastAsia="黑体" w:cs="黑体"/>
          <w:b w:val="0"/>
          <w:sz w:val="32"/>
          <w:szCs w:val="32"/>
        </w:rPr>
        <w:tab/>
      </w: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2022年一般公共预算财政拨款基本支出</w:t>
      </w:r>
      <w:r>
        <w:rPr>
          <w:rFonts w:hint="default" w:ascii="Times New Roman" w:hAnsi="Times New Roman" w:eastAsia="仿宋_GB2312" w:cs="Times New Roman"/>
          <w:sz w:val="32"/>
          <w:szCs w:val="32"/>
          <w:lang w:val="en-US" w:eastAsia="zh-CN"/>
        </w:rPr>
        <w:t>115.89</w:t>
      </w:r>
      <w:r>
        <w:rPr>
          <w:rFonts w:hint="default" w:ascii="Times New Roman" w:hAnsi="Times New Roman" w:eastAsia="仿宋_GB2312" w:cs="Times New Roman"/>
          <w:sz w:val="32"/>
          <w:szCs w:val="32"/>
        </w:rPr>
        <w:t>万元，其中：</w:t>
      </w: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115.77</w:t>
      </w:r>
      <w:r>
        <w:rPr>
          <w:rFonts w:hint="default" w:ascii="Times New Roman" w:hAnsi="Times New Roman" w:eastAsia="仿宋_GB2312" w:cs="Times New Roman"/>
          <w:sz w:val="32"/>
          <w:szCs w:val="32"/>
        </w:rPr>
        <w:t>万元，主要包括：基本工资、津贴补贴、奖金、伙食补助费、绩效工资、机关事业单位基本养老保险缴费、职业年金缴费、</w:t>
      </w:r>
      <w:r>
        <w:rPr>
          <w:rFonts w:hint="eastAsia" w:eastAsia="仿宋_GB2312" w:cs="Times New Roman"/>
          <w:sz w:val="32"/>
          <w:szCs w:val="32"/>
          <w:lang w:eastAsia="zh-CN"/>
        </w:rPr>
        <w:t>职工基本医疗保险缴费、公务员医疗补助缴费、</w:t>
      </w:r>
      <w:r>
        <w:rPr>
          <w:rFonts w:hint="default" w:ascii="Times New Roman" w:hAnsi="Times New Roman" w:eastAsia="仿宋_GB2312" w:cs="Times New Roman"/>
          <w:sz w:val="32"/>
          <w:szCs w:val="32"/>
        </w:rPr>
        <w:t>其他社会保障缴费、住房公积金、</w:t>
      </w:r>
      <w:r>
        <w:rPr>
          <w:rFonts w:hint="eastAsia" w:eastAsia="仿宋_GB2312" w:cs="Times New Roman"/>
          <w:sz w:val="32"/>
          <w:szCs w:val="32"/>
          <w:lang w:eastAsia="zh-CN"/>
        </w:rPr>
        <w:t>医疗费、</w:t>
      </w:r>
      <w:r>
        <w:rPr>
          <w:rFonts w:hint="default" w:ascii="Times New Roman" w:hAnsi="Times New Roman" w:eastAsia="仿宋_GB2312" w:cs="Times New Roman"/>
          <w:sz w:val="32"/>
          <w:szCs w:val="32"/>
        </w:rPr>
        <w:t>其他工资福利支出等。</w:t>
      </w:r>
    </w:p>
    <w:p>
      <w:pPr>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0.12</w:t>
      </w:r>
      <w:r>
        <w:rPr>
          <w:rFonts w:hint="default" w:ascii="Times New Roman" w:hAnsi="Times New Roman" w:eastAsia="仿宋_GB2312" w:cs="Times New Roman"/>
          <w:sz w:val="32"/>
          <w:szCs w:val="32"/>
        </w:rPr>
        <w:t>万元，主要包括：委托业务费</w:t>
      </w:r>
      <w:r>
        <w:rPr>
          <w:rFonts w:hint="eastAsia" w:eastAsia="仿宋_GB2312" w:cs="Times New Roman"/>
          <w:sz w:val="32"/>
          <w:szCs w:val="32"/>
          <w:lang w:eastAsia="zh-CN"/>
        </w:rPr>
        <w:t>。</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b/>
          <w:sz w:val="32"/>
          <w:szCs w:val="32"/>
        </w:rPr>
      </w:pPr>
    </w:p>
    <w:p>
      <w:pPr>
        <w:keepNext w:val="0"/>
        <w:keepLines w:val="0"/>
        <w:pageBreakBefore w:val="0"/>
        <w:kinsoku/>
        <w:wordWrap/>
        <w:overflowPunct/>
        <w:topLinePunct w:val="0"/>
        <w:bidi w:val="0"/>
        <w:snapToGrid/>
        <w:spacing w:line="560" w:lineRule="exact"/>
        <w:ind w:firstLine="640"/>
        <w:textAlignment w:val="auto"/>
        <w:outlineLvl w:val="1"/>
        <w:rPr>
          <w:rStyle w:val="27"/>
          <w:rFonts w:hint="eastAsia" w:ascii="黑体" w:hAnsi="黑体" w:eastAsia="黑体" w:cs="黑体"/>
          <w:b w:val="0"/>
          <w:sz w:val="32"/>
          <w:szCs w:val="32"/>
        </w:rPr>
      </w:pPr>
      <w:bookmarkStart w:id="40" w:name="_Toc15377215"/>
      <w:bookmarkStart w:id="41" w:name="_Toc15396609"/>
      <w:r>
        <w:rPr>
          <w:rFonts w:hint="eastAsia" w:ascii="黑体" w:hAnsi="黑体" w:eastAsia="黑体" w:cs="黑体"/>
          <w:sz w:val="32"/>
          <w:szCs w:val="32"/>
        </w:rPr>
        <w:t>七、</w:t>
      </w:r>
      <w:r>
        <w:rPr>
          <w:rStyle w:val="27"/>
          <w:rFonts w:hint="eastAsia" w:ascii="黑体" w:hAnsi="黑体" w:eastAsia="黑体" w:cs="黑体"/>
          <w:b w:val="0"/>
          <w:sz w:val="32"/>
          <w:szCs w:val="32"/>
        </w:rPr>
        <w:t>财政拨款</w:t>
      </w:r>
      <w:r>
        <w:rPr>
          <w:rStyle w:val="27"/>
          <w:rFonts w:hint="eastAsia" w:ascii="黑体" w:hAnsi="黑体" w:eastAsia="黑体" w:cs="黑体"/>
          <w:sz w:val="32"/>
          <w:szCs w:val="32"/>
        </w:rPr>
        <w:t>“</w:t>
      </w:r>
      <w:r>
        <w:rPr>
          <w:rStyle w:val="27"/>
          <w:rFonts w:hint="eastAsia" w:ascii="黑体" w:hAnsi="黑体" w:eastAsia="黑体" w:cs="黑体"/>
          <w:b w:val="0"/>
          <w:sz w:val="32"/>
          <w:szCs w:val="32"/>
        </w:rPr>
        <w:t>三公”经费支出决算情况说明</w:t>
      </w:r>
      <w:bookmarkEnd w:id="40"/>
      <w:bookmarkEnd w:id="41"/>
    </w:p>
    <w:p>
      <w:pPr>
        <w:keepNext w:val="0"/>
        <w:keepLines w:val="0"/>
        <w:pageBreakBefore w:val="0"/>
        <w:kinsoku/>
        <w:wordWrap/>
        <w:overflowPunct/>
        <w:topLinePunct w:val="0"/>
        <w:bidi w:val="0"/>
        <w:snapToGrid/>
        <w:spacing w:line="560" w:lineRule="exact"/>
        <w:ind w:firstLine="640"/>
        <w:textAlignment w:val="auto"/>
        <w:outlineLvl w:val="2"/>
        <w:rPr>
          <w:rFonts w:hint="default" w:ascii="Times New Roman" w:hAnsi="Times New Roman" w:eastAsia="仿宋_GB2312" w:cs="Times New Roman"/>
          <w:b/>
          <w:sz w:val="32"/>
          <w:szCs w:val="32"/>
        </w:rPr>
      </w:pPr>
      <w:bookmarkStart w:id="42" w:name="_Toc15377216"/>
      <w:r>
        <w:rPr>
          <w:rFonts w:hint="default" w:ascii="Times New Roman" w:hAnsi="Times New Roman" w:eastAsia="仿宋_GB2312" w:cs="Times New Roman"/>
          <w:b/>
          <w:sz w:val="32"/>
          <w:szCs w:val="32"/>
        </w:rPr>
        <w:t>（一）“三公”经费财政拨款支出决算总体情况说明</w:t>
      </w:r>
      <w:bookmarkEnd w:id="42"/>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2022年“三公”经费财政拨款支出决算为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与上年持平</w:t>
      </w:r>
      <w:r>
        <w:rPr>
          <w:rFonts w:hint="default" w:ascii="Times New Roman" w:hAnsi="Times New Roman" w:eastAsia="仿宋_GB2312" w:cs="Times New Roman"/>
          <w:sz w:val="32"/>
          <w:szCs w:val="32"/>
        </w:rPr>
        <w:t>，决算数</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eastAsia" w:eastAsia="仿宋_GB2312" w:cs="Times New Roman"/>
          <w:sz w:val="32"/>
          <w:szCs w:val="32"/>
          <w:lang w:eastAsia="zh-CN"/>
        </w:rPr>
        <w:t>持平。</w:t>
      </w:r>
    </w:p>
    <w:p>
      <w:pPr>
        <w:keepNext w:val="0"/>
        <w:keepLines w:val="0"/>
        <w:pageBreakBefore w:val="0"/>
        <w:kinsoku/>
        <w:wordWrap/>
        <w:overflowPunct/>
        <w:topLinePunct w:val="0"/>
        <w:bidi w:val="0"/>
        <w:snapToGrid/>
        <w:spacing w:line="560" w:lineRule="exact"/>
        <w:ind w:firstLine="640"/>
        <w:textAlignment w:val="auto"/>
        <w:outlineLvl w:val="2"/>
        <w:rPr>
          <w:rFonts w:hint="default" w:ascii="Times New Roman" w:hAnsi="Times New Roman" w:eastAsia="仿宋_GB2312" w:cs="Times New Roman"/>
          <w:b/>
          <w:sz w:val="32"/>
          <w:szCs w:val="32"/>
        </w:rPr>
      </w:pPr>
      <w:bookmarkStart w:id="43" w:name="_Toc15377217"/>
      <w:r>
        <w:rPr>
          <w:rFonts w:hint="default" w:ascii="Times New Roman" w:hAnsi="Times New Roman" w:eastAsia="仿宋_GB2312" w:cs="Times New Roman"/>
          <w:b/>
          <w:sz w:val="32"/>
          <w:szCs w:val="32"/>
        </w:rPr>
        <w:t>（二）“三公”经费财政拨款支出决算具体情况说明</w:t>
      </w:r>
      <w:bookmarkEnd w:id="43"/>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keepNext w:val="0"/>
        <w:keepLines w:val="0"/>
        <w:pageBreakBefore w:val="0"/>
        <w:numPr>
          <w:ilvl w:val="0"/>
          <w:numId w:val="2"/>
        </w:numPr>
        <w:kinsoku/>
        <w:wordWrap/>
        <w:overflowPunct/>
        <w:topLinePunct w:val="0"/>
        <w:bidi w:val="0"/>
        <w:snapToGrid/>
        <w:spacing w:line="560" w:lineRule="exact"/>
        <w:ind w:firstLine="640"/>
        <w:textAlignment w:val="auto"/>
        <w:rPr>
          <w:rFonts w:hint="eastAsia" w:eastAsia="仿宋_GB2312" w:cs="Times New Roman"/>
          <w:sz w:val="32"/>
          <w:szCs w:val="32"/>
          <w:lang w:eastAsia="zh-CN"/>
        </w:rPr>
      </w:pPr>
      <w:r>
        <w:rPr>
          <w:rFonts w:hint="default" w:ascii="Times New Roman" w:hAnsi="Times New Roman" w:eastAsia="仿宋_GB2312" w:cs="Times New Roman"/>
          <w:b/>
          <w:sz w:val="32"/>
          <w:szCs w:val="32"/>
        </w:rPr>
        <w:t>因公出国（境）经费支出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6"/>
          <w:rFonts w:hint="default" w:ascii="Times New Roman" w:hAnsi="Times New Roman" w:eastAsia="仿宋_GB2312" w:cs="Times New Roman"/>
          <w:b w:val="0"/>
          <w:bCs/>
          <w:sz w:val="32"/>
          <w:szCs w:val="32"/>
        </w:rPr>
        <w:t>完成预算</w:t>
      </w:r>
      <w:r>
        <w:rPr>
          <w:rStyle w:val="16"/>
          <w:rFonts w:hint="default" w:ascii="Times New Roman" w:hAnsi="Times New Roman" w:eastAsia="仿宋_GB2312" w:cs="Times New Roman"/>
          <w:b w:val="0"/>
          <w:bCs/>
          <w:sz w:val="32"/>
          <w:szCs w:val="32"/>
          <w:lang w:val="en-US" w:eastAsia="zh-CN"/>
        </w:rPr>
        <w:t>0</w:t>
      </w:r>
      <w:r>
        <w:rPr>
          <w:rStyle w:val="16"/>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2021年</w:t>
      </w:r>
      <w:r>
        <w:rPr>
          <w:rFonts w:hint="eastAsia" w:eastAsia="仿宋_GB2312" w:cs="Times New Roman"/>
          <w:sz w:val="32"/>
          <w:szCs w:val="32"/>
          <w:lang w:eastAsia="zh-CN"/>
        </w:rPr>
        <w:t>持平。</w:t>
      </w: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6"/>
          <w:rFonts w:hint="default" w:ascii="Times New Roman" w:hAnsi="Times New Roman" w:eastAsia="仿宋_GB2312" w:cs="Times New Roman"/>
          <w:b w:val="0"/>
          <w:bCs/>
          <w:sz w:val="32"/>
          <w:szCs w:val="32"/>
        </w:rPr>
        <w:t>完成预算</w:t>
      </w:r>
      <w:r>
        <w:rPr>
          <w:rStyle w:val="16"/>
          <w:rFonts w:hint="default" w:ascii="Times New Roman" w:hAnsi="Times New Roman" w:eastAsia="仿宋_GB2312" w:cs="Times New Roman"/>
          <w:b w:val="0"/>
          <w:bCs/>
          <w:sz w:val="32"/>
          <w:szCs w:val="32"/>
          <w:lang w:val="en-US" w:eastAsia="zh-CN"/>
        </w:rPr>
        <w:t>0</w:t>
      </w:r>
      <w:r>
        <w:rPr>
          <w:rStyle w:val="16"/>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2021年</w:t>
      </w:r>
      <w:r>
        <w:rPr>
          <w:rFonts w:hint="eastAsia" w:eastAsia="仿宋_GB2312" w:cs="Times New Roman"/>
          <w:sz w:val="32"/>
          <w:szCs w:val="32"/>
          <w:lang w:eastAsia="zh-CN"/>
        </w:rPr>
        <w:t>持平。</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。截至2022年12月底，单位共有公务用车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6"/>
          <w:rFonts w:hint="default" w:ascii="Times New Roman" w:hAnsi="Times New Roman" w:eastAsia="仿宋_GB2312" w:cs="Times New Roman"/>
          <w:b w:val="0"/>
          <w:bCs/>
          <w:sz w:val="32"/>
          <w:szCs w:val="32"/>
        </w:rPr>
        <w:t>完成预算</w:t>
      </w:r>
      <w:r>
        <w:rPr>
          <w:rStyle w:val="16"/>
          <w:rFonts w:hint="default" w:ascii="Times New Roman" w:hAnsi="Times New Roman" w:eastAsia="仿宋_GB2312" w:cs="Times New Roman"/>
          <w:b w:val="0"/>
          <w:bCs/>
          <w:sz w:val="32"/>
          <w:szCs w:val="32"/>
          <w:lang w:val="en-US" w:eastAsia="zh-CN"/>
        </w:rPr>
        <w:t>0</w:t>
      </w:r>
      <w:r>
        <w:rPr>
          <w:rStyle w:val="16"/>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2021年</w:t>
      </w:r>
      <w:r>
        <w:rPr>
          <w:rFonts w:hint="eastAsia" w:eastAsia="仿宋_GB2312" w:cs="Times New Roman"/>
          <w:sz w:val="32"/>
          <w:szCs w:val="32"/>
          <w:lang w:eastAsia="zh-CN"/>
        </w:rPr>
        <w:t>持平。</w:t>
      </w:r>
      <w:r>
        <w:rPr>
          <w:rFonts w:hint="default" w:ascii="Times New Roman" w:hAnsi="Times New Roman" w:eastAsia="仿宋_GB2312" w:cs="Times New Roman"/>
          <w:sz w:val="32"/>
          <w:szCs w:val="32"/>
        </w:rPr>
        <w:t>其中：</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国内公务接待支出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万元，国内公务接待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万元，具体内容包括：</w:t>
      </w:r>
      <w:r>
        <w:rPr>
          <w:rFonts w:hint="default" w:ascii="Times New Roman" w:hAnsi="Times New Roman" w:eastAsia="仿宋_GB2312" w:cs="Times New Roman"/>
          <w:sz w:val="32"/>
          <w:szCs w:val="32"/>
          <w:lang w:val="en-US" w:eastAsia="zh-CN"/>
        </w:rPr>
        <w:t xml:space="preserve">无 </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外事接待支出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bidi w:val="0"/>
        <w:snapToGrid/>
        <w:spacing w:line="560" w:lineRule="exact"/>
        <w:ind w:firstLine="640"/>
        <w:textAlignment w:val="auto"/>
        <w:outlineLvl w:val="1"/>
        <w:rPr>
          <w:rStyle w:val="27"/>
          <w:rFonts w:hint="eastAsia" w:ascii="黑体" w:hAnsi="黑体" w:eastAsia="黑体" w:cs="黑体"/>
          <w:sz w:val="32"/>
          <w:szCs w:val="32"/>
        </w:rPr>
      </w:pPr>
      <w:bookmarkStart w:id="44" w:name="_Toc15377218"/>
      <w:bookmarkStart w:id="45" w:name="_Toc15396610"/>
      <w:r>
        <w:rPr>
          <w:rFonts w:hint="eastAsia" w:ascii="黑体" w:hAnsi="黑体" w:eastAsia="黑体" w:cs="黑体"/>
          <w:sz w:val="32"/>
          <w:szCs w:val="32"/>
        </w:rPr>
        <w:t>八、</w:t>
      </w:r>
      <w:r>
        <w:rPr>
          <w:rStyle w:val="27"/>
          <w:rFonts w:hint="eastAsia" w:ascii="黑体" w:hAnsi="黑体" w:eastAsia="黑体" w:cs="黑体"/>
          <w:b w:val="0"/>
          <w:sz w:val="32"/>
          <w:szCs w:val="32"/>
        </w:rPr>
        <w:t>政府性基金预算支出决算情况说明</w:t>
      </w:r>
      <w:bookmarkEnd w:id="44"/>
      <w:bookmarkEnd w:id="45"/>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numPr>
          <w:ilvl w:val="0"/>
          <w:numId w:val="3"/>
        </w:numPr>
        <w:kinsoku/>
        <w:wordWrap/>
        <w:overflowPunct/>
        <w:topLinePunct w:val="0"/>
        <w:bidi w:val="0"/>
        <w:snapToGrid/>
        <w:spacing w:line="560" w:lineRule="exact"/>
        <w:ind w:firstLine="640"/>
        <w:textAlignment w:val="auto"/>
        <w:outlineLvl w:val="1"/>
        <w:rPr>
          <w:rStyle w:val="27"/>
          <w:rFonts w:hint="eastAsia" w:ascii="黑体" w:hAnsi="黑体" w:eastAsia="黑体" w:cs="黑体"/>
          <w:b w:val="0"/>
          <w:sz w:val="32"/>
          <w:szCs w:val="32"/>
        </w:rPr>
      </w:pPr>
      <w:bookmarkStart w:id="46" w:name="_Toc15396611"/>
      <w:bookmarkStart w:id="47" w:name="_Toc15377219"/>
      <w:r>
        <w:rPr>
          <w:rStyle w:val="27"/>
          <w:rFonts w:hint="eastAsia" w:ascii="黑体" w:hAnsi="黑体" w:eastAsia="黑体" w:cs="黑体"/>
          <w:b w:val="0"/>
          <w:sz w:val="32"/>
          <w:szCs w:val="32"/>
        </w:rPr>
        <w:t>国有资本经营预算支出决算情况说明</w:t>
      </w:r>
      <w:bookmarkEnd w:id="46"/>
      <w:bookmarkEnd w:id="47"/>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numPr>
          <w:ilvl w:val="0"/>
          <w:numId w:val="3"/>
        </w:numPr>
        <w:kinsoku/>
        <w:wordWrap/>
        <w:overflowPunct/>
        <w:topLinePunct w:val="0"/>
        <w:bidi w:val="0"/>
        <w:snapToGrid/>
        <w:spacing w:line="560" w:lineRule="exact"/>
        <w:ind w:firstLine="640"/>
        <w:textAlignment w:val="auto"/>
        <w:outlineLvl w:val="1"/>
        <w:rPr>
          <w:rStyle w:val="27"/>
          <w:rFonts w:hint="eastAsia" w:ascii="黑体" w:hAnsi="黑体" w:eastAsia="黑体" w:cs="黑体"/>
          <w:b w:val="0"/>
          <w:sz w:val="32"/>
          <w:szCs w:val="32"/>
        </w:rPr>
      </w:pPr>
      <w:bookmarkStart w:id="48" w:name="_Toc15377221"/>
      <w:bookmarkStart w:id="49" w:name="_Toc15396612"/>
      <w:r>
        <w:rPr>
          <w:rStyle w:val="27"/>
          <w:rFonts w:hint="eastAsia" w:ascii="黑体" w:hAnsi="黑体" w:eastAsia="黑体" w:cs="黑体"/>
          <w:b w:val="0"/>
          <w:sz w:val="32"/>
          <w:szCs w:val="32"/>
        </w:rPr>
        <w:t>其他重要事项的情况说明</w:t>
      </w:r>
      <w:bookmarkEnd w:id="48"/>
      <w:bookmarkEnd w:id="49"/>
    </w:p>
    <w:p>
      <w:pPr>
        <w:keepNext w:val="0"/>
        <w:keepLines w:val="0"/>
        <w:pageBreakBefore w:val="0"/>
        <w:kinsoku/>
        <w:wordWrap/>
        <w:overflowPunct/>
        <w:topLinePunct w:val="0"/>
        <w:bidi w:val="0"/>
        <w:snapToGrid/>
        <w:spacing w:line="560" w:lineRule="exact"/>
        <w:ind w:firstLine="643" w:firstLineChars="200"/>
        <w:textAlignment w:val="auto"/>
        <w:outlineLvl w:val="2"/>
        <w:rPr>
          <w:rFonts w:hint="eastAsia" w:ascii="楷体_GB2312" w:hAnsi="楷体_GB2312" w:eastAsia="楷体_GB2312" w:cs="楷体_GB2312"/>
          <w:sz w:val="32"/>
          <w:szCs w:val="32"/>
        </w:rPr>
      </w:pPr>
      <w:bookmarkStart w:id="50" w:name="_Toc15377222"/>
      <w:r>
        <w:rPr>
          <w:rFonts w:hint="eastAsia" w:ascii="楷体_GB2312" w:hAnsi="楷体_GB2312" w:eastAsia="楷体_GB2312" w:cs="楷体_GB2312"/>
          <w:b/>
          <w:sz w:val="32"/>
          <w:szCs w:val="32"/>
        </w:rPr>
        <w:t>（一）机关运行经费支出情况</w:t>
      </w:r>
      <w:bookmarkEnd w:id="50"/>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2022年，机关运行经费支出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万元，与2021年决算数持平）。</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sz w:val="32"/>
          <w:szCs w:val="32"/>
        </w:rPr>
      </w:pPr>
      <w:bookmarkStart w:id="51" w:name="_Toc15377223"/>
      <w:r>
        <w:rPr>
          <w:rFonts w:hint="eastAsia" w:ascii="楷体_GB2312" w:hAnsi="楷体_GB2312" w:eastAsia="楷体_GB2312" w:cs="楷体_GB2312"/>
          <w:b/>
          <w:sz w:val="32"/>
          <w:szCs w:val="32"/>
        </w:rPr>
        <w:t>（二）政府采购支出情况</w:t>
      </w:r>
      <w:bookmarkEnd w:id="51"/>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sz w:val="32"/>
          <w:szCs w:val="32"/>
        </w:rPr>
      </w:pPr>
      <w:bookmarkStart w:id="52" w:name="_Toc15377224"/>
      <w:r>
        <w:rPr>
          <w:rFonts w:hint="eastAsia" w:ascii="楷体_GB2312" w:hAnsi="楷体_GB2312" w:eastAsia="楷体_GB2312" w:cs="楷体_GB2312"/>
          <w:b/>
          <w:sz w:val="32"/>
          <w:szCs w:val="32"/>
        </w:rPr>
        <w:t>（三）国有资产占有使用情况</w:t>
      </w:r>
      <w:bookmarkEnd w:id="52"/>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截至2022年12月31日，共有车辆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辆，其中：主要领导干部用车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辆，其他用车主要是用于</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。单价100万元以上专用设备</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（四）预算绩效管理情况</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b/>
          <w:sz w:val="32"/>
          <w:szCs w:val="32"/>
        </w:rPr>
      </w:pPr>
      <w:r>
        <w:rPr>
          <w:rFonts w:hint="default" w:ascii="Times New Roman" w:hAnsi="Times New Roman" w:eastAsia="仿宋_GB2312" w:cs="Times New Roman"/>
          <w:sz w:val="32"/>
          <w:szCs w:val="32"/>
        </w:rPr>
        <w:t>根据预算绩效管理要求，本单位在2022年度预算编制阶段，组织对</w:t>
      </w:r>
      <w:r>
        <w:rPr>
          <w:rFonts w:hint="default" w:ascii="Times New Roman" w:hAnsi="Times New Roman" w:eastAsia="仿宋_GB2312" w:cs="Times New Roman"/>
          <w:sz w:val="32"/>
          <w:szCs w:val="32"/>
          <w:lang w:val="en-US" w:eastAsia="zh-CN"/>
        </w:rPr>
        <w:t>基本公共卫生补助资金</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基本药物制度</w:t>
      </w:r>
      <w:r>
        <w:rPr>
          <w:rFonts w:hint="default" w:ascii="Times New Roman" w:hAnsi="Times New Roman" w:eastAsia="仿宋_GB2312" w:cs="Times New Roman"/>
          <w:sz w:val="32"/>
          <w:szCs w:val="32"/>
        </w:rPr>
        <w:t>等</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个项目开展了预算事前绩效评估，对</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个项目编制了绩效目标，预算执行过程中，选取</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个项目开展绩效监控,组织对</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个项目开展绩效自评，绩效自评表详见</w:t>
      </w:r>
      <w:r>
        <w:rPr>
          <w:rFonts w:hint="eastAsia" w:ascii="仿宋_GB2312" w:hAnsi="仿宋_GB2312" w:eastAsia="仿宋_GB2312" w:cs="仿宋_GB2312"/>
          <w:sz w:val="32"/>
          <w:szCs w:val="32"/>
        </w:rPr>
        <w:t>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hint="eastAsia" w:ascii="方正小标宋简体" w:hAnsi="方正小标宋简体" w:eastAsia="方正小标宋简体" w:cs="方正小标宋简体"/>
          <w:b w:val="0"/>
          <w:sz w:val="44"/>
          <w:szCs w:val="44"/>
        </w:rPr>
      </w:pPr>
      <w:bookmarkStart w:id="53" w:name="_Toc15396613"/>
      <w:bookmarkStart w:id="54" w:name="_Toc15377225"/>
      <w:r>
        <w:rPr>
          <w:rFonts w:hint="eastAsia" w:ascii="方正小标宋简体" w:hAnsi="方正小标宋简体" w:eastAsia="方正小标宋简体" w:cs="方正小标宋简体"/>
          <w:sz w:val="44"/>
          <w:szCs w:val="44"/>
        </w:rPr>
        <w:t>名</w:t>
      </w:r>
      <w:r>
        <w:rPr>
          <w:rStyle w:val="26"/>
          <w:rFonts w:hint="eastAsia" w:ascii="方正小标宋简体" w:hAnsi="方正小标宋简体" w:eastAsia="方正小标宋简体" w:cs="方正小标宋简体"/>
          <w:b w:val="0"/>
          <w:sz w:val="44"/>
          <w:szCs w:val="44"/>
        </w:rPr>
        <w:t>词解释</w:t>
      </w:r>
      <w:bookmarkEnd w:id="53"/>
      <w:bookmarkEnd w:id="54"/>
    </w:p>
    <w:p>
      <w:pPr>
        <w:spacing w:line="600" w:lineRule="exact"/>
        <w:jc w:val="left"/>
        <w:rPr>
          <w:rFonts w:ascii="宋体"/>
          <w:b/>
          <w:sz w:val="44"/>
          <w:szCs w:val="44"/>
        </w:rPr>
      </w:pP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.其他收入：指单位取得的除上述收入以外的各项收入。</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.使用非财政拨款结余：指事业单位使用以前年度积累的非财政拨款结余弥补当年收支差额的金额。</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.年初结转和结余：指以前年度尚未完成、结转到本年按有关规定继续使用的资金。</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.结余分配：指事业单位按照会计制度规定缴纳的所得税、提取的专用结余以及转入非财政拨款结余的金额等。</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.社会保障和就业支出（类）行政事业单位养老支出（款）机关事业单位基本养老保险缴费支出（项）：指</w:t>
      </w:r>
      <w:r>
        <w:rPr>
          <w:rFonts w:hint="default" w:ascii="Times New Roman" w:hAnsi="Times New Roman" w:eastAsia="仿宋_GB2312" w:cs="Times New Roman"/>
          <w:sz w:val="32"/>
          <w:szCs w:val="32"/>
          <w:lang w:val="en-US" w:eastAsia="zh-CN"/>
        </w:rPr>
        <w:t>机关事业单位实施养老保险制度由单位缴纳的基本养老保险费支出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.社会保障和就业支出（类）行政事业单位养老支出（款）</w:t>
      </w:r>
      <w:r>
        <w:rPr>
          <w:rFonts w:hint="default" w:ascii="Times New Roman" w:hAnsi="Times New Roman" w:eastAsia="仿宋_GB2312" w:cs="Times New Roman"/>
          <w:sz w:val="32"/>
          <w:szCs w:val="32"/>
          <w:lang w:val="en-US" w:eastAsia="zh-CN"/>
        </w:rPr>
        <w:t>事业单位离退休</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机关事业开支单位离退休经费支出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.社会保障和就业支出（类）</w:t>
      </w:r>
      <w:r>
        <w:rPr>
          <w:rFonts w:hint="default" w:ascii="Times New Roman" w:hAnsi="Times New Roman" w:eastAsia="仿宋_GB2312" w:cs="Times New Roman"/>
          <w:sz w:val="32"/>
          <w:szCs w:val="32"/>
          <w:lang w:val="en-US" w:eastAsia="zh-CN"/>
        </w:rPr>
        <w:t>残疾人事业</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其他残疾人事业支出</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机关事业单位其他用于残疾人事业方面的支出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.卫生健康支出（类）基层医疗卫生机构（款）乡镇卫生院（项）：指</w:t>
      </w:r>
      <w:r>
        <w:rPr>
          <w:rFonts w:hint="default" w:ascii="Times New Roman" w:hAnsi="Times New Roman" w:eastAsia="仿宋_GB2312" w:cs="Times New Roman"/>
          <w:sz w:val="32"/>
          <w:szCs w:val="32"/>
          <w:lang w:val="en-US" w:eastAsia="zh-CN"/>
        </w:rPr>
        <w:t>用于乡镇卫生院的支出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.卫生健康支出（类）基层医疗卫生机构（款）其他基层医疗卫生机构支出（项）：指</w:t>
      </w:r>
      <w:r>
        <w:rPr>
          <w:rFonts w:hint="default" w:ascii="Times New Roman" w:hAnsi="Times New Roman" w:eastAsia="仿宋_GB2312" w:cs="Times New Roman"/>
          <w:sz w:val="32"/>
          <w:szCs w:val="32"/>
          <w:lang w:val="en-US" w:eastAsia="zh-CN"/>
        </w:rPr>
        <w:t>除上述项目以外的其他用于基层医疗卫生机构的支出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.卫生健康支出（类）公共卫生（款）基本公共卫生服务（项）：指</w:t>
      </w:r>
      <w:r>
        <w:rPr>
          <w:rFonts w:hint="default" w:ascii="Times New Roman" w:hAnsi="Times New Roman" w:eastAsia="仿宋_GB2312" w:cs="Times New Roman"/>
          <w:sz w:val="32"/>
          <w:szCs w:val="32"/>
          <w:lang w:val="en-US" w:eastAsia="zh-CN"/>
        </w:rPr>
        <w:t>基本公共卫生服务支出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.卫生健康支出（类）公共卫生（款）重大公共卫生服务（项）：指</w:t>
      </w:r>
      <w:r>
        <w:rPr>
          <w:rFonts w:hint="default" w:ascii="Times New Roman" w:hAnsi="Times New Roman" w:eastAsia="仿宋_GB2312" w:cs="Times New Roman"/>
          <w:sz w:val="32"/>
          <w:szCs w:val="32"/>
          <w:lang w:val="en-US" w:eastAsia="zh-CN"/>
        </w:rPr>
        <w:t>重大疾病、重大传染病预防控制等重大公共卫生服务项目支出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.卫生健康支出（类）公共卫生（款）其他公共卫生支出（项）：指</w:t>
      </w:r>
      <w:r>
        <w:rPr>
          <w:rFonts w:hint="default" w:ascii="Times New Roman" w:hAnsi="Times New Roman" w:eastAsia="仿宋_GB2312" w:cs="Times New Roman"/>
          <w:sz w:val="32"/>
          <w:szCs w:val="32"/>
          <w:lang w:val="en-US" w:eastAsia="zh-CN"/>
        </w:rPr>
        <w:t>除上述项目以外的其他用于公共卫生方面的支出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.卫生健康支出（类）行政事业单位医疗（款）事业单位医疗（项）：指</w:t>
      </w:r>
      <w:r>
        <w:rPr>
          <w:rFonts w:hint="default" w:ascii="Times New Roman" w:hAnsi="Times New Roman" w:eastAsia="仿宋_GB2312" w:cs="Times New Roman"/>
          <w:sz w:val="32"/>
          <w:szCs w:val="32"/>
          <w:lang w:val="en-US" w:eastAsia="zh-CN"/>
        </w:rPr>
        <w:t>财政部门安排的事业单位基本医疗保险缴费经费，未参加医疗保险的事业单位的公费医疗经费，按国家规定享受离休人员待遇的医疗经费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.卫生健康支出（类）其他卫生健康支出（款）其他卫生健康支出（项）：指</w:t>
      </w:r>
      <w:r>
        <w:rPr>
          <w:rFonts w:hint="default" w:ascii="Times New Roman" w:hAnsi="Times New Roman" w:eastAsia="仿宋_GB2312" w:cs="Times New Roman"/>
          <w:sz w:val="32"/>
          <w:szCs w:val="32"/>
          <w:lang w:val="en-US" w:eastAsia="zh-CN"/>
        </w:rPr>
        <w:t>除上述项目以外其他用于卫生健康方面的支出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.住房保障支出（类）住房改革支出（款）住房公积金（项）：指</w:t>
      </w:r>
      <w:r>
        <w:rPr>
          <w:rFonts w:hint="default" w:ascii="Times New Roman" w:hAnsi="Times New Roman" w:eastAsia="仿宋_GB2312" w:cs="Times New Roman"/>
          <w:sz w:val="32"/>
          <w:szCs w:val="32"/>
          <w:lang w:val="en-US" w:eastAsia="zh-CN"/>
        </w:rPr>
        <w:t>行政事业单位按人力资源和社会保障部、财政部规定的基本工资和津贴补贴以及规定比例为职工缴纳的住房公积金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.项目支出：指在基本支出之外为完成特定行政任务和事业发展目标所发生的支出。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牌照费</w:t>
      </w:r>
      <w:r>
        <w:rPr>
          <w:rFonts w:hint="default" w:ascii="Times New Roman" w:hAnsi="Times New Roman" w:eastAsia="仿宋_GB2312" w:cs="Times New Roman"/>
          <w:color w:val="auto"/>
          <w:sz w:val="32"/>
          <w:szCs w:val="32"/>
        </w:rPr>
        <w:t>）燃料费、维修费、过路过桥费、保险费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安全奖励费用</w:t>
      </w:r>
      <w:r>
        <w:rPr>
          <w:rFonts w:hint="default" w:ascii="Times New Roman" w:hAnsi="Times New Roman" w:eastAsia="仿宋_GB2312" w:cs="Times New Roman"/>
          <w:color w:val="auto"/>
          <w:sz w:val="32"/>
          <w:szCs w:val="32"/>
        </w:rPr>
        <w:t>等支出；公务接待费反映单位按规定开支的各类公务接待（含外宾接待）支出。</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pStyle w:val="24"/>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bookmarkStart w:id="55" w:name="_Toc52180097"/>
      <w:bookmarkStart w:id="56" w:name="_Toc15396614"/>
      <w:bookmarkStart w:id="57" w:name="_Toc15377226"/>
      <w:bookmarkStart w:id="58" w:name="_Toc15396618"/>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ind w:firstLine="2640" w:firstLineChars="600"/>
        <w:rPr>
          <w:rStyle w:val="26"/>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44"/>
          <w:szCs w:val="44"/>
        </w:rPr>
        <w:t>第</w:t>
      </w:r>
      <w:r>
        <w:rPr>
          <w:rStyle w:val="26"/>
          <w:rFonts w:hint="eastAsia" w:ascii="方正小标宋简体" w:hAnsi="方正小标宋简体" w:eastAsia="方正小标宋简体" w:cs="方正小标宋简体"/>
          <w:b w:val="0"/>
          <w:sz w:val="44"/>
          <w:szCs w:val="44"/>
          <w:lang w:val="en-US" w:eastAsia="zh-CN"/>
        </w:rPr>
        <w:t>四</w:t>
      </w:r>
      <w:r>
        <w:rPr>
          <w:rStyle w:val="26"/>
          <w:rFonts w:hint="eastAsia" w:ascii="方正小标宋简体" w:hAnsi="方正小标宋简体" w:eastAsia="方正小标宋简体" w:cs="方正小标宋简体"/>
          <w:b w:val="0"/>
          <w:sz w:val="44"/>
          <w:szCs w:val="44"/>
        </w:rPr>
        <w:t xml:space="preserve">部分 </w:t>
      </w:r>
    </w:p>
    <w:p>
      <w:pPr>
        <w:pStyle w:val="2"/>
        <w:ind w:firstLine="320" w:firstLineChars="100"/>
        <w:rPr>
          <w:rStyle w:val="26"/>
          <w:rFonts w:hint="eastAsia" w:asciiTheme="majorEastAsia" w:hAnsiTheme="majorEastAsia" w:eastAsiaTheme="majorEastAsia" w:cstheme="majorEastAsia"/>
          <w:b w:val="0"/>
          <w:sz w:val="32"/>
          <w:szCs w:val="32"/>
          <w:lang w:val="en-US" w:eastAsia="zh-CN"/>
        </w:rPr>
      </w:pPr>
      <w:r>
        <w:rPr>
          <w:rStyle w:val="26"/>
          <w:rFonts w:hint="eastAsia" w:asciiTheme="majorEastAsia" w:hAnsiTheme="majorEastAsia" w:eastAsiaTheme="majorEastAsia" w:cstheme="majorEastAsia"/>
          <w:b w:val="0"/>
          <w:sz w:val="32"/>
          <w:szCs w:val="32"/>
          <w:lang w:val="en-US" w:eastAsia="zh-CN"/>
        </w:rPr>
        <w:t>部门预算项目支出绩效自评表（2022年度）见附件</w:t>
      </w: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pStyle w:val="2"/>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bookmarkEnd w:id="55"/>
    <w:bookmarkEnd w:id="56"/>
    <w:p>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Style w:val="26"/>
          <w:rFonts w:hint="eastAsia" w:ascii="方正小标宋简体" w:hAnsi="方正小标宋简体" w:eastAsia="方正小标宋简体" w:cs="方正小标宋简体"/>
          <w:b w:val="0"/>
          <w:sz w:val="44"/>
          <w:szCs w:val="44"/>
        </w:rPr>
        <w:t>五部分 附表</w:t>
      </w:r>
      <w:bookmarkEnd w:id="57"/>
      <w:bookmarkEnd w:id="58"/>
      <w:bookmarkStart w:id="59" w:name="_Toc15396619"/>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sz w:val="32"/>
          <w:szCs w:val="32"/>
        </w:rPr>
        <w:t>一、收</w:t>
      </w:r>
      <w:r>
        <w:rPr>
          <w:rStyle w:val="27"/>
          <w:rFonts w:hint="default" w:ascii="Times New Roman" w:hAnsi="Times New Roman" w:eastAsia="仿宋_GB2312" w:cs="Times New Roman"/>
          <w:b w:val="0"/>
          <w:bCs w:val="0"/>
          <w:sz w:val="32"/>
          <w:szCs w:val="32"/>
        </w:rPr>
        <w:t>入支出决算总表</w:t>
      </w:r>
      <w:bookmarkEnd w:id="59"/>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0" w:name="_Toc15396620"/>
      <w:r>
        <w:rPr>
          <w:rFonts w:hint="default" w:ascii="Times New Roman" w:hAnsi="Times New Roman" w:eastAsia="仿宋_GB2312" w:cs="Times New Roman"/>
          <w:b w:val="0"/>
          <w:sz w:val="32"/>
          <w:szCs w:val="32"/>
        </w:rPr>
        <w:t>二、收</w:t>
      </w:r>
      <w:r>
        <w:rPr>
          <w:rStyle w:val="27"/>
          <w:rFonts w:hint="default" w:ascii="Times New Roman" w:hAnsi="Times New Roman" w:eastAsia="仿宋_GB2312" w:cs="Times New Roman"/>
          <w:b w:val="0"/>
          <w:bCs w:val="0"/>
          <w:sz w:val="32"/>
          <w:szCs w:val="32"/>
        </w:rPr>
        <w:t>入决算表</w:t>
      </w:r>
      <w:bookmarkEnd w:id="60"/>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1" w:name="_Toc15396621"/>
      <w:r>
        <w:rPr>
          <w:rStyle w:val="27"/>
          <w:rFonts w:hint="default" w:ascii="Times New Roman" w:hAnsi="Times New Roman" w:eastAsia="仿宋_GB2312" w:cs="Times New Roman"/>
          <w:b w:val="0"/>
          <w:bCs w:val="0"/>
          <w:sz w:val="32"/>
          <w:szCs w:val="32"/>
        </w:rPr>
        <w:t>三、</w:t>
      </w:r>
      <w:r>
        <w:rPr>
          <w:rFonts w:hint="default" w:ascii="Times New Roman" w:hAnsi="Times New Roman" w:eastAsia="仿宋_GB2312" w:cs="Times New Roman"/>
          <w:b w:val="0"/>
          <w:sz w:val="32"/>
          <w:szCs w:val="32"/>
        </w:rPr>
        <w:t>支</w:t>
      </w:r>
      <w:r>
        <w:rPr>
          <w:rStyle w:val="27"/>
          <w:rFonts w:hint="default" w:ascii="Times New Roman" w:hAnsi="Times New Roman" w:eastAsia="仿宋_GB2312" w:cs="Times New Roman"/>
          <w:b w:val="0"/>
          <w:bCs w:val="0"/>
          <w:sz w:val="32"/>
          <w:szCs w:val="32"/>
        </w:rPr>
        <w:t>出决算表</w:t>
      </w:r>
      <w:bookmarkEnd w:id="61"/>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sz w:val="32"/>
          <w:szCs w:val="32"/>
        </w:rPr>
      </w:pPr>
      <w:bookmarkStart w:id="62" w:name="_Toc15396622"/>
      <w:r>
        <w:rPr>
          <w:rStyle w:val="27"/>
          <w:rFonts w:hint="default" w:ascii="Times New Roman" w:hAnsi="Times New Roman" w:eastAsia="仿宋_GB2312" w:cs="Times New Roman"/>
          <w:b w:val="0"/>
          <w:bCs w:val="0"/>
          <w:sz w:val="32"/>
          <w:szCs w:val="32"/>
        </w:rPr>
        <w:t>四、</w:t>
      </w:r>
      <w:r>
        <w:rPr>
          <w:rFonts w:hint="default" w:ascii="Times New Roman" w:hAnsi="Times New Roman" w:eastAsia="仿宋_GB2312" w:cs="Times New Roman"/>
          <w:b w:val="0"/>
          <w:sz w:val="32"/>
          <w:szCs w:val="32"/>
        </w:rPr>
        <w:t>财</w:t>
      </w:r>
      <w:r>
        <w:rPr>
          <w:rStyle w:val="27"/>
          <w:rFonts w:hint="default" w:ascii="Times New Roman" w:hAnsi="Times New Roman" w:eastAsia="仿宋_GB2312" w:cs="Times New Roman"/>
          <w:b w:val="0"/>
          <w:bCs w:val="0"/>
          <w:sz w:val="32"/>
          <w:szCs w:val="32"/>
        </w:rPr>
        <w:t>政拨款收入支出决算总表</w:t>
      </w:r>
      <w:bookmarkEnd w:id="62"/>
    </w:p>
    <w:p>
      <w:pPr>
        <w:pStyle w:val="4"/>
        <w:pageBreakBefore w:val="0"/>
        <w:widowControl w:val="0"/>
        <w:kinsoku/>
        <w:wordWrap/>
        <w:overflowPunct/>
        <w:topLinePunct w:val="0"/>
        <w:autoSpaceDE/>
        <w:autoSpaceDN/>
        <w:bidi w:val="0"/>
        <w:adjustRightInd/>
        <w:snapToGrid/>
        <w:spacing w:line="560" w:lineRule="exact"/>
        <w:textAlignment w:val="auto"/>
        <w:rPr>
          <w:rStyle w:val="27"/>
          <w:rFonts w:hint="default" w:ascii="Times New Roman" w:hAnsi="Times New Roman" w:eastAsia="仿宋_GB2312" w:cs="Times New Roman"/>
          <w:b w:val="0"/>
          <w:bCs w:val="0"/>
          <w:sz w:val="32"/>
          <w:szCs w:val="32"/>
        </w:rPr>
      </w:pPr>
      <w:bookmarkStart w:id="63" w:name="_Toc15396623"/>
      <w:r>
        <w:rPr>
          <w:rStyle w:val="27"/>
          <w:rFonts w:hint="default" w:ascii="Times New Roman" w:hAnsi="Times New Roman" w:eastAsia="仿宋_GB2312" w:cs="Times New Roman"/>
          <w:b w:val="0"/>
          <w:bCs w:val="0"/>
          <w:sz w:val="32"/>
          <w:szCs w:val="32"/>
        </w:rPr>
        <w:t>五、</w:t>
      </w:r>
      <w:r>
        <w:rPr>
          <w:rFonts w:hint="default" w:ascii="Times New Roman" w:hAnsi="Times New Roman" w:eastAsia="仿宋_GB2312" w:cs="Times New Roman"/>
          <w:b w:val="0"/>
          <w:sz w:val="32"/>
          <w:szCs w:val="32"/>
        </w:rPr>
        <w:t>财</w:t>
      </w:r>
      <w:r>
        <w:rPr>
          <w:rStyle w:val="27"/>
          <w:rFonts w:hint="default" w:ascii="Times New Roman" w:hAnsi="Times New Roman" w:eastAsia="仿宋_GB2312" w:cs="Times New Roman"/>
          <w:b w:val="0"/>
          <w:bCs w:val="0"/>
          <w:sz w:val="32"/>
          <w:szCs w:val="32"/>
        </w:rPr>
        <w:t>政拨款支出决算明细表</w:t>
      </w:r>
      <w:bookmarkEnd w:id="63"/>
      <w:bookmarkStart w:id="64" w:name="_Toc15396624"/>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Style w:val="27"/>
          <w:rFonts w:hint="default" w:ascii="Times New Roman" w:hAnsi="Times New Roman" w:eastAsia="仿宋_GB2312" w:cs="Times New Roman"/>
          <w:b w:val="0"/>
          <w:bCs w:val="0"/>
          <w:sz w:val="32"/>
          <w:szCs w:val="32"/>
        </w:rPr>
        <w:t>六、</w:t>
      </w:r>
      <w:r>
        <w:rPr>
          <w:rFonts w:hint="default" w:ascii="Times New Roman" w:hAnsi="Times New Roman" w:eastAsia="仿宋_GB2312" w:cs="Times New Roman"/>
          <w:b w:val="0"/>
          <w:sz w:val="32"/>
          <w:szCs w:val="32"/>
        </w:rPr>
        <w:t>一</w:t>
      </w:r>
      <w:r>
        <w:rPr>
          <w:rStyle w:val="27"/>
          <w:rFonts w:hint="default" w:ascii="Times New Roman" w:hAnsi="Times New Roman" w:eastAsia="仿宋_GB2312" w:cs="Times New Roman"/>
          <w:b w:val="0"/>
          <w:bCs w:val="0"/>
          <w:sz w:val="32"/>
          <w:szCs w:val="32"/>
        </w:rPr>
        <w:t>般公共预算财政拨款支出决算表</w:t>
      </w:r>
      <w:bookmarkEnd w:id="64"/>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5" w:name="_Toc15396625"/>
      <w:r>
        <w:rPr>
          <w:rStyle w:val="27"/>
          <w:rFonts w:hint="default" w:ascii="Times New Roman" w:hAnsi="Times New Roman" w:eastAsia="仿宋_GB2312" w:cs="Times New Roman"/>
          <w:b w:val="0"/>
          <w:bCs w:val="0"/>
          <w:sz w:val="32"/>
          <w:szCs w:val="32"/>
        </w:rPr>
        <w:t>七、</w:t>
      </w:r>
      <w:r>
        <w:rPr>
          <w:rFonts w:hint="default" w:ascii="Times New Roman" w:hAnsi="Times New Roman" w:eastAsia="仿宋_GB2312" w:cs="Times New Roman"/>
          <w:b w:val="0"/>
          <w:sz w:val="32"/>
          <w:szCs w:val="32"/>
        </w:rPr>
        <w:t>一</w:t>
      </w:r>
      <w:r>
        <w:rPr>
          <w:rStyle w:val="27"/>
          <w:rFonts w:hint="default" w:ascii="Times New Roman" w:hAnsi="Times New Roman" w:eastAsia="仿宋_GB2312" w:cs="Times New Roman"/>
          <w:b w:val="0"/>
          <w:bCs w:val="0"/>
          <w:sz w:val="32"/>
          <w:szCs w:val="32"/>
        </w:rPr>
        <w:t>般公共预算财政拨款支出决算明细表</w:t>
      </w:r>
      <w:bookmarkEnd w:id="65"/>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6" w:name="_Toc15396626"/>
      <w:r>
        <w:rPr>
          <w:rStyle w:val="27"/>
          <w:rFonts w:hint="default" w:ascii="Times New Roman" w:hAnsi="Times New Roman" w:eastAsia="仿宋_GB2312" w:cs="Times New Roman"/>
          <w:b w:val="0"/>
          <w:bCs w:val="0"/>
          <w:sz w:val="32"/>
          <w:szCs w:val="32"/>
        </w:rPr>
        <w:t>八、</w:t>
      </w:r>
      <w:r>
        <w:rPr>
          <w:rFonts w:hint="default" w:ascii="Times New Roman" w:hAnsi="Times New Roman" w:eastAsia="仿宋_GB2312" w:cs="Times New Roman"/>
          <w:b w:val="0"/>
          <w:sz w:val="32"/>
          <w:szCs w:val="32"/>
        </w:rPr>
        <w:t>一</w:t>
      </w:r>
      <w:r>
        <w:rPr>
          <w:rStyle w:val="27"/>
          <w:rFonts w:hint="default" w:ascii="Times New Roman" w:hAnsi="Times New Roman" w:eastAsia="仿宋_GB2312" w:cs="Times New Roman"/>
          <w:b w:val="0"/>
          <w:bCs w:val="0"/>
          <w:sz w:val="32"/>
          <w:szCs w:val="32"/>
        </w:rPr>
        <w:t>般公共预算财政拨款基本支出决算表</w:t>
      </w:r>
      <w:bookmarkEnd w:id="66"/>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7" w:name="_Toc15396627"/>
      <w:r>
        <w:rPr>
          <w:rStyle w:val="27"/>
          <w:rFonts w:hint="default" w:ascii="Times New Roman" w:hAnsi="Times New Roman" w:eastAsia="仿宋_GB2312" w:cs="Times New Roman"/>
          <w:b w:val="0"/>
          <w:bCs w:val="0"/>
          <w:sz w:val="32"/>
          <w:szCs w:val="32"/>
        </w:rPr>
        <w:t>九、</w:t>
      </w:r>
      <w:r>
        <w:rPr>
          <w:rFonts w:hint="default" w:ascii="Times New Roman" w:hAnsi="Times New Roman" w:eastAsia="仿宋_GB2312" w:cs="Times New Roman"/>
          <w:b w:val="0"/>
          <w:sz w:val="32"/>
          <w:szCs w:val="32"/>
        </w:rPr>
        <w:t>一</w:t>
      </w:r>
      <w:r>
        <w:rPr>
          <w:rStyle w:val="27"/>
          <w:rFonts w:hint="default" w:ascii="Times New Roman" w:hAnsi="Times New Roman" w:eastAsia="仿宋_GB2312" w:cs="Times New Roman"/>
          <w:b w:val="0"/>
          <w:bCs w:val="0"/>
          <w:sz w:val="32"/>
          <w:szCs w:val="32"/>
        </w:rPr>
        <w:t>般公共预算财政拨款项目支出决算表</w:t>
      </w:r>
      <w:bookmarkEnd w:id="67"/>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8" w:name="_Toc15396628"/>
      <w:r>
        <w:rPr>
          <w:rStyle w:val="27"/>
          <w:rFonts w:hint="default" w:ascii="Times New Roman" w:hAnsi="Times New Roman" w:eastAsia="仿宋_GB2312" w:cs="Times New Roman"/>
          <w:b w:val="0"/>
          <w:bCs w:val="0"/>
          <w:sz w:val="32"/>
          <w:szCs w:val="32"/>
        </w:rPr>
        <w:t>十、</w:t>
      </w:r>
      <w:bookmarkEnd w:id="68"/>
      <w:r>
        <w:rPr>
          <w:rFonts w:hint="default" w:ascii="Times New Roman" w:hAnsi="Times New Roman" w:eastAsia="仿宋_GB2312" w:cs="Times New Roman"/>
          <w:b w:val="0"/>
          <w:sz w:val="32"/>
          <w:szCs w:val="32"/>
        </w:rPr>
        <w:t>政</w:t>
      </w:r>
      <w:r>
        <w:rPr>
          <w:rStyle w:val="27"/>
          <w:rFonts w:hint="default" w:ascii="Times New Roman" w:hAnsi="Times New Roman" w:eastAsia="仿宋_GB2312" w:cs="Times New Roman"/>
          <w:b w:val="0"/>
          <w:bCs w:val="0"/>
          <w:sz w:val="32"/>
          <w:szCs w:val="32"/>
        </w:rPr>
        <w:t>府性基金预算财政拨款收入支出决算表</w:t>
      </w:r>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69" w:name="_Toc15396629"/>
      <w:r>
        <w:rPr>
          <w:rStyle w:val="27"/>
          <w:rFonts w:hint="default" w:ascii="Times New Roman" w:hAnsi="Times New Roman" w:eastAsia="仿宋_GB2312" w:cs="Times New Roman"/>
          <w:b w:val="0"/>
          <w:bCs w:val="0"/>
          <w:sz w:val="32"/>
          <w:szCs w:val="32"/>
        </w:rPr>
        <w:t>十一、</w:t>
      </w:r>
      <w:bookmarkEnd w:id="69"/>
      <w:r>
        <w:rPr>
          <w:rFonts w:hint="default" w:ascii="Times New Roman" w:hAnsi="Times New Roman" w:eastAsia="仿宋_GB2312" w:cs="Times New Roman"/>
          <w:b w:val="0"/>
          <w:sz w:val="32"/>
          <w:szCs w:val="32"/>
        </w:rPr>
        <w:t>国</w:t>
      </w:r>
      <w:r>
        <w:rPr>
          <w:rStyle w:val="27"/>
          <w:rFonts w:hint="default" w:ascii="Times New Roman" w:hAnsi="Times New Roman" w:eastAsia="仿宋_GB2312" w:cs="Times New Roman"/>
          <w:b w:val="0"/>
          <w:bCs w:val="0"/>
          <w:sz w:val="32"/>
          <w:szCs w:val="32"/>
        </w:rPr>
        <w:t>有资本经营预算财政拨款收入支出决算表</w:t>
      </w:r>
    </w:p>
    <w:p>
      <w:pPr>
        <w:pStyle w:val="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70" w:name="_Toc15396630"/>
      <w:r>
        <w:rPr>
          <w:rStyle w:val="27"/>
          <w:rFonts w:hint="default" w:ascii="Times New Roman" w:hAnsi="Times New Roman" w:eastAsia="仿宋_GB2312" w:cs="Times New Roman"/>
          <w:b w:val="0"/>
          <w:bCs w:val="0"/>
          <w:sz w:val="32"/>
          <w:szCs w:val="32"/>
        </w:rPr>
        <w:t>十二、</w:t>
      </w:r>
      <w:bookmarkEnd w:id="70"/>
      <w:r>
        <w:rPr>
          <w:rStyle w:val="27"/>
          <w:rFonts w:hint="default" w:ascii="Times New Roman" w:hAnsi="Times New Roman" w:eastAsia="仿宋_GB2312" w:cs="Times New Roman"/>
          <w:b w:val="0"/>
          <w:bCs w:val="0"/>
          <w:sz w:val="32"/>
          <w:szCs w:val="32"/>
        </w:rPr>
        <w:t>国有资本经营预算财政拨款支出决算表</w:t>
      </w:r>
    </w:p>
    <w:p>
      <w:pPr>
        <w:pStyle w:val="4"/>
        <w:pageBreakBefore w:val="0"/>
        <w:widowControl w:val="0"/>
        <w:kinsoku/>
        <w:wordWrap/>
        <w:overflowPunct/>
        <w:topLinePunct w:val="0"/>
        <w:autoSpaceDE/>
        <w:autoSpaceDN/>
        <w:bidi w:val="0"/>
        <w:adjustRightInd/>
        <w:snapToGrid/>
        <w:spacing w:line="560" w:lineRule="exact"/>
        <w:textAlignment w:val="auto"/>
        <w:rPr>
          <w:rStyle w:val="27"/>
          <w:rFonts w:hint="default" w:ascii="Times New Roman" w:hAnsi="Times New Roman" w:eastAsia="仿宋_GB2312" w:cs="Times New Roman"/>
          <w:b w:val="0"/>
          <w:bCs w:val="0"/>
          <w:sz w:val="32"/>
          <w:szCs w:val="32"/>
        </w:rPr>
      </w:pPr>
      <w:bookmarkStart w:id="71" w:name="_Toc15396631"/>
      <w:r>
        <w:rPr>
          <w:rStyle w:val="27"/>
          <w:rFonts w:hint="default" w:ascii="Times New Roman" w:hAnsi="Times New Roman" w:eastAsia="仿宋_GB2312" w:cs="Times New Roman"/>
          <w:b w:val="0"/>
          <w:bCs w:val="0"/>
          <w:sz w:val="32"/>
          <w:szCs w:val="32"/>
        </w:rPr>
        <w:t>十三、</w:t>
      </w:r>
      <w:bookmarkEnd w:id="71"/>
      <w:r>
        <w:rPr>
          <w:rStyle w:val="27"/>
          <w:rFonts w:hint="default" w:ascii="Times New Roman" w:hAnsi="Times New Roman" w:eastAsia="仿宋_GB2312" w:cs="Times New Roman"/>
          <w:b w:val="0"/>
          <w:bCs w:val="0"/>
          <w:sz w:val="32"/>
          <w:szCs w:val="32"/>
        </w:rPr>
        <w:t>财政拨款“三公”经费支出决算表</w:t>
      </w:r>
    </w:p>
    <w:p>
      <w:pPr>
        <w:pageBreakBefore w:val="0"/>
        <w:widowControl w:val="0"/>
        <w:kinsoku/>
        <w:wordWrap/>
        <w:overflowPunct/>
        <w:topLinePunct w:val="0"/>
        <w:autoSpaceDE/>
        <w:autoSpaceDN/>
        <w:bidi w:val="0"/>
        <w:adjustRightInd/>
        <w:snapToGrid/>
        <w:spacing w:line="560" w:lineRule="exact"/>
        <w:textAlignment w:val="auto"/>
        <w:rPr>
          <w:rStyle w:val="27"/>
          <w:rFonts w:hint="default" w:ascii="Times New Roman" w:hAnsi="Times New Roman" w:eastAsia="仿宋_GB2312" w:cs="Times New Roman"/>
          <w:b w:val="0"/>
          <w:bCs w:val="0"/>
          <w:sz w:val="32"/>
          <w:szCs w:val="32"/>
        </w:rPr>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pPr>
        <w:pStyle w:val="2"/>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86825" cy="5268595"/>
            <wp:effectExtent l="0" t="0" r="13335" b="4445"/>
            <wp:docPr id="2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0"/>
                    <pic:cNvPicPr>
                      <a:picLocks noChangeAspect="1"/>
                    </pic:cNvPicPr>
                  </pic:nvPicPr>
                  <pic:blipFill>
                    <a:blip r:embed="rId21"/>
                    <a:stretch>
                      <a:fillRect/>
                    </a:stretch>
                  </pic:blipFill>
                  <pic:spPr>
                    <a:xfrm>
                      <a:off x="0" y="0"/>
                      <a:ext cx="8886825" cy="5268595"/>
                    </a:xfrm>
                    <a:prstGeom prst="rect">
                      <a:avLst/>
                    </a:prstGeom>
                    <a:noFill/>
                    <a:ln>
                      <a:noFill/>
                    </a:ln>
                  </pic:spPr>
                </pic:pic>
              </a:graphicData>
            </a:graphic>
          </wp:inline>
        </w:drawing>
      </w:r>
    </w:p>
    <w:p>
      <w:pPr>
        <w:pStyle w:val="2"/>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56345" cy="5563870"/>
            <wp:effectExtent l="0" t="0" r="13335" b="1397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22"/>
                    <a:stretch>
                      <a:fillRect/>
                    </a:stretch>
                  </pic:blipFill>
                  <pic:spPr>
                    <a:xfrm>
                      <a:off x="0" y="0"/>
                      <a:ext cx="8856345" cy="5563870"/>
                    </a:xfrm>
                    <a:prstGeom prst="rect">
                      <a:avLst/>
                    </a:prstGeom>
                    <a:noFill/>
                    <a:ln>
                      <a:noFill/>
                    </a:ln>
                  </pic:spPr>
                </pic:pic>
              </a:graphicData>
            </a:graphic>
          </wp:inline>
        </w:drawing>
      </w:r>
    </w:p>
    <w:p>
      <w:pPr>
        <w:pStyle w:val="2"/>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55075" cy="5558155"/>
            <wp:effectExtent l="0" t="0" r="14605" b="444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23"/>
                    <a:stretch>
                      <a:fillRect/>
                    </a:stretch>
                  </pic:blipFill>
                  <pic:spPr>
                    <a:xfrm>
                      <a:off x="0" y="0"/>
                      <a:ext cx="8855075" cy="5558155"/>
                    </a:xfrm>
                    <a:prstGeom prst="rect">
                      <a:avLst/>
                    </a:prstGeom>
                    <a:noFill/>
                    <a:ln>
                      <a:noFill/>
                    </a:ln>
                  </pic:spPr>
                </pic:pic>
              </a:graphicData>
            </a:graphic>
          </wp:inline>
        </w:drawing>
      </w:r>
    </w:p>
    <w:p>
      <w:pPr>
        <w:pStyle w:val="2"/>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56980" cy="6162040"/>
            <wp:effectExtent l="0" t="0" r="12700" b="1016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4"/>
                    <a:stretch>
                      <a:fillRect/>
                    </a:stretch>
                  </pic:blipFill>
                  <pic:spPr>
                    <a:xfrm>
                      <a:off x="0" y="0"/>
                      <a:ext cx="8856980" cy="6162040"/>
                    </a:xfrm>
                    <a:prstGeom prst="rect">
                      <a:avLst/>
                    </a:prstGeom>
                    <a:noFill/>
                    <a:ln>
                      <a:noFill/>
                    </a:ln>
                  </pic:spPr>
                </pic:pic>
              </a:graphicData>
            </a:graphic>
          </wp:inline>
        </w:drawing>
      </w:r>
    </w:p>
    <w:p>
      <w:pPr>
        <w:pStyle w:val="2"/>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62060" cy="5960745"/>
            <wp:effectExtent l="0" t="0" r="7620" b="13335"/>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25"/>
                    <a:stretch>
                      <a:fillRect/>
                    </a:stretch>
                  </pic:blipFill>
                  <pic:spPr>
                    <a:xfrm>
                      <a:off x="0" y="0"/>
                      <a:ext cx="8862060" cy="5960745"/>
                    </a:xfrm>
                    <a:prstGeom prst="rect">
                      <a:avLst/>
                    </a:prstGeom>
                    <a:noFill/>
                    <a:ln>
                      <a:noFill/>
                    </a:ln>
                  </pic:spPr>
                </pic:pic>
              </a:graphicData>
            </a:graphic>
          </wp:inline>
        </w:drawing>
      </w: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62060" cy="5930900"/>
            <wp:effectExtent l="0" t="0" r="7620" b="12700"/>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26"/>
                    <a:stretch>
                      <a:fillRect/>
                    </a:stretch>
                  </pic:blipFill>
                  <pic:spPr>
                    <a:xfrm>
                      <a:off x="0" y="0"/>
                      <a:ext cx="8862060" cy="5930900"/>
                    </a:xfrm>
                    <a:prstGeom prst="rect">
                      <a:avLst/>
                    </a:prstGeom>
                    <a:noFill/>
                    <a:ln>
                      <a:noFill/>
                    </a:ln>
                  </pic:spPr>
                </pic:pic>
              </a:graphicData>
            </a:graphic>
          </wp:inline>
        </w:drawing>
      </w:r>
    </w:p>
    <w:p>
      <w:pPr>
        <w:pStyle w:val="2"/>
        <w:rPr>
          <w:rFonts w:hint="eastAsia"/>
        </w:rPr>
        <w:sectPr>
          <w:type w:val="continuous"/>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62060" cy="5930900"/>
            <wp:effectExtent l="0" t="0" r="7620" b="1270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pic:cNvPicPr>
                      <a:picLocks noChangeAspect="1"/>
                    </pic:cNvPicPr>
                  </pic:nvPicPr>
                  <pic:blipFill>
                    <a:blip r:embed="rId27"/>
                    <a:stretch>
                      <a:fillRect/>
                    </a:stretch>
                  </pic:blipFill>
                  <pic:spPr>
                    <a:xfrm>
                      <a:off x="0" y="0"/>
                      <a:ext cx="8862060" cy="5930900"/>
                    </a:xfrm>
                    <a:prstGeom prst="rect">
                      <a:avLst/>
                    </a:prstGeom>
                    <a:noFill/>
                    <a:ln>
                      <a:noFill/>
                    </a:ln>
                  </pic:spPr>
                </pic:pic>
              </a:graphicData>
            </a:graphic>
          </wp:inline>
        </w:drawing>
      </w: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62060" cy="2969260"/>
            <wp:effectExtent l="0" t="0" r="7620" b="2540"/>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pic:cNvPicPr>
                  </pic:nvPicPr>
                  <pic:blipFill>
                    <a:blip r:embed="rId28"/>
                    <a:stretch>
                      <a:fillRect/>
                    </a:stretch>
                  </pic:blipFill>
                  <pic:spPr>
                    <a:xfrm>
                      <a:off x="0" y="0"/>
                      <a:ext cx="8862060" cy="2969260"/>
                    </a:xfrm>
                    <a:prstGeom prst="rect">
                      <a:avLst/>
                    </a:prstGeom>
                    <a:noFill/>
                    <a:ln>
                      <a:noFill/>
                    </a:ln>
                  </pic:spPr>
                </pic:pic>
              </a:graphicData>
            </a:graphic>
          </wp:inline>
        </w:drawing>
      </w:r>
    </w:p>
    <w:p>
      <w:pPr>
        <w:pStyle w:val="2"/>
      </w:pPr>
      <w:r>
        <w:drawing>
          <wp:inline distT="0" distB="0" distL="114300" distR="114300">
            <wp:extent cx="8769985" cy="5269230"/>
            <wp:effectExtent l="0" t="0" r="8255" b="3810"/>
            <wp:docPr id="1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
                    <pic:cNvPicPr>
                      <a:picLocks noChangeAspect="1"/>
                    </pic:cNvPicPr>
                  </pic:nvPicPr>
                  <pic:blipFill>
                    <a:blip r:embed="rId29"/>
                    <a:stretch>
                      <a:fillRect/>
                    </a:stretch>
                  </pic:blipFill>
                  <pic:spPr>
                    <a:xfrm>
                      <a:off x="0" y="0"/>
                      <a:ext cx="8769985" cy="5269230"/>
                    </a:xfrm>
                    <a:prstGeom prst="rect">
                      <a:avLst/>
                    </a:prstGeom>
                    <a:noFill/>
                    <a:ln>
                      <a:noFill/>
                    </a:ln>
                  </pic:spPr>
                </pic:pic>
              </a:graphicData>
            </a:graphic>
          </wp:inline>
        </w:drawing>
      </w:r>
    </w:p>
    <w:p>
      <w:pPr>
        <w:pStyle w:val="2"/>
      </w:pPr>
      <w:r>
        <w:drawing>
          <wp:inline distT="0" distB="0" distL="114300" distR="114300">
            <wp:extent cx="8858885" cy="4246880"/>
            <wp:effectExtent l="0" t="0" r="10795" b="508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30"/>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pPr>
      <w:r>
        <w:drawing>
          <wp:inline distT="0" distB="0" distL="114300" distR="114300">
            <wp:extent cx="8858885" cy="4246880"/>
            <wp:effectExtent l="0" t="0" r="10795" b="508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31"/>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pPr>
      <w:r>
        <w:drawing>
          <wp:inline distT="0" distB="0" distL="114300" distR="114300">
            <wp:extent cx="8858885" cy="4246880"/>
            <wp:effectExtent l="0" t="0" r="10795" b="508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32"/>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pPr>
      <w:r>
        <w:drawing>
          <wp:inline distT="0" distB="0" distL="114300" distR="114300">
            <wp:extent cx="8858885" cy="4246880"/>
            <wp:effectExtent l="0" t="0" r="10795" b="508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33"/>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pPr>
      <w:r>
        <w:drawing>
          <wp:inline distT="0" distB="0" distL="114300" distR="114300">
            <wp:extent cx="8858885" cy="4246880"/>
            <wp:effectExtent l="0" t="0" r="10795" b="508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34"/>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pPr>
    </w:p>
    <w:p>
      <w:pPr>
        <w:pStyle w:val="2"/>
      </w:pPr>
      <w:r>
        <w:drawing>
          <wp:inline distT="0" distB="0" distL="114300" distR="114300">
            <wp:extent cx="8858885" cy="4246880"/>
            <wp:effectExtent l="0" t="0" r="10795" b="508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35"/>
                    <a:stretch>
                      <a:fillRect/>
                    </a:stretch>
                  </pic:blipFill>
                  <pic:spPr>
                    <a:xfrm>
                      <a:off x="0" y="0"/>
                      <a:ext cx="8858885" cy="4246880"/>
                    </a:xfrm>
                    <a:prstGeom prst="rect">
                      <a:avLst/>
                    </a:prstGeom>
                    <a:noFill/>
                    <a:ln>
                      <a:noFill/>
                    </a:ln>
                  </pic:spPr>
                </pic:pic>
              </a:graphicData>
            </a:graphic>
          </wp:inline>
        </w:drawing>
      </w:r>
    </w:p>
    <w:p>
      <w:pPr>
        <w:pStyle w:val="2"/>
      </w:pPr>
    </w:p>
    <w:p>
      <w:pPr>
        <w:pStyle w:val="2"/>
      </w:pPr>
      <w:r>
        <w:drawing>
          <wp:inline distT="0" distB="0" distL="114300" distR="114300">
            <wp:extent cx="8858885" cy="4246880"/>
            <wp:effectExtent l="0" t="0" r="10795" b="508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pic:cNvPicPr>
                  </pic:nvPicPr>
                  <pic:blipFill>
                    <a:blip r:embed="rId36"/>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pPr>
      <w:r>
        <w:drawing>
          <wp:inline distT="0" distB="0" distL="114300" distR="114300">
            <wp:extent cx="8858885" cy="4246880"/>
            <wp:effectExtent l="0" t="0" r="10795" b="5080"/>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37"/>
                    <a:stretch>
                      <a:fillRect/>
                    </a:stretch>
                  </pic:blipFill>
                  <pic:spPr>
                    <a:xfrm>
                      <a:off x="0" y="0"/>
                      <a:ext cx="8858885" cy="4246880"/>
                    </a:xfrm>
                    <a:prstGeom prst="rect">
                      <a:avLst/>
                    </a:prstGeom>
                    <a:noFill/>
                    <a:ln>
                      <a:noFill/>
                    </a:ln>
                  </pic:spPr>
                </pic:pic>
              </a:graphicData>
            </a:graphic>
          </wp:inline>
        </w:drawing>
      </w:r>
    </w:p>
    <w:p>
      <w:pPr>
        <w:pStyle w:val="2"/>
      </w:pPr>
    </w:p>
    <w:p>
      <w:pPr>
        <w:pStyle w:val="2"/>
      </w:pPr>
    </w:p>
    <w:p>
      <w:pPr>
        <w:pStyle w:val="2"/>
        <w:sectPr>
          <w:pgSz w:w="16838" w:h="11906" w:orient="landscape"/>
          <w:pgMar w:top="1800" w:right="1440" w:bottom="1800" w:left="1440" w:header="851" w:footer="992" w:gutter="0"/>
          <w:pgNumType w:fmt="decimal"/>
          <w:cols w:space="425" w:num="1"/>
          <w:titlePg/>
          <w:docGrid w:type="lines" w:linePitch="312" w:charSpace="0"/>
        </w:sectPr>
      </w:pP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54440" cy="6204585"/>
            <wp:effectExtent l="0" t="0" r="0" b="13335"/>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38"/>
                    <a:stretch>
                      <a:fillRect/>
                    </a:stretch>
                  </pic:blipFill>
                  <pic:spPr>
                    <a:xfrm>
                      <a:off x="0" y="0"/>
                      <a:ext cx="8854440" cy="6204585"/>
                    </a:xfrm>
                    <a:prstGeom prst="rect">
                      <a:avLst/>
                    </a:prstGeom>
                    <a:noFill/>
                    <a:ln>
                      <a:noFill/>
                    </a:ln>
                  </pic:spPr>
                </pic:pic>
              </a:graphicData>
            </a:graphic>
          </wp:inline>
        </w:drawing>
      </w: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p>
    <w:p>
      <w:pPr>
        <w:pStyle w:val="2"/>
        <w:rPr>
          <w:rFonts w:hint="eastAsia"/>
        </w:rPr>
        <w:sectPr>
          <w:type w:val="continuous"/>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905240" cy="3619500"/>
            <wp:effectExtent l="0" t="0" r="10160" b="7620"/>
            <wp:docPr id="1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pic:cNvPicPr>
                      <a:picLocks noChangeAspect="1"/>
                    </pic:cNvPicPr>
                  </pic:nvPicPr>
                  <pic:blipFill>
                    <a:blip r:embed="rId39"/>
                    <a:stretch>
                      <a:fillRect/>
                    </a:stretch>
                  </pic:blipFill>
                  <pic:spPr>
                    <a:xfrm>
                      <a:off x="0" y="0"/>
                      <a:ext cx="8905240" cy="3619500"/>
                    </a:xfrm>
                    <a:prstGeom prst="rect">
                      <a:avLst/>
                    </a:prstGeom>
                    <a:noFill/>
                    <a:ln>
                      <a:noFill/>
                    </a:ln>
                  </pic:spPr>
                </pic:pic>
              </a:graphicData>
            </a:graphic>
          </wp:inline>
        </w:drawing>
      </w: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62695" cy="3110230"/>
            <wp:effectExtent l="0" t="0" r="6985" b="13970"/>
            <wp:docPr id="1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pic:cNvPicPr>
                      <a:picLocks noChangeAspect="1"/>
                    </pic:cNvPicPr>
                  </pic:nvPicPr>
                  <pic:blipFill>
                    <a:blip r:embed="rId40"/>
                    <a:stretch>
                      <a:fillRect/>
                    </a:stretch>
                  </pic:blipFill>
                  <pic:spPr>
                    <a:xfrm>
                      <a:off x="0" y="0"/>
                      <a:ext cx="8862695" cy="3110230"/>
                    </a:xfrm>
                    <a:prstGeom prst="rect">
                      <a:avLst/>
                    </a:prstGeom>
                    <a:noFill/>
                    <a:ln>
                      <a:noFill/>
                    </a:ln>
                  </pic:spPr>
                </pic:pic>
              </a:graphicData>
            </a:graphic>
          </wp:inline>
        </w:drawing>
      </w: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943975" cy="3429000"/>
            <wp:effectExtent l="0" t="0" r="1905"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41"/>
                    <a:stretch>
                      <a:fillRect/>
                    </a:stretch>
                  </pic:blipFill>
                  <pic:spPr>
                    <a:xfrm>
                      <a:off x="0" y="0"/>
                      <a:ext cx="8943975" cy="3429000"/>
                    </a:xfrm>
                    <a:prstGeom prst="rect">
                      <a:avLst/>
                    </a:prstGeom>
                    <a:noFill/>
                    <a:ln>
                      <a:noFill/>
                    </a:ln>
                  </pic:spPr>
                </pic:pic>
              </a:graphicData>
            </a:graphic>
          </wp:inline>
        </w:drawing>
      </w:r>
    </w:p>
    <w:p>
      <w:pPr>
        <w:pStyle w:val="2"/>
      </w:pPr>
    </w:p>
    <w:p>
      <w:pPr>
        <w:pStyle w:val="2"/>
      </w:pPr>
      <w:r>
        <w:drawing>
          <wp:inline distT="0" distB="0" distL="114300" distR="114300">
            <wp:extent cx="8817610" cy="3063240"/>
            <wp:effectExtent l="0" t="0" r="6350" b="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42"/>
                    <a:stretch>
                      <a:fillRect/>
                    </a:stretch>
                  </pic:blipFill>
                  <pic:spPr>
                    <a:xfrm>
                      <a:off x="0" y="0"/>
                      <a:ext cx="8817610" cy="3063240"/>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sectPr>
          <w:pgSz w:w="16838" w:h="11906" w:orient="landscape"/>
          <w:pgMar w:top="1800" w:right="1440" w:bottom="1800" w:left="1440" w:header="851" w:footer="992" w:gutter="0"/>
          <w:pgNumType w:fmt="decimal"/>
          <w:cols w:space="425" w:num="1"/>
          <w:titlePg/>
          <w:docGrid w:type="lines" w:linePitch="312" w:charSpace="0"/>
        </w:sectPr>
      </w:pPr>
      <w:r>
        <w:drawing>
          <wp:inline distT="0" distB="0" distL="114300" distR="114300">
            <wp:extent cx="8858250" cy="2346960"/>
            <wp:effectExtent l="0" t="0" r="11430" b="0"/>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43"/>
                    <a:stretch>
                      <a:fillRect/>
                    </a:stretch>
                  </pic:blipFill>
                  <pic:spPr>
                    <a:xfrm>
                      <a:off x="0" y="0"/>
                      <a:ext cx="8858250" cy="2346960"/>
                    </a:xfrm>
                    <a:prstGeom prst="rect">
                      <a:avLst/>
                    </a:prstGeom>
                    <a:noFill/>
                    <a:ln>
                      <a:noFill/>
                    </a:ln>
                  </pic:spPr>
                </pic:pic>
              </a:graphicData>
            </a:graphic>
          </wp:inline>
        </w:drawing>
      </w:r>
    </w:p>
    <w:p>
      <w:pPr>
        <w:pStyle w:val="2"/>
        <w:spacing w:beforeLines="0"/>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6E20932"/>
    <w:multiLevelType w:val="singleLevel"/>
    <w:tmpl w:val="46E20932"/>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zIwN2MyM2MyMWYwYjZjZjhkNDdkMTZhYmQ1M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7022"/>
    <w:rsid w:val="00142216"/>
    <w:rsid w:val="00144D6A"/>
    <w:rsid w:val="0014729F"/>
    <w:rsid w:val="00157BAB"/>
    <w:rsid w:val="001654D1"/>
    <w:rsid w:val="00174518"/>
    <w:rsid w:val="0018106D"/>
    <w:rsid w:val="001877A7"/>
    <w:rsid w:val="00191536"/>
    <w:rsid w:val="00196687"/>
    <w:rsid w:val="001C0962"/>
    <w:rsid w:val="001D1977"/>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5301"/>
    <w:rsid w:val="0036561B"/>
    <w:rsid w:val="0037013F"/>
    <w:rsid w:val="00380080"/>
    <w:rsid w:val="00380C92"/>
    <w:rsid w:val="003A46D7"/>
    <w:rsid w:val="003A484F"/>
    <w:rsid w:val="003A4883"/>
    <w:rsid w:val="003B0BE0"/>
    <w:rsid w:val="003B0C1B"/>
    <w:rsid w:val="003B688C"/>
    <w:rsid w:val="003C0291"/>
    <w:rsid w:val="003C39AE"/>
    <w:rsid w:val="003C4ACF"/>
    <w:rsid w:val="003C7B60"/>
    <w:rsid w:val="003D0C0F"/>
    <w:rsid w:val="003D1FB2"/>
    <w:rsid w:val="003D66DA"/>
    <w:rsid w:val="003E1310"/>
    <w:rsid w:val="003E6F55"/>
    <w:rsid w:val="003F73E3"/>
    <w:rsid w:val="00401788"/>
    <w:rsid w:val="00406254"/>
    <w:rsid w:val="004223DE"/>
    <w:rsid w:val="00422AE2"/>
    <w:rsid w:val="00434489"/>
    <w:rsid w:val="00437085"/>
    <w:rsid w:val="00443880"/>
    <w:rsid w:val="004464F4"/>
    <w:rsid w:val="00471401"/>
    <w:rsid w:val="00473F31"/>
    <w:rsid w:val="0048263A"/>
    <w:rsid w:val="00487E5D"/>
    <w:rsid w:val="004A711F"/>
    <w:rsid w:val="004B199D"/>
    <w:rsid w:val="004B4690"/>
    <w:rsid w:val="004B48CF"/>
    <w:rsid w:val="004E0A2D"/>
    <w:rsid w:val="004E206B"/>
    <w:rsid w:val="004E6DF7"/>
    <w:rsid w:val="004F0FBD"/>
    <w:rsid w:val="00505A47"/>
    <w:rsid w:val="00512FDA"/>
    <w:rsid w:val="00520DA0"/>
    <w:rsid w:val="00523130"/>
    <w:rsid w:val="005664BB"/>
    <w:rsid w:val="00566FFA"/>
    <w:rsid w:val="0057481D"/>
    <w:rsid w:val="0058486E"/>
    <w:rsid w:val="00585B33"/>
    <w:rsid w:val="0059014D"/>
    <w:rsid w:val="005B42B0"/>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1A1"/>
    <w:rsid w:val="00681A31"/>
    <w:rsid w:val="00683E73"/>
    <w:rsid w:val="00691047"/>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4BCE"/>
    <w:rsid w:val="007F1991"/>
    <w:rsid w:val="007F2C2F"/>
    <w:rsid w:val="007F55FC"/>
    <w:rsid w:val="007F5665"/>
    <w:rsid w:val="00800112"/>
    <w:rsid w:val="00804F68"/>
    <w:rsid w:val="00813348"/>
    <w:rsid w:val="008253BB"/>
    <w:rsid w:val="0083706E"/>
    <w:rsid w:val="008408F6"/>
    <w:rsid w:val="008423A5"/>
    <w:rsid w:val="00846D6C"/>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4BDD"/>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4E43"/>
    <w:rsid w:val="00B77EA6"/>
    <w:rsid w:val="00B81598"/>
    <w:rsid w:val="00B841F1"/>
    <w:rsid w:val="00B944D6"/>
    <w:rsid w:val="00BA696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1855"/>
    <w:rsid w:val="00E331A1"/>
    <w:rsid w:val="00E33202"/>
    <w:rsid w:val="00E336A9"/>
    <w:rsid w:val="00E472B1"/>
    <w:rsid w:val="00E50624"/>
    <w:rsid w:val="00E53DE4"/>
    <w:rsid w:val="00E568DF"/>
    <w:rsid w:val="00E61F0C"/>
    <w:rsid w:val="00E64269"/>
    <w:rsid w:val="00E82267"/>
    <w:rsid w:val="00E853CE"/>
    <w:rsid w:val="00E867B6"/>
    <w:rsid w:val="00EA010F"/>
    <w:rsid w:val="00EA60DA"/>
    <w:rsid w:val="00EB7439"/>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3DAB"/>
    <w:rsid w:val="00FF1E02"/>
    <w:rsid w:val="00FF30B4"/>
    <w:rsid w:val="03BA419E"/>
    <w:rsid w:val="03D03A1B"/>
    <w:rsid w:val="053A62B5"/>
    <w:rsid w:val="0A2032A3"/>
    <w:rsid w:val="0B8A37D8"/>
    <w:rsid w:val="0BB7385E"/>
    <w:rsid w:val="0EB17155"/>
    <w:rsid w:val="10C055FF"/>
    <w:rsid w:val="10C06C14"/>
    <w:rsid w:val="118107EC"/>
    <w:rsid w:val="11DD6519"/>
    <w:rsid w:val="14850671"/>
    <w:rsid w:val="15426B42"/>
    <w:rsid w:val="169923E1"/>
    <w:rsid w:val="16BB723D"/>
    <w:rsid w:val="18015F3F"/>
    <w:rsid w:val="1AEB0D31"/>
    <w:rsid w:val="1B642E72"/>
    <w:rsid w:val="1B6F3710"/>
    <w:rsid w:val="1BE8440E"/>
    <w:rsid w:val="1D155CEE"/>
    <w:rsid w:val="1E32790F"/>
    <w:rsid w:val="20F57F95"/>
    <w:rsid w:val="217C0935"/>
    <w:rsid w:val="239D6975"/>
    <w:rsid w:val="23F75CD7"/>
    <w:rsid w:val="240371BF"/>
    <w:rsid w:val="249172EA"/>
    <w:rsid w:val="25711CC6"/>
    <w:rsid w:val="25C741E6"/>
    <w:rsid w:val="26F1392B"/>
    <w:rsid w:val="27842671"/>
    <w:rsid w:val="29FD04D3"/>
    <w:rsid w:val="2ABE7A3E"/>
    <w:rsid w:val="2CA234A8"/>
    <w:rsid w:val="2D562184"/>
    <w:rsid w:val="2EFA178C"/>
    <w:rsid w:val="30B46D73"/>
    <w:rsid w:val="31684A32"/>
    <w:rsid w:val="319F7F4E"/>
    <w:rsid w:val="335C104B"/>
    <w:rsid w:val="35911657"/>
    <w:rsid w:val="36FD3E6E"/>
    <w:rsid w:val="37680EA8"/>
    <w:rsid w:val="383D272C"/>
    <w:rsid w:val="39A04098"/>
    <w:rsid w:val="39AE70AB"/>
    <w:rsid w:val="3AF8315C"/>
    <w:rsid w:val="3B642DB3"/>
    <w:rsid w:val="3BAF43FE"/>
    <w:rsid w:val="3C0C0783"/>
    <w:rsid w:val="3DE110DA"/>
    <w:rsid w:val="3F9F3A96"/>
    <w:rsid w:val="3FC45529"/>
    <w:rsid w:val="454C1664"/>
    <w:rsid w:val="459C681F"/>
    <w:rsid w:val="485C7482"/>
    <w:rsid w:val="48BF60AB"/>
    <w:rsid w:val="492F7D14"/>
    <w:rsid w:val="493C27E9"/>
    <w:rsid w:val="496F39ED"/>
    <w:rsid w:val="49FF41D3"/>
    <w:rsid w:val="4B6A76FE"/>
    <w:rsid w:val="4BE068DB"/>
    <w:rsid w:val="4BF6002B"/>
    <w:rsid w:val="4EB94696"/>
    <w:rsid w:val="4ECE2238"/>
    <w:rsid w:val="4F9D223D"/>
    <w:rsid w:val="500100D3"/>
    <w:rsid w:val="5197772B"/>
    <w:rsid w:val="51DB4B86"/>
    <w:rsid w:val="521E64D3"/>
    <w:rsid w:val="52ED6F99"/>
    <w:rsid w:val="53560736"/>
    <w:rsid w:val="55333C3E"/>
    <w:rsid w:val="588F328B"/>
    <w:rsid w:val="591F15CA"/>
    <w:rsid w:val="5ACE32A8"/>
    <w:rsid w:val="5B1946D3"/>
    <w:rsid w:val="64CA39A1"/>
    <w:rsid w:val="67B06757"/>
    <w:rsid w:val="69630ADE"/>
    <w:rsid w:val="6A072EEE"/>
    <w:rsid w:val="6BC50CB4"/>
    <w:rsid w:val="6BD864BE"/>
    <w:rsid w:val="6C4A05C8"/>
    <w:rsid w:val="6D3B1A89"/>
    <w:rsid w:val="6D987673"/>
    <w:rsid w:val="6E983460"/>
    <w:rsid w:val="6EA43A5C"/>
    <w:rsid w:val="6FD31719"/>
    <w:rsid w:val="71BF4EC2"/>
    <w:rsid w:val="72734D90"/>
    <w:rsid w:val="7412278C"/>
    <w:rsid w:val="79E7B28D"/>
    <w:rsid w:val="7AF97A75"/>
    <w:rsid w:val="7F9F20EE"/>
    <w:rsid w:val="7FD05B36"/>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link w:val="33"/>
    <w:semiHidden/>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正文文本缩进 Char"/>
    <w:basedOn w:val="15"/>
    <w:link w:val="6"/>
    <w:semiHidden/>
    <w:qFormat/>
    <w:uiPriority w:val="99"/>
    <w:rPr>
      <w:rFonts w:ascii="Times New Roman" w:hAnsi="Times New Roman" w:eastAsia="宋体" w:cs="Times New Roman"/>
      <w:kern w:val="2"/>
      <w:sz w:val="21"/>
      <w:szCs w:val="24"/>
    </w:rPr>
  </w:style>
  <w:style w:type="character" w:customStyle="1" w:styleId="33">
    <w:name w:val="正文首行缩进 2 Char"/>
    <w:basedOn w:val="32"/>
    <w:link w:val="13"/>
    <w:semiHidden/>
    <w:qFormat/>
    <w:uiPriority w:val="99"/>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61"/>
    <w:basedOn w:val="15"/>
    <w:qFormat/>
    <w:uiPriority w:val="0"/>
    <w:rPr>
      <w:rFonts w:hint="default" w:ascii="Times New Roman" w:hAnsi="Times New Roman" w:cs="Times New Roman"/>
      <w:color w:val="000000"/>
      <w:sz w:val="24"/>
      <w:szCs w:val="24"/>
      <w:u w:val="none"/>
    </w:rPr>
  </w:style>
  <w:style w:type="character" w:customStyle="1" w:styleId="36">
    <w:name w:val="font31"/>
    <w:basedOn w:val="15"/>
    <w:qFormat/>
    <w:uiPriority w:val="0"/>
    <w:rPr>
      <w:rFonts w:hint="eastAsia" w:ascii="宋体" w:hAnsi="宋体" w:eastAsia="宋体" w:cs="宋体"/>
      <w:color w:val="000000"/>
      <w:sz w:val="24"/>
      <w:szCs w:val="24"/>
      <w:u w:val="none"/>
    </w:rPr>
  </w:style>
  <w:style w:type="character" w:customStyle="1" w:styleId="37">
    <w:name w:val="font0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9.emf"/><Relationship Id="rId42" Type="http://schemas.openxmlformats.org/officeDocument/2006/relationships/image" Target="media/image28.emf"/><Relationship Id="rId41" Type="http://schemas.openxmlformats.org/officeDocument/2006/relationships/image" Target="media/image27.emf"/><Relationship Id="rId40" Type="http://schemas.openxmlformats.org/officeDocument/2006/relationships/image" Target="media/image26.emf"/><Relationship Id="rId4" Type="http://schemas.openxmlformats.org/officeDocument/2006/relationships/footer" Target="footer1.xml"/><Relationship Id="rId39" Type="http://schemas.openxmlformats.org/officeDocument/2006/relationships/image" Target="media/image25.emf"/><Relationship Id="rId38" Type="http://schemas.openxmlformats.org/officeDocument/2006/relationships/image" Target="media/image24.emf"/><Relationship Id="rId37" Type="http://schemas.openxmlformats.org/officeDocument/2006/relationships/image" Target="media/image23.emf"/><Relationship Id="rId36" Type="http://schemas.openxmlformats.org/officeDocument/2006/relationships/image" Target="media/image22.emf"/><Relationship Id="rId35" Type="http://schemas.openxmlformats.org/officeDocument/2006/relationships/image" Target="media/image21.emf"/><Relationship Id="rId34" Type="http://schemas.openxmlformats.org/officeDocument/2006/relationships/image" Target="media/image20.emf"/><Relationship Id="rId33" Type="http://schemas.openxmlformats.org/officeDocument/2006/relationships/image" Target="media/image19.emf"/><Relationship Id="rId32" Type="http://schemas.openxmlformats.org/officeDocument/2006/relationships/image" Target="media/image18.emf"/><Relationship Id="rId31" Type="http://schemas.openxmlformats.org/officeDocument/2006/relationships/image" Target="media/image17.emf"/><Relationship Id="rId30" Type="http://schemas.openxmlformats.org/officeDocument/2006/relationships/image" Target="media/image16.emf"/><Relationship Id="rId3" Type="http://schemas.openxmlformats.org/officeDocument/2006/relationships/header" Target="header1.xml"/><Relationship Id="rId29" Type="http://schemas.openxmlformats.org/officeDocument/2006/relationships/image" Target="media/image15.emf"/><Relationship Id="rId28" Type="http://schemas.openxmlformats.org/officeDocument/2006/relationships/image" Target="media/image14.emf"/><Relationship Id="rId27" Type="http://schemas.openxmlformats.org/officeDocument/2006/relationships/image" Target="media/image13.emf"/><Relationship Id="rId26" Type="http://schemas.openxmlformats.org/officeDocument/2006/relationships/image" Target="media/image12.emf"/><Relationship Id="rId25" Type="http://schemas.openxmlformats.org/officeDocument/2006/relationships/image" Target="media/image11.emf"/><Relationship Id="rId24" Type="http://schemas.openxmlformats.org/officeDocument/2006/relationships/image" Target="media/image10.emf"/><Relationship Id="rId23" Type="http://schemas.openxmlformats.org/officeDocument/2006/relationships/image" Target="media/image9.emf"/><Relationship Id="rId22" Type="http://schemas.openxmlformats.org/officeDocument/2006/relationships/image" Target="media/image8.emf"/><Relationship Id="rId21" Type="http://schemas.openxmlformats.org/officeDocument/2006/relationships/image" Target="media/image7.emf"/><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5134</Words>
  <Characters>5724</Characters>
  <Lines>41</Lines>
  <Paragraphs>11</Paragraphs>
  <TotalTime>7</TotalTime>
  <ScaleCrop>false</ScaleCrop>
  <LinksUpToDate>false</LinksUpToDate>
  <CharactersWithSpaces>7617</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2023-10-11T02:29:00Z</dcterms:created>
  <dc:creator>曹颖</dc:creator>
  <cp:lastModifiedBy>邓雨欣</cp:lastModifiedBy>
  <cp:lastPrinted>2023-10-25T01:43:00Z</cp:lastPrinted>
  <dcterms:modified xsi:type="dcterms:W3CDTF">2023-10-27T01:43:34Z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2B543BEBADF24B3EB089FBC9EFEA87BD_13</vt:lpwstr>
  </property>
</Properties>
</file>