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95" w:rsidRDefault="00155795">
      <w:pPr>
        <w:ind w:firstLineChars="200" w:firstLine="640"/>
        <w:jc w:val="left"/>
        <w:rPr>
          <w:rFonts w:ascii="Times New Roman" w:eastAsia="仿宋_GB2312" w:hAnsi="Times New Roman"/>
          <w:sz w:val="32"/>
          <w:szCs w:val="32"/>
        </w:rPr>
      </w:pPr>
    </w:p>
    <w:p w:rsidR="00155795" w:rsidRDefault="00A06E5A" w:rsidP="00A06E5A">
      <w:pPr>
        <w:spacing w:line="0" w:lineRule="atLeast"/>
        <w:ind w:firstLineChars="200" w:firstLine="763"/>
        <w:jc w:val="center"/>
        <w:rPr>
          <w:rFonts w:ascii="方正小标宋_GBK" w:eastAsia="方正小标宋_GBK" w:hAnsi="黑体"/>
          <w:b/>
          <w:sz w:val="38"/>
          <w:szCs w:val="38"/>
        </w:rPr>
      </w:pPr>
      <w:r>
        <w:rPr>
          <w:rFonts w:ascii="方正小标宋_GBK" w:eastAsia="方正小标宋_GBK" w:hAnsi="黑体" w:hint="eastAsia"/>
          <w:b/>
          <w:sz w:val="38"/>
          <w:szCs w:val="38"/>
        </w:rPr>
        <w:t>盐边县</w:t>
      </w:r>
      <w:proofErr w:type="gramStart"/>
      <w:r>
        <w:rPr>
          <w:rFonts w:ascii="方正小标宋_GBK" w:eastAsia="方正小标宋_GBK" w:hAnsi="黑体" w:hint="eastAsia"/>
          <w:b/>
          <w:sz w:val="38"/>
          <w:szCs w:val="38"/>
        </w:rPr>
        <w:t>箐</w:t>
      </w:r>
      <w:proofErr w:type="gramEnd"/>
      <w:r>
        <w:rPr>
          <w:rFonts w:ascii="方正小标宋_GBK" w:eastAsia="方正小标宋_GBK" w:hAnsi="黑体" w:hint="eastAsia"/>
          <w:b/>
          <w:sz w:val="38"/>
          <w:szCs w:val="38"/>
        </w:rPr>
        <w:t>河乡人民政府</w:t>
      </w:r>
    </w:p>
    <w:p w:rsidR="00155795" w:rsidRDefault="00A06E5A" w:rsidP="00A06E5A">
      <w:pPr>
        <w:spacing w:line="0" w:lineRule="atLeast"/>
        <w:ind w:firstLineChars="200" w:firstLine="763"/>
        <w:jc w:val="center"/>
        <w:rPr>
          <w:rFonts w:ascii="方正小标宋_GBK" w:eastAsia="方正小标宋_GBK" w:hAnsi="黑体"/>
          <w:b/>
          <w:sz w:val="38"/>
          <w:szCs w:val="38"/>
        </w:rPr>
      </w:pPr>
      <w:r>
        <w:rPr>
          <w:rFonts w:ascii="方正小标宋_GBK" w:eastAsia="方正小标宋_GBK" w:hAnsi="黑体" w:hint="eastAsia"/>
          <w:b/>
          <w:sz w:val="38"/>
          <w:szCs w:val="38"/>
        </w:rPr>
        <w:t>2019年部门预算整体绩效评价自评报告</w:t>
      </w:r>
    </w:p>
    <w:p w:rsidR="00155795" w:rsidRDefault="00A06E5A">
      <w:pPr>
        <w:spacing w:line="560" w:lineRule="exact"/>
        <w:ind w:firstLineChars="200" w:firstLine="640"/>
        <w:jc w:val="left"/>
        <w:rPr>
          <w:rFonts w:eastAsia="黑体"/>
          <w:sz w:val="32"/>
          <w:szCs w:val="32"/>
        </w:rPr>
      </w:pPr>
      <w:r>
        <w:rPr>
          <w:rFonts w:eastAsia="黑体"/>
          <w:sz w:val="32"/>
          <w:szCs w:val="32"/>
        </w:rPr>
        <w:t>一、部门概况</w:t>
      </w:r>
    </w:p>
    <w:p w:rsidR="00155795" w:rsidRDefault="00A06E5A">
      <w:pPr>
        <w:widowControl/>
        <w:adjustRightInd w:val="0"/>
        <w:snapToGrid w:val="0"/>
        <w:spacing w:line="560" w:lineRule="exact"/>
        <w:ind w:firstLineChars="200" w:firstLine="640"/>
        <w:jc w:val="left"/>
        <w:rPr>
          <w:rFonts w:ascii="仿宋_GB2312" w:eastAsia="仿宋_GB2312" w:hAnsi="宋体" w:cs="仿宋_GB2312"/>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（一）机构组成</w:t>
      </w:r>
    </w:p>
    <w:p w:rsidR="00155795" w:rsidRDefault="00A06E5A">
      <w:pPr>
        <w:pStyle w:val="a3"/>
        <w:adjustRightInd w:val="0"/>
        <w:snapToGrid w:val="0"/>
        <w:spacing w:before="93" w:line="560" w:lineRule="exact"/>
        <w:ind w:firstLineChars="200" w:firstLine="660"/>
        <w:rPr>
          <w:rFonts w:ascii="方正仿宋_GBK" w:eastAsia="方正仿宋_GBK"/>
          <w:color w:val="000000"/>
          <w:sz w:val="33"/>
          <w:szCs w:val="33"/>
        </w:rPr>
      </w:pPr>
      <w:proofErr w:type="gramStart"/>
      <w:r>
        <w:rPr>
          <w:rFonts w:ascii="方正仿宋_GBK" w:eastAsia="方正仿宋_GBK" w:hint="eastAsia"/>
          <w:color w:val="000000"/>
          <w:sz w:val="33"/>
          <w:szCs w:val="33"/>
        </w:rPr>
        <w:t>箐</w:t>
      </w:r>
      <w:proofErr w:type="gramEnd"/>
      <w:r>
        <w:rPr>
          <w:rFonts w:ascii="方正仿宋_GBK" w:eastAsia="方正仿宋_GBK" w:hint="eastAsia"/>
          <w:color w:val="000000"/>
          <w:sz w:val="33"/>
          <w:szCs w:val="33"/>
        </w:rPr>
        <w:t>河乡人民政府属于机关事业一级单位，其中行政单位1个，事业单位3个，包含：农业服务中心、宣文中心、社会保障和就业服务中心。</w:t>
      </w:r>
    </w:p>
    <w:p w:rsidR="00155795" w:rsidRDefault="00A06E5A">
      <w:pPr>
        <w:widowControl/>
        <w:numPr>
          <w:ilvl w:val="0"/>
          <w:numId w:val="1"/>
        </w:numPr>
        <w:adjustRightInd w:val="0"/>
        <w:snapToGrid w:val="0"/>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lang w:val="zh-CN"/>
        </w:rPr>
        <w:t>机构职能</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color w:val="333333"/>
          <w:sz w:val="32"/>
          <w:szCs w:val="32"/>
          <w:shd w:val="clear" w:color="auto" w:fill="FFFFFF"/>
        </w:rPr>
        <w:t>贯彻执行党的路线、方针、政策和上级党组织及党员代表大会的决议、决定。</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2.研究决定全乡经济建设和社会发展中带有全局性的</w:t>
      </w:r>
      <w:r>
        <w:rPr>
          <w:rFonts w:ascii="仿宋_GB2312" w:eastAsia="仿宋_GB2312" w:hAnsi="仿宋_GB2312" w:cs="仿宋_GB2312"/>
          <w:color w:val="333333"/>
          <w:sz w:val="32"/>
          <w:szCs w:val="32"/>
          <w:shd w:val="clear" w:color="auto" w:fill="FFFFFF"/>
        </w:rPr>
        <w:t>重大问题。</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负责抓好所属党组织的思想建设、组织建设、作风建设。负责全面从严治党、党风廉政建设和反腐败工作。</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按照干部管理权限，负责对干部的教育、培养、选拔任免和监督工作，向上级党组织推荐干部。</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领导工会、共青团、妇联、科协等群团组织，协调党政之间的关系。</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负责本行政区域的政治思想、宣传、统战、政法、保密、武装、精神文明建设和民主法制建设等工作。</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7.制定并执行本行政区域内经济和社会发展规划、计划。</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8</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负责乡村振兴、新农村建设和推进城乡一体化的组织和实施。</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负责辖区经济、文化、教育、科学、卫生健康、民政、社会保障、民族宗教、村乡建设、司法、退役军人、扶贫、信访、安全、统计等行政管理和服务工作。</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负责农业产业结构调整和</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三农</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服务工作。</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11</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建立健全社会治理防控体系，开展爱国卫生、环境</w:t>
      </w:r>
      <w:r>
        <w:rPr>
          <w:rFonts w:ascii="仿宋_GB2312" w:eastAsia="仿宋_GB2312" w:hAnsi="仿宋_GB2312" w:cs="仿宋_GB2312"/>
          <w:color w:val="333333"/>
          <w:sz w:val="32"/>
          <w:szCs w:val="32"/>
          <w:shd w:val="clear" w:color="auto" w:fill="FFFFFF"/>
        </w:rPr>
        <w:t>卫生监督检查，承担环境、资源保护等工作，促进人与自然和谐发展。</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负责应急管理、安全生产、抢险救灾等工作，保护人民群众生命财产安全。</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13</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完成上级党委、政府交办的其他工作。</w:t>
      </w:r>
    </w:p>
    <w:p w:rsidR="00155795" w:rsidRDefault="00A06E5A">
      <w:pPr>
        <w:widowControl/>
        <w:adjustRightInd w:val="0"/>
        <w:snapToGrid w:val="0"/>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宋体" w:cs="仿宋_GB2312" w:hint="eastAsia"/>
          <w:color w:val="000000"/>
          <w:kern w:val="0"/>
          <w:sz w:val="32"/>
          <w:szCs w:val="32"/>
          <w:shd w:val="clear" w:color="auto" w:fill="FFFFFF"/>
          <w:lang w:val="zh-CN"/>
        </w:rPr>
        <w:t>（三）人员概况</w:t>
      </w:r>
    </w:p>
    <w:p w:rsidR="00155795" w:rsidRDefault="00A06E5A">
      <w:pPr>
        <w:widowControl/>
        <w:adjustRightInd w:val="0"/>
        <w:snapToGrid w:val="0"/>
        <w:spacing w:line="560" w:lineRule="exact"/>
        <w:ind w:firstLineChars="200" w:firstLine="640"/>
        <w:jc w:val="left"/>
        <w:rPr>
          <w:rFonts w:ascii="仿宋_GB2312" w:eastAsia="仿宋_GB2312" w:hAnsi="宋体" w:cs="仿宋_GB2312"/>
          <w:color w:val="000000"/>
          <w:kern w:val="0"/>
          <w:sz w:val="32"/>
          <w:szCs w:val="32"/>
          <w:shd w:val="clear" w:color="auto" w:fill="FFFFFF"/>
          <w:lang w:val="zh-CN"/>
        </w:rPr>
      </w:pPr>
      <w:proofErr w:type="gramStart"/>
      <w:r>
        <w:rPr>
          <w:rFonts w:ascii="仿宋_GB2312" w:eastAsia="仿宋_GB2312" w:hAnsi="仿宋_GB2312" w:cs="仿宋_GB2312" w:hint="eastAsia"/>
          <w:color w:val="333333"/>
          <w:sz w:val="32"/>
          <w:szCs w:val="32"/>
          <w:shd w:val="clear" w:color="auto" w:fill="FFFFFF"/>
        </w:rPr>
        <w:t>箐</w:t>
      </w:r>
      <w:proofErr w:type="gramEnd"/>
      <w:r>
        <w:rPr>
          <w:rFonts w:ascii="仿宋_GB2312" w:eastAsia="仿宋_GB2312" w:hAnsi="仿宋_GB2312" w:cs="仿宋_GB2312" w:hint="eastAsia"/>
          <w:color w:val="333333"/>
          <w:sz w:val="32"/>
          <w:szCs w:val="32"/>
          <w:shd w:val="clear" w:color="auto" w:fill="FFFFFF"/>
        </w:rPr>
        <w:t>河乡人民政府现有编制数</w:t>
      </w:r>
      <w:r>
        <w:rPr>
          <w:rFonts w:eastAsia="楷体_GB2312" w:hint="eastAsia"/>
          <w:sz w:val="32"/>
          <w:szCs w:val="32"/>
        </w:rPr>
        <w:t>29</w:t>
      </w:r>
      <w:r>
        <w:rPr>
          <w:rFonts w:ascii="仿宋_GB2312" w:eastAsia="仿宋_GB2312" w:hAnsi="仿宋_GB2312" w:cs="仿宋_GB2312" w:hint="eastAsia"/>
          <w:color w:val="333333"/>
          <w:sz w:val="32"/>
          <w:szCs w:val="32"/>
          <w:shd w:val="clear" w:color="auto" w:fill="FFFFFF"/>
        </w:rPr>
        <w:t>人，</w:t>
      </w:r>
      <w:r>
        <w:rPr>
          <w:rFonts w:ascii="仿宋_GB2312" w:eastAsia="仿宋_GB2312" w:hAnsi="仿宋_GB2312" w:cs="仿宋_GB2312" w:hint="eastAsia"/>
          <w:color w:val="000000"/>
          <w:sz w:val="32"/>
          <w:szCs w:val="32"/>
          <w:shd w:val="clear" w:color="auto" w:fill="FFFFFF"/>
        </w:rPr>
        <w:t>其中：行政编制13人，</w:t>
      </w:r>
      <w:r>
        <w:rPr>
          <w:rFonts w:ascii="仿宋_GB2312" w:eastAsia="仿宋_GB2312" w:hAnsi="仿宋_GB2312" w:cs="仿宋_GB2312" w:hint="eastAsia"/>
          <w:color w:val="333333"/>
          <w:sz w:val="32"/>
          <w:szCs w:val="32"/>
          <w:shd w:val="clear" w:color="auto" w:fill="FFFFFF"/>
        </w:rPr>
        <w:t>工勤人员2人，事业编制14人，2019年年末在职人员28人，其中行政编制13人，工勤编制2人，事业编制13人。</w:t>
      </w:r>
    </w:p>
    <w:p w:rsidR="00155795" w:rsidRDefault="00A06E5A">
      <w:pPr>
        <w:pStyle w:val="a4"/>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二、部门资金基本情况</w:t>
      </w:r>
    </w:p>
    <w:p w:rsidR="00155795" w:rsidRDefault="00A06E5A">
      <w:pPr>
        <w:pStyle w:val="a4"/>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（一）年初部门预算安排及支出情况</w:t>
      </w:r>
    </w:p>
    <w:p w:rsidR="00155795" w:rsidRDefault="00A06E5A">
      <w:pPr>
        <w:pStyle w:val="a4"/>
        <w:numPr>
          <w:ilvl w:val="0"/>
          <w:numId w:val="2"/>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基本支出安排及使用情况</w:t>
      </w:r>
    </w:p>
    <w:p w:rsidR="00155795" w:rsidRDefault="00155795">
      <w:pPr>
        <w:pStyle w:val="a4"/>
        <w:spacing w:line="560" w:lineRule="exact"/>
        <w:ind w:firstLineChars="200" w:firstLine="640"/>
        <w:rPr>
          <w:rFonts w:ascii="Times New Roman" w:eastAsia="楷体_GB2312" w:hAnsi="Times New Roman"/>
          <w:sz w:val="32"/>
          <w:szCs w:val="32"/>
        </w:rPr>
      </w:pPr>
    </w:p>
    <w:p w:rsidR="00155795" w:rsidRDefault="00A06E5A">
      <w:pPr>
        <w:pStyle w:val="a4"/>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2019</w:t>
      </w:r>
      <w:r>
        <w:rPr>
          <w:rFonts w:ascii="Times New Roman" w:eastAsia="仿宋_GB2312" w:hAnsi="Times New Roman" w:hint="eastAsia"/>
          <w:sz w:val="32"/>
          <w:szCs w:val="32"/>
        </w:rPr>
        <w:t>年度收入</w:t>
      </w:r>
      <w:r>
        <w:rPr>
          <w:rFonts w:ascii="Times New Roman" w:eastAsia="仿宋_GB2312" w:hAnsi="Times New Roman" w:hint="eastAsia"/>
          <w:sz w:val="32"/>
          <w:szCs w:val="32"/>
        </w:rPr>
        <w:t>841.57</w:t>
      </w:r>
      <w:r>
        <w:rPr>
          <w:rFonts w:ascii="Times New Roman" w:eastAsia="仿宋_GB2312" w:hAnsi="Times New Roman" w:hint="eastAsia"/>
          <w:sz w:val="32"/>
          <w:szCs w:val="32"/>
        </w:rPr>
        <w:t>万元，与</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679.51</w:t>
      </w:r>
      <w:r>
        <w:rPr>
          <w:rFonts w:ascii="Times New Roman" w:eastAsia="仿宋_GB2312" w:hAnsi="Times New Roman" w:hint="eastAsia"/>
          <w:sz w:val="32"/>
          <w:szCs w:val="32"/>
        </w:rPr>
        <w:t>万元相比，收入增加</w:t>
      </w:r>
      <w:r>
        <w:rPr>
          <w:rFonts w:ascii="Times New Roman" w:eastAsia="仿宋_GB2312" w:hAnsi="Times New Roman" w:hint="eastAsia"/>
          <w:sz w:val="32"/>
          <w:szCs w:val="32"/>
        </w:rPr>
        <w:t>147.06</w:t>
      </w:r>
      <w:r>
        <w:rPr>
          <w:rFonts w:ascii="Times New Roman" w:eastAsia="仿宋_GB2312" w:hAnsi="Times New Roman" w:hint="eastAsia"/>
          <w:sz w:val="32"/>
          <w:szCs w:val="32"/>
        </w:rPr>
        <w:t>万元，增长</w:t>
      </w:r>
      <w:r>
        <w:rPr>
          <w:rFonts w:ascii="Times New Roman" w:eastAsia="仿宋_GB2312" w:hAnsi="Times New Roman" w:hint="eastAsia"/>
          <w:sz w:val="32"/>
          <w:szCs w:val="32"/>
        </w:rPr>
        <w:t>21.64%</w:t>
      </w:r>
      <w:r>
        <w:rPr>
          <w:rFonts w:ascii="Times New Roman" w:eastAsia="仿宋_GB2312" w:hAnsi="Times New Roman" w:hint="eastAsia"/>
          <w:sz w:val="32"/>
          <w:szCs w:val="32"/>
        </w:rPr>
        <w:t>；</w:t>
      </w:r>
      <w:r>
        <w:rPr>
          <w:rFonts w:ascii="Times New Roman" w:eastAsia="仿宋_GB2312" w:hAnsi="Times New Roman" w:hint="eastAsia"/>
          <w:sz w:val="32"/>
          <w:szCs w:val="32"/>
        </w:rPr>
        <w:t>2019</w:t>
      </w:r>
      <w:r>
        <w:rPr>
          <w:rFonts w:ascii="Times New Roman" w:eastAsia="仿宋_GB2312" w:hAnsi="Times New Roman" w:hint="eastAsia"/>
          <w:sz w:val="32"/>
          <w:szCs w:val="32"/>
        </w:rPr>
        <w:t>年度支出</w:t>
      </w:r>
      <w:r>
        <w:rPr>
          <w:rFonts w:ascii="Times New Roman" w:eastAsia="仿宋_GB2312" w:hAnsi="Times New Roman" w:hint="eastAsia"/>
          <w:sz w:val="32"/>
          <w:szCs w:val="32"/>
        </w:rPr>
        <w:t>914.24</w:t>
      </w:r>
      <w:r>
        <w:rPr>
          <w:rFonts w:ascii="Times New Roman" w:eastAsia="仿宋_GB2312" w:hAnsi="Times New Roman" w:hint="eastAsia"/>
          <w:sz w:val="32"/>
          <w:szCs w:val="32"/>
        </w:rPr>
        <w:t>万元，与</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699.99</w:t>
      </w:r>
      <w:r>
        <w:rPr>
          <w:rFonts w:ascii="Times New Roman" w:eastAsia="仿宋_GB2312" w:hAnsi="Times New Roman" w:hint="eastAsia"/>
          <w:sz w:val="32"/>
          <w:szCs w:val="32"/>
        </w:rPr>
        <w:t>万元相比增加</w:t>
      </w:r>
      <w:r>
        <w:rPr>
          <w:rFonts w:ascii="Times New Roman" w:eastAsia="仿宋_GB2312" w:hAnsi="Times New Roman" w:hint="eastAsia"/>
          <w:sz w:val="32"/>
          <w:szCs w:val="32"/>
        </w:rPr>
        <w:t>214.25</w:t>
      </w:r>
      <w:r>
        <w:rPr>
          <w:rFonts w:ascii="Times New Roman" w:eastAsia="仿宋_GB2312" w:hAnsi="Times New Roman" w:hint="eastAsia"/>
          <w:sz w:val="32"/>
          <w:szCs w:val="32"/>
        </w:rPr>
        <w:t>万元，下上升</w:t>
      </w:r>
      <w:r>
        <w:rPr>
          <w:rFonts w:ascii="Times New Roman" w:eastAsia="仿宋_GB2312" w:hAnsi="Times New Roman" w:hint="eastAsia"/>
          <w:sz w:val="32"/>
          <w:szCs w:val="32"/>
        </w:rPr>
        <w:t>30.6%</w:t>
      </w:r>
      <w:r>
        <w:rPr>
          <w:rFonts w:ascii="Times New Roman" w:eastAsia="仿宋_GB2312" w:hAnsi="Times New Roman" w:hint="eastAsia"/>
          <w:sz w:val="32"/>
          <w:szCs w:val="32"/>
        </w:rPr>
        <w:t>。主要变动原因是人员变动，项目增加。基本支出</w:t>
      </w:r>
      <w:r>
        <w:rPr>
          <w:rFonts w:ascii="Times New Roman" w:eastAsia="仿宋_GB2312" w:hAnsi="Times New Roman" w:hint="eastAsia"/>
          <w:sz w:val="32"/>
          <w:szCs w:val="32"/>
        </w:rPr>
        <w:lastRenderedPageBreak/>
        <w:t>620.03</w:t>
      </w:r>
      <w:r>
        <w:rPr>
          <w:rFonts w:ascii="Times New Roman" w:eastAsia="仿宋_GB2312" w:hAnsi="Times New Roman" w:hint="eastAsia"/>
          <w:sz w:val="32"/>
          <w:szCs w:val="32"/>
        </w:rPr>
        <w:t>万元，主要用于基本工资、津贴补贴、办公费、差旅费、水电邮电费、车辆运行维护费等日常公用经费。其中：一般公共服务支出</w:t>
      </w:r>
      <w:r>
        <w:rPr>
          <w:rFonts w:ascii="Times New Roman" w:eastAsia="仿宋_GB2312" w:hAnsi="Times New Roman" w:hint="eastAsia"/>
          <w:sz w:val="32"/>
          <w:szCs w:val="32"/>
        </w:rPr>
        <w:t>373.71</w:t>
      </w:r>
      <w:r>
        <w:rPr>
          <w:rFonts w:ascii="Times New Roman" w:eastAsia="仿宋_GB2312" w:hAnsi="Times New Roman" w:hint="eastAsia"/>
          <w:sz w:val="32"/>
          <w:szCs w:val="32"/>
        </w:rPr>
        <w:t>万元，社会保障和就业支出</w:t>
      </w:r>
      <w:r>
        <w:rPr>
          <w:rFonts w:ascii="Times New Roman" w:eastAsia="仿宋_GB2312" w:hAnsi="Times New Roman" w:hint="eastAsia"/>
          <w:sz w:val="32"/>
          <w:szCs w:val="32"/>
        </w:rPr>
        <w:t>90.82</w:t>
      </w:r>
      <w:r>
        <w:rPr>
          <w:rFonts w:ascii="Times New Roman" w:eastAsia="仿宋_GB2312" w:hAnsi="Times New Roman" w:hint="eastAsia"/>
          <w:sz w:val="32"/>
          <w:szCs w:val="32"/>
        </w:rPr>
        <w:t>万元，农林水支出</w:t>
      </w:r>
      <w:r>
        <w:rPr>
          <w:rFonts w:ascii="Times New Roman" w:eastAsia="仿宋_GB2312" w:hAnsi="Times New Roman" w:hint="eastAsia"/>
          <w:sz w:val="32"/>
          <w:szCs w:val="32"/>
        </w:rPr>
        <w:t>303.32</w:t>
      </w:r>
      <w:r>
        <w:rPr>
          <w:rFonts w:ascii="Times New Roman" w:eastAsia="仿宋_GB2312" w:hAnsi="Times New Roman" w:hint="eastAsia"/>
          <w:sz w:val="32"/>
          <w:szCs w:val="32"/>
        </w:rPr>
        <w:t>万元，，住房保障支出</w:t>
      </w:r>
      <w:r>
        <w:rPr>
          <w:rFonts w:ascii="Times New Roman" w:eastAsia="仿宋_GB2312" w:hAnsi="Times New Roman" w:hint="eastAsia"/>
          <w:sz w:val="32"/>
          <w:szCs w:val="32"/>
        </w:rPr>
        <w:t>41.86</w:t>
      </w:r>
      <w:r>
        <w:rPr>
          <w:rFonts w:ascii="Times New Roman" w:eastAsia="仿宋_GB2312" w:hAnsi="Times New Roman" w:hint="eastAsia"/>
          <w:sz w:val="32"/>
          <w:szCs w:val="32"/>
        </w:rPr>
        <w:t>万元。</w:t>
      </w:r>
    </w:p>
    <w:p w:rsidR="00155795" w:rsidRDefault="00A06E5A">
      <w:pPr>
        <w:pStyle w:val="a4"/>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部门预算项目安排及支出情况</w:t>
      </w:r>
    </w:p>
    <w:p w:rsidR="00155795" w:rsidRDefault="00A06E5A">
      <w:pPr>
        <w:pStyle w:val="a4"/>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项目支出</w:t>
      </w:r>
      <w:r>
        <w:rPr>
          <w:rFonts w:ascii="Times New Roman" w:eastAsia="仿宋_GB2312" w:hAnsi="Times New Roman" w:hint="eastAsia"/>
          <w:sz w:val="32"/>
          <w:szCs w:val="32"/>
        </w:rPr>
        <w:t>520.18</w:t>
      </w:r>
      <w:r>
        <w:rPr>
          <w:rFonts w:ascii="Times New Roman" w:eastAsia="仿宋_GB2312" w:hAnsi="Times New Roman" w:hint="eastAsia"/>
          <w:sz w:val="32"/>
          <w:szCs w:val="32"/>
        </w:rPr>
        <w:t>万元，主要用于一般公共服务支出</w:t>
      </w:r>
      <w:r>
        <w:rPr>
          <w:rFonts w:ascii="Times New Roman" w:eastAsia="仿宋_GB2312" w:hAnsi="Times New Roman" w:hint="eastAsia"/>
          <w:sz w:val="32"/>
          <w:szCs w:val="32"/>
        </w:rPr>
        <w:t>35.27</w:t>
      </w:r>
      <w:r>
        <w:rPr>
          <w:rFonts w:ascii="Times New Roman" w:eastAsia="仿宋_GB2312" w:hAnsi="Times New Roman" w:hint="eastAsia"/>
          <w:sz w:val="32"/>
          <w:szCs w:val="32"/>
        </w:rPr>
        <w:t>万元，社会保障和就业支出</w:t>
      </w:r>
      <w:r>
        <w:rPr>
          <w:rFonts w:ascii="Times New Roman" w:eastAsia="仿宋_GB2312" w:hAnsi="Times New Roman" w:hint="eastAsia"/>
          <w:sz w:val="32"/>
          <w:szCs w:val="32"/>
        </w:rPr>
        <w:t>16.37</w:t>
      </w:r>
      <w:r>
        <w:rPr>
          <w:rFonts w:ascii="Times New Roman" w:eastAsia="仿宋_GB2312" w:hAnsi="Times New Roman" w:hint="eastAsia"/>
          <w:sz w:val="32"/>
          <w:szCs w:val="32"/>
        </w:rPr>
        <w:t>万元，农林水支出</w:t>
      </w:r>
      <w:r>
        <w:rPr>
          <w:rFonts w:ascii="Times New Roman" w:eastAsia="仿宋_GB2312" w:hAnsi="Times New Roman" w:hint="eastAsia"/>
          <w:sz w:val="32"/>
          <w:szCs w:val="32"/>
        </w:rPr>
        <w:t>189.68</w:t>
      </w:r>
      <w:r>
        <w:rPr>
          <w:rFonts w:ascii="Times New Roman" w:eastAsia="仿宋_GB2312" w:hAnsi="Times New Roman" w:hint="eastAsia"/>
          <w:sz w:val="32"/>
          <w:szCs w:val="32"/>
        </w:rPr>
        <w:t>万元其他卫生健康支出</w:t>
      </w:r>
      <w:r>
        <w:rPr>
          <w:rFonts w:ascii="Times New Roman" w:eastAsia="仿宋_GB2312" w:hAnsi="Times New Roman" w:hint="eastAsia"/>
          <w:sz w:val="32"/>
          <w:szCs w:val="32"/>
        </w:rPr>
        <w:t>40.38</w:t>
      </w:r>
      <w:r>
        <w:rPr>
          <w:rFonts w:ascii="Times New Roman" w:eastAsia="仿宋_GB2312" w:hAnsi="Times New Roman" w:hint="eastAsia"/>
          <w:sz w:val="32"/>
          <w:szCs w:val="32"/>
        </w:rPr>
        <w:t>万元，其他农林水支出</w:t>
      </w:r>
      <w:r>
        <w:rPr>
          <w:rFonts w:ascii="Times New Roman" w:eastAsia="仿宋_GB2312" w:hAnsi="Times New Roman" w:hint="eastAsia"/>
          <w:sz w:val="32"/>
          <w:szCs w:val="32"/>
        </w:rPr>
        <w:t>20.96</w:t>
      </w:r>
      <w:r>
        <w:rPr>
          <w:rFonts w:ascii="Times New Roman" w:eastAsia="仿宋_GB2312" w:hAnsi="Times New Roman" w:hint="eastAsia"/>
          <w:sz w:val="32"/>
          <w:szCs w:val="32"/>
        </w:rPr>
        <w:t>万元，灾害防治及应急管理支出</w:t>
      </w:r>
      <w:r>
        <w:rPr>
          <w:rFonts w:ascii="Times New Roman" w:eastAsia="仿宋_GB2312" w:hAnsi="Times New Roman" w:hint="eastAsia"/>
          <w:sz w:val="32"/>
          <w:szCs w:val="32"/>
        </w:rPr>
        <w:t>5</w:t>
      </w:r>
      <w:r>
        <w:rPr>
          <w:rFonts w:ascii="Times New Roman" w:eastAsia="仿宋_GB2312" w:hAnsi="Times New Roman" w:hint="eastAsia"/>
          <w:sz w:val="32"/>
          <w:szCs w:val="32"/>
        </w:rPr>
        <w:t>万元。</w:t>
      </w:r>
    </w:p>
    <w:p w:rsidR="00155795" w:rsidRDefault="00A06E5A">
      <w:pPr>
        <w:pStyle w:val="a4"/>
        <w:numPr>
          <w:ilvl w:val="0"/>
          <w:numId w:val="4"/>
        </w:num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专项资金安排及支出情况</w:t>
      </w:r>
    </w:p>
    <w:p w:rsidR="00155795" w:rsidRDefault="00A06E5A">
      <w:pPr>
        <w:pStyle w:val="a4"/>
        <w:spacing w:line="560" w:lineRule="exact"/>
        <w:ind w:firstLineChars="200" w:firstLine="640"/>
        <w:jc w:val="left"/>
        <w:rPr>
          <w:rFonts w:ascii="Times New Roman" w:eastAsia="楷体_GB2312" w:hAnsi="Times New Roman"/>
          <w:sz w:val="32"/>
          <w:szCs w:val="32"/>
        </w:rPr>
      </w:pPr>
      <w:r>
        <w:rPr>
          <w:rFonts w:ascii="Times New Roman" w:eastAsia="楷体_GB2312" w:hAnsi="Times New Roman" w:hint="eastAsia"/>
          <w:sz w:val="32"/>
          <w:szCs w:val="32"/>
        </w:rPr>
        <w:t>人大代表公用经费</w:t>
      </w:r>
      <w:r>
        <w:rPr>
          <w:rFonts w:ascii="Times New Roman" w:eastAsia="楷体_GB2312" w:hAnsi="Times New Roman" w:hint="eastAsia"/>
          <w:sz w:val="32"/>
          <w:szCs w:val="32"/>
        </w:rPr>
        <w:t>0.11</w:t>
      </w:r>
      <w:r>
        <w:rPr>
          <w:rFonts w:ascii="Times New Roman" w:eastAsia="楷体_GB2312" w:hAnsi="Times New Roman" w:hint="eastAsia"/>
          <w:sz w:val="32"/>
          <w:szCs w:val="32"/>
        </w:rPr>
        <w:t>万元；人大之家建设经费</w:t>
      </w:r>
      <w:r>
        <w:rPr>
          <w:rFonts w:ascii="Times New Roman" w:eastAsia="楷体_GB2312" w:hAnsi="Times New Roman" w:hint="eastAsia"/>
          <w:sz w:val="32"/>
          <w:szCs w:val="32"/>
        </w:rPr>
        <w:t>3.89</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乡村治理补助</w:t>
      </w:r>
      <w:r>
        <w:rPr>
          <w:rFonts w:ascii="Times New Roman" w:eastAsia="楷体_GB2312" w:hAnsi="Times New Roman" w:hint="eastAsia"/>
          <w:sz w:val="32"/>
          <w:szCs w:val="32"/>
        </w:rPr>
        <w:t>1.27</w:t>
      </w:r>
      <w:r>
        <w:rPr>
          <w:rFonts w:ascii="Times New Roman" w:eastAsia="楷体_GB2312" w:hAnsi="Times New Roman" w:hint="eastAsia"/>
          <w:sz w:val="32"/>
          <w:szCs w:val="32"/>
        </w:rPr>
        <w:t>万元；</w:t>
      </w:r>
      <w:r>
        <w:rPr>
          <w:rFonts w:ascii="Times New Roman" w:eastAsia="楷体_GB2312" w:hAnsi="Times New Roman" w:hint="eastAsia"/>
          <w:sz w:val="32"/>
          <w:szCs w:val="32"/>
        </w:rPr>
        <w:t xml:space="preserve"> 2019</w:t>
      </w:r>
      <w:r>
        <w:rPr>
          <w:rFonts w:ascii="Times New Roman" w:eastAsia="楷体_GB2312" w:hAnsi="Times New Roman" w:hint="eastAsia"/>
          <w:sz w:val="32"/>
          <w:szCs w:val="32"/>
        </w:rPr>
        <w:t>年大平台系统维护费</w:t>
      </w:r>
      <w:r>
        <w:rPr>
          <w:rFonts w:ascii="Times New Roman" w:eastAsia="楷体_GB2312" w:hAnsi="Times New Roman" w:hint="eastAsia"/>
          <w:sz w:val="32"/>
          <w:szCs w:val="32"/>
        </w:rPr>
        <w:t>0.36</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w:t>
      </w:r>
      <w:r>
        <w:rPr>
          <w:rFonts w:ascii="Times New Roman" w:eastAsia="楷体_GB2312" w:hAnsi="Times New Roman" w:hint="eastAsia"/>
          <w:sz w:val="32"/>
          <w:szCs w:val="32"/>
        </w:rPr>
        <w:t>A++</w:t>
      </w:r>
      <w:r>
        <w:rPr>
          <w:rFonts w:ascii="Times New Roman" w:eastAsia="楷体_GB2312" w:hAnsi="Times New Roman" w:hint="eastAsia"/>
          <w:sz w:val="32"/>
          <w:szCs w:val="32"/>
        </w:rPr>
        <w:t>系统维护费</w:t>
      </w:r>
      <w:r>
        <w:rPr>
          <w:rFonts w:ascii="Times New Roman" w:eastAsia="楷体_GB2312" w:hAnsi="Times New Roman" w:hint="eastAsia"/>
          <w:sz w:val="32"/>
          <w:szCs w:val="32"/>
        </w:rPr>
        <w:t>0.3</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年五保户供养经费</w:t>
      </w:r>
      <w:r>
        <w:rPr>
          <w:rFonts w:ascii="Times New Roman" w:eastAsia="楷体_GB2312" w:hAnsi="Times New Roman" w:hint="eastAsia"/>
          <w:sz w:val="32"/>
          <w:szCs w:val="32"/>
        </w:rPr>
        <w:t>16.7</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年五保户供养经费</w:t>
      </w:r>
      <w:r>
        <w:rPr>
          <w:rFonts w:ascii="Times New Roman" w:eastAsia="楷体_GB2312" w:hAnsi="Times New Roman" w:hint="eastAsia"/>
          <w:sz w:val="32"/>
          <w:szCs w:val="32"/>
        </w:rPr>
        <w:t>35.9</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年五保户供养经费</w:t>
      </w:r>
      <w:r>
        <w:rPr>
          <w:rFonts w:ascii="Times New Roman" w:eastAsia="楷体_GB2312" w:hAnsi="Times New Roman" w:hint="eastAsia"/>
          <w:sz w:val="32"/>
          <w:szCs w:val="32"/>
        </w:rPr>
        <w:t>89.06</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年村级公共运行维护费</w:t>
      </w:r>
      <w:r>
        <w:rPr>
          <w:rFonts w:ascii="Times New Roman" w:eastAsia="楷体_GB2312" w:hAnsi="Times New Roman" w:hint="eastAsia"/>
          <w:sz w:val="32"/>
          <w:szCs w:val="32"/>
        </w:rPr>
        <w:t>30</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年村干部工资加保险补助及</w:t>
      </w:r>
      <w:r>
        <w:rPr>
          <w:rFonts w:ascii="Times New Roman" w:eastAsia="楷体_GB2312" w:hAnsi="Times New Roman" w:hint="eastAsia"/>
          <w:sz w:val="32"/>
          <w:szCs w:val="32"/>
        </w:rPr>
        <w:t>2018</w:t>
      </w:r>
      <w:r>
        <w:rPr>
          <w:rFonts w:ascii="Times New Roman" w:eastAsia="楷体_GB2312" w:hAnsi="Times New Roman" w:hint="eastAsia"/>
          <w:sz w:val="32"/>
          <w:szCs w:val="32"/>
        </w:rPr>
        <w:t>年村干部绩效</w:t>
      </w:r>
      <w:r>
        <w:rPr>
          <w:rFonts w:ascii="Times New Roman" w:eastAsia="楷体_GB2312" w:hAnsi="Times New Roman" w:hint="eastAsia"/>
          <w:sz w:val="32"/>
          <w:szCs w:val="32"/>
        </w:rPr>
        <w:t>(</w:t>
      </w:r>
      <w:r>
        <w:rPr>
          <w:rFonts w:ascii="Times New Roman" w:eastAsia="楷体_GB2312" w:hAnsi="Times New Roman" w:hint="eastAsia"/>
          <w:sz w:val="32"/>
          <w:szCs w:val="32"/>
        </w:rPr>
        <w:t>每个村</w:t>
      </w:r>
      <w:r>
        <w:rPr>
          <w:rFonts w:ascii="Times New Roman" w:eastAsia="楷体_GB2312" w:hAnsi="Times New Roman" w:hint="eastAsia"/>
          <w:sz w:val="32"/>
          <w:szCs w:val="32"/>
        </w:rPr>
        <w:t>28902</w:t>
      </w:r>
      <w:r>
        <w:rPr>
          <w:rFonts w:ascii="Times New Roman" w:eastAsia="楷体_GB2312" w:hAnsi="Times New Roman" w:hint="eastAsia"/>
          <w:sz w:val="32"/>
          <w:szCs w:val="32"/>
        </w:rPr>
        <w:t>元</w:t>
      </w:r>
      <w:r>
        <w:rPr>
          <w:rFonts w:ascii="Times New Roman" w:eastAsia="楷体_GB2312" w:hAnsi="Times New Roman" w:hint="eastAsia"/>
          <w:sz w:val="32"/>
          <w:szCs w:val="32"/>
        </w:rPr>
        <w:t>)3.16</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年村级办公经费</w:t>
      </w:r>
      <w:r>
        <w:rPr>
          <w:rFonts w:ascii="Times New Roman" w:eastAsia="楷体_GB2312" w:hAnsi="Times New Roman" w:hint="eastAsia"/>
          <w:sz w:val="32"/>
          <w:szCs w:val="32"/>
        </w:rPr>
        <w:t>18</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年盐财资</w:t>
      </w:r>
      <w:r>
        <w:rPr>
          <w:rFonts w:ascii="Times New Roman" w:eastAsia="楷体_GB2312" w:hAnsi="Times New Roman" w:hint="eastAsia"/>
          <w:sz w:val="32"/>
          <w:szCs w:val="32"/>
        </w:rPr>
        <w:t>60</w:t>
      </w:r>
      <w:r>
        <w:rPr>
          <w:rFonts w:ascii="Times New Roman" w:eastAsia="楷体_GB2312" w:hAnsi="Times New Roman" w:hint="eastAsia"/>
          <w:sz w:val="32"/>
          <w:szCs w:val="32"/>
        </w:rPr>
        <w:t>号下达国土三调工作经费</w:t>
      </w:r>
      <w:r>
        <w:rPr>
          <w:rFonts w:ascii="Times New Roman" w:eastAsia="楷体_GB2312" w:hAnsi="Times New Roman" w:hint="eastAsia"/>
          <w:sz w:val="32"/>
          <w:szCs w:val="32"/>
        </w:rPr>
        <w:t>2</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年安全监管经费</w:t>
      </w:r>
      <w:r>
        <w:rPr>
          <w:rFonts w:ascii="Times New Roman" w:eastAsia="楷体_GB2312" w:hAnsi="Times New Roman" w:hint="eastAsia"/>
          <w:sz w:val="32"/>
          <w:szCs w:val="32"/>
        </w:rPr>
        <w:t>5</w:t>
      </w:r>
      <w:r>
        <w:rPr>
          <w:rFonts w:ascii="Times New Roman" w:eastAsia="楷体_GB2312" w:hAnsi="Times New Roman" w:hint="eastAsia"/>
          <w:sz w:val="32"/>
          <w:szCs w:val="32"/>
        </w:rPr>
        <w:t>万元。</w:t>
      </w:r>
    </w:p>
    <w:p w:rsidR="00155795" w:rsidRDefault="00A06E5A">
      <w:pPr>
        <w:pStyle w:val="a4"/>
        <w:spacing w:line="560" w:lineRule="exact"/>
        <w:ind w:firstLineChars="200" w:firstLine="640"/>
        <w:rPr>
          <w:rFonts w:ascii="Times New Roman" w:eastAsia="楷体" w:hAnsi="Times New Roman"/>
          <w:sz w:val="32"/>
          <w:szCs w:val="32"/>
        </w:rPr>
      </w:pPr>
      <w:r>
        <w:rPr>
          <w:rFonts w:ascii="Times New Roman" w:eastAsia="黑体" w:hAnsi="Times New Roman"/>
          <w:sz w:val="32"/>
          <w:szCs w:val="32"/>
        </w:rPr>
        <w:t>三、绩效目标完成情况分析</w:t>
      </w:r>
    </w:p>
    <w:p w:rsidR="00155795" w:rsidRDefault="00A06E5A">
      <w:pPr>
        <w:pStyle w:val="a4"/>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 我乡按照财政预算编制规定和要求，结合单位年度工作计划采取人员经费按照县委组织部审核过的工资进行编制，公用经费按定额编制的方法按时完成人员经费、日常公用经费编制工作，切实做到数据完整和准确无误。对项目资</w:t>
      </w:r>
      <w:r>
        <w:rPr>
          <w:rFonts w:ascii="仿宋" w:eastAsia="仿宋" w:hAnsi="仿宋" w:cs="仿宋" w:hint="eastAsia"/>
          <w:bCs/>
          <w:sz w:val="32"/>
          <w:szCs w:val="32"/>
        </w:rPr>
        <w:lastRenderedPageBreak/>
        <w:t>金的预算，提出具体的项目、目标和实施计划，精准编制项目支出绩效申报表，提供准确的项目支撑依据，切实做到项目资金编制的合理化、人性化，并在规定的时限内完整、准确的报送到县级财政部门。预算资金保障了人员经费支出和单位正常运转需要，保证了单位全年工作任务的完成。</w:t>
      </w:r>
    </w:p>
    <w:p w:rsidR="00155795" w:rsidRDefault="00A06E5A">
      <w:pPr>
        <w:pStyle w:val="a4"/>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是按要求和规定给予支付，保障机关正常运转，完成日常工作任务，有效推动全县经济、社会发展。特别是在“三公”经费方面加强管理，不该报销的一律不给报销，严格把支出控制在年初的预算指标内，严格按照中央八项规定、省、市“十项规定”和财务相关规定执行财政资金的管理和使用。项目资金分配严格按照实际工作需要，依据项目进度和开展情况、合理安全、资金严格按照规范程序申请、管理和使用。通过项目实施充分保障了工作需求，切实发挥工作职能，维护全乡经济、社会发展。</w:t>
      </w:r>
    </w:p>
    <w:p w:rsidR="00155795" w:rsidRDefault="00A06E5A">
      <w:pPr>
        <w:pStyle w:val="a4"/>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w:t>
      </w:r>
      <w:r>
        <w:rPr>
          <w:rFonts w:ascii="Times New Roman" w:eastAsia="楷体_GB2312" w:hAnsi="Times New Roman" w:hint="eastAsia"/>
          <w:sz w:val="32"/>
          <w:szCs w:val="32"/>
        </w:rPr>
        <w:t>县</w:t>
      </w:r>
      <w:r>
        <w:rPr>
          <w:rFonts w:ascii="Times New Roman" w:eastAsia="楷体_GB2312" w:hAnsi="Times New Roman"/>
          <w:sz w:val="32"/>
          <w:szCs w:val="32"/>
        </w:rPr>
        <w:t>级财政资金绩效目标完成情况</w:t>
      </w:r>
    </w:p>
    <w:p w:rsidR="00155795" w:rsidRDefault="00A06E5A">
      <w:pPr>
        <w:pStyle w:val="a4"/>
        <w:spacing w:line="560" w:lineRule="exact"/>
        <w:ind w:firstLineChars="200" w:firstLine="640"/>
        <w:rPr>
          <w:rFonts w:ascii="Times New Roman" w:eastAsia="楷体"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年初部门预算绩效目标完成情况</w:t>
      </w:r>
    </w:p>
    <w:p w:rsidR="00155795" w:rsidRDefault="00A06E5A">
      <w:pPr>
        <w:pStyle w:val="a4"/>
        <w:spacing w:line="560" w:lineRule="exact"/>
        <w:ind w:firstLineChars="200" w:firstLine="640"/>
        <w:rPr>
          <w:rFonts w:ascii="仿宋" w:eastAsia="仿宋" w:hAnsi="仿宋" w:cs="仿宋"/>
          <w:color w:val="000000"/>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）产出指标完成情况分析。</w:t>
      </w:r>
      <w:r>
        <w:rPr>
          <w:rFonts w:ascii="仿宋" w:eastAsia="仿宋" w:hAnsi="仿宋" w:cs="仿宋" w:hint="eastAsia"/>
          <w:bCs/>
          <w:sz w:val="32"/>
          <w:szCs w:val="32"/>
        </w:rPr>
        <w:t>我乡严格遵守各项财经纪律，加强单位财务管理，制定了相关规章制度，加强和细化了预算编制，严格按照预算执行，确保财务收支平衡。按照全年进度保证机关正常工作需要的人员经费和公用经费，</w:t>
      </w:r>
      <w:r>
        <w:rPr>
          <w:rFonts w:ascii="仿宋" w:eastAsia="仿宋" w:hAnsi="仿宋" w:cs="仿宋" w:hint="eastAsia"/>
          <w:bCs/>
          <w:sz w:val="32"/>
          <w:szCs w:val="32"/>
        </w:rPr>
        <w:lastRenderedPageBreak/>
        <w:t>保障机关正常运转，完成日常工作任务，有效推动工作的顺利开展。</w:t>
      </w:r>
    </w:p>
    <w:p w:rsidR="00155795" w:rsidRDefault="00A06E5A">
      <w:pPr>
        <w:spacing w:line="560" w:lineRule="exact"/>
        <w:ind w:firstLineChars="200" w:firstLine="640"/>
        <w:jc w:val="left"/>
        <w:rPr>
          <w:rFonts w:ascii="仿宋" w:eastAsia="仿宋" w:hAnsi="仿宋" w:cs="仿宋"/>
          <w:bCs/>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）效益指标完成情况分析。</w:t>
      </w:r>
      <w:r>
        <w:rPr>
          <w:rFonts w:eastAsia="仿宋_GB2312" w:hint="eastAsia"/>
          <w:color w:val="000000"/>
          <w:sz w:val="32"/>
          <w:szCs w:val="32"/>
        </w:rPr>
        <w:t>我乡主要安排用于一般公共服务支出、社会保障和就业支出、农林水支出等。</w:t>
      </w:r>
    </w:p>
    <w:p w:rsidR="00155795" w:rsidRDefault="00A06E5A">
      <w:pPr>
        <w:pStyle w:val="a4"/>
        <w:spacing w:line="560" w:lineRule="exact"/>
        <w:ind w:firstLineChars="200" w:firstLine="640"/>
        <w:rPr>
          <w:rFonts w:ascii="Times New Roman" w:eastAsia="楷体"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）满意度指标完成情况分析。</w:t>
      </w:r>
      <w:r>
        <w:rPr>
          <w:rFonts w:ascii="Times New Roman" w:eastAsia="仿宋_GB2312" w:hAnsi="Times New Roman" w:hint="eastAsia"/>
          <w:color w:val="000000"/>
          <w:sz w:val="32"/>
          <w:szCs w:val="32"/>
        </w:rPr>
        <w:t>通过财政绩效目标管理，基本达到满意。</w:t>
      </w:r>
    </w:p>
    <w:p w:rsidR="00155795" w:rsidRDefault="00A06E5A">
      <w:pPr>
        <w:pStyle w:val="a4"/>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专项（项目）资金绩效目标完成情况</w:t>
      </w:r>
    </w:p>
    <w:p w:rsidR="00155795" w:rsidRDefault="00A06E5A">
      <w:pPr>
        <w:spacing w:line="560" w:lineRule="exact"/>
        <w:ind w:firstLineChars="200" w:firstLine="640"/>
        <w:jc w:val="left"/>
        <w:rPr>
          <w:rFonts w:ascii="仿宋" w:eastAsia="仿宋" w:hAnsi="仿宋" w:cs="仿宋"/>
          <w:bCs/>
          <w:sz w:val="32"/>
          <w:szCs w:val="32"/>
        </w:rPr>
      </w:pPr>
      <w:r>
        <w:rPr>
          <w:rFonts w:eastAsia="仿宋_GB2312"/>
          <w:sz w:val="32"/>
          <w:szCs w:val="32"/>
        </w:rPr>
        <w:t>（</w:t>
      </w:r>
      <w:r>
        <w:rPr>
          <w:rFonts w:eastAsia="仿宋_GB2312"/>
          <w:sz w:val="32"/>
          <w:szCs w:val="32"/>
        </w:rPr>
        <w:t>1</w:t>
      </w:r>
      <w:r>
        <w:rPr>
          <w:rFonts w:eastAsia="仿宋_GB2312"/>
          <w:sz w:val="32"/>
          <w:szCs w:val="32"/>
        </w:rPr>
        <w:t>）产出指标完成情况分析。</w:t>
      </w:r>
      <w:r>
        <w:rPr>
          <w:rFonts w:ascii="仿宋" w:eastAsia="仿宋" w:hAnsi="仿宋" w:cs="仿宋" w:hint="eastAsia"/>
          <w:bCs/>
          <w:sz w:val="32"/>
          <w:szCs w:val="32"/>
        </w:rPr>
        <w:t>对项目资金的预算，提出具体的项目、目标和实施计划，精准编制项目支出绩效申报表，提供准确的项目支撑依据，切实做到项目资金编制的合理化、人性化，并在规定的时限内完整、准确的报送到县级财政部门。</w:t>
      </w:r>
    </w:p>
    <w:p w:rsidR="00155795" w:rsidRDefault="00A06E5A">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 xml:space="preserve">    在项目资金的支出执行上严格按照预算执行，坚持“反对浪费、节约开支”的原则，专款专用，不拖欠、不挪用。在收到财政对口股室下达的各类指标后，按照资金的用途，在把好审核关的基础上，按时按量按照资金预算进度及时拨付各项款项。项目资金分配严格按照实际工作需要，依据项目进度和开展情况、合理安全、资金严格按照规范程序申请、管理和使用。</w:t>
      </w:r>
    </w:p>
    <w:p w:rsidR="00155795" w:rsidRDefault="00A06E5A">
      <w:pPr>
        <w:pStyle w:val="a4"/>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效益指标完成情况分析。</w:t>
      </w:r>
      <w:r>
        <w:rPr>
          <w:rFonts w:ascii="Times New Roman" w:eastAsia="仿宋_GB2312" w:hAnsi="Times New Roman" w:hint="eastAsia"/>
          <w:sz w:val="32"/>
          <w:szCs w:val="32"/>
        </w:rPr>
        <w:t>我乡项目资金主要安排用于一般公共服务支出、社会保障和就业支出、卫生健康支出、节能环保支出、城乡社区支出、农林水支出、自然资源海洋气象等支出、灾害防治及应急管理支出等。</w:t>
      </w:r>
    </w:p>
    <w:p w:rsidR="00155795" w:rsidRDefault="00A06E5A">
      <w:pPr>
        <w:pStyle w:val="a4"/>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）满意度指标完成情况分析。</w:t>
      </w:r>
      <w:r>
        <w:rPr>
          <w:rFonts w:ascii="Times New Roman" w:eastAsia="仿宋_GB2312" w:hAnsi="Times New Roman" w:hint="eastAsia"/>
          <w:sz w:val="32"/>
          <w:szCs w:val="32"/>
        </w:rPr>
        <w:t>通过财政绩效目标管</w:t>
      </w:r>
      <w:r>
        <w:rPr>
          <w:rFonts w:ascii="Times New Roman" w:eastAsia="仿宋_GB2312" w:hAnsi="Times New Roman" w:hint="eastAsia"/>
          <w:sz w:val="32"/>
          <w:szCs w:val="32"/>
        </w:rPr>
        <w:lastRenderedPageBreak/>
        <w:t>理，基本达到满意。</w:t>
      </w:r>
    </w:p>
    <w:p w:rsidR="00155795" w:rsidRDefault="00A06E5A">
      <w:pPr>
        <w:pStyle w:val="a4"/>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（二）上级专项（项目）资金绩效目标完成情况</w:t>
      </w:r>
    </w:p>
    <w:p w:rsidR="00155795" w:rsidRDefault="00A06E5A">
      <w:pPr>
        <w:pStyle w:val="a4"/>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）产出指标完成情况分析。</w:t>
      </w:r>
      <w:r>
        <w:rPr>
          <w:rFonts w:ascii="Times New Roman" w:eastAsia="楷体_GB2312" w:hAnsi="Times New Roman" w:hint="eastAsia"/>
          <w:sz w:val="32"/>
          <w:szCs w:val="32"/>
        </w:rPr>
        <w:t>人大代表公用经费</w:t>
      </w:r>
      <w:r>
        <w:rPr>
          <w:rFonts w:ascii="Times New Roman" w:eastAsia="楷体_GB2312" w:hAnsi="Times New Roman" w:hint="eastAsia"/>
          <w:sz w:val="32"/>
          <w:szCs w:val="32"/>
        </w:rPr>
        <w:t>0.11</w:t>
      </w:r>
      <w:r>
        <w:rPr>
          <w:rFonts w:ascii="Times New Roman" w:eastAsia="楷体_GB2312" w:hAnsi="Times New Roman" w:hint="eastAsia"/>
          <w:sz w:val="32"/>
          <w:szCs w:val="32"/>
        </w:rPr>
        <w:t>万元；人大之家建设经费</w:t>
      </w:r>
      <w:r>
        <w:rPr>
          <w:rFonts w:ascii="Times New Roman" w:eastAsia="楷体_GB2312" w:hAnsi="Times New Roman" w:hint="eastAsia"/>
          <w:sz w:val="32"/>
          <w:szCs w:val="32"/>
        </w:rPr>
        <w:t>3.89</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乡村治理补助</w:t>
      </w:r>
      <w:r>
        <w:rPr>
          <w:rFonts w:ascii="Times New Roman" w:eastAsia="楷体_GB2312" w:hAnsi="Times New Roman" w:hint="eastAsia"/>
          <w:sz w:val="32"/>
          <w:szCs w:val="32"/>
        </w:rPr>
        <w:t>1.27</w:t>
      </w:r>
      <w:r>
        <w:rPr>
          <w:rFonts w:ascii="Times New Roman" w:eastAsia="楷体_GB2312" w:hAnsi="Times New Roman" w:hint="eastAsia"/>
          <w:sz w:val="32"/>
          <w:szCs w:val="32"/>
        </w:rPr>
        <w:t>万元；</w:t>
      </w:r>
      <w:r>
        <w:rPr>
          <w:rFonts w:ascii="Times New Roman" w:eastAsia="楷体_GB2312" w:hAnsi="Times New Roman" w:hint="eastAsia"/>
          <w:sz w:val="32"/>
          <w:szCs w:val="32"/>
        </w:rPr>
        <w:t xml:space="preserve"> 2019</w:t>
      </w:r>
      <w:r>
        <w:rPr>
          <w:rFonts w:ascii="Times New Roman" w:eastAsia="楷体_GB2312" w:hAnsi="Times New Roman" w:hint="eastAsia"/>
          <w:sz w:val="32"/>
          <w:szCs w:val="32"/>
        </w:rPr>
        <w:t>年大平台系统维护费</w:t>
      </w:r>
      <w:r>
        <w:rPr>
          <w:rFonts w:ascii="Times New Roman" w:eastAsia="楷体_GB2312" w:hAnsi="Times New Roman" w:hint="eastAsia"/>
          <w:sz w:val="32"/>
          <w:szCs w:val="32"/>
        </w:rPr>
        <w:t>0.36</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w:t>
      </w:r>
      <w:r>
        <w:rPr>
          <w:rFonts w:ascii="Times New Roman" w:eastAsia="楷体_GB2312" w:hAnsi="Times New Roman" w:hint="eastAsia"/>
          <w:sz w:val="32"/>
          <w:szCs w:val="32"/>
        </w:rPr>
        <w:t>A++</w:t>
      </w:r>
      <w:r>
        <w:rPr>
          <w:rFonts w:ascii="Times New Roman" w:eastAsia="楷体_GB2312" w:hAnsi="Times New Roman" w:hint="eastAsia"/>
          <w:sz w:val="32"/>
          <w:szCs w:val="32"/>
        </w:rPr>
        <w:t>系统维护费</w:t>
      </w:r>
      <w:r>
        <w:rPr>
          <w:rFonts w:ascii="Times New Roman" w:eastAsia="楷体_GB2312" w:hAnsi="Times New Roman" w:hint="eastAsia"/>
          <w:sz w:val="32"/>
          <w:szCs w:val="32"/>
        </w:rPr>
        <w:t>0.3</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年五保户供养经费</w:t>
      </w:r>
      <w:r>
        <w:rPr>
          <w:rFonts w:ascii="Times New Roman" w:eastAsia="楷体_GB2312" w:hAnsi="Times New Roman" w:hint="eastAsia"/>
          <w:sz w:val="32"/>
          <w:szCs w:val="32"/>
        </w:rPr>
        <w:t>16.7</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年五保户供养经费</w:t>
      </w:r>
      <w:r>
        <w:rPr>
          <w:rFonts w:ascii="Times New Roman" w:eastAsia="楷体_GB2312" w:hAnsi="Times New Roman" w:hint="eastAsia"/>
          <w:sz w:val="32"/>
          <w:szCs w:val="32"/>
        </w:rPr>
        <w:t>35.9</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年五保户供养经费</w:t>
      </w:r>
      <w:r>
        <w:rPr>
          <w:rFonts w:ascii="Times New Roman" w:eastAsia="楷体_GB2312" w:hAnsi="Times New Roman" w:hint="eastAsia"/>
          <w:sz w:val="32"/>
          <w:szCs w:val="32"/>
        </w:rPr>
        <w:t>89.06</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年村级公共运行维护费</w:t>
      </w:r>
      <w:r>
        <w:rPr>
          <w:rFonts w:ascii="Times New Roman" w:eastAsia="楷体_GB2312" w:hAnsi="Times New Roman" w:hint="eastAsia"/>
          <w:sz w:val="32"/>
          <w:szCs w:val="32"/>
        </w:rPr>
        <w:t>30</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年村干部工资加保险补助及</w:t>
      </w:r>
      <w:r>
        <w:rPr>
          <w:rFonts w:ascii="Times New Roman" w:eastAsia="楷体_GB2312" w:hAnsi="Times New Roman" w:hint="eastAsia"/>
          <w:sz w:val="32"/>
          <w:szCs w:val="32"/>
        </w:rPr>
        <w:t>2018</w:t>
      </w:r>
      <w:r>
        <w:rPr>
          <w:rFonts w:ascii="Times New Roman" w:eastAsia="楷体_GB2312" w:hAnsi="Times New Roman" w:hint="eastAsia"/>
          <w:sz w:val="32"/>
          <w:szCs w:val="32"/>
        </w:rPr>
        <w:t>年村干部绩效</w:t>
      </w:r>
      <w:r>
        <w:rPr>
          <w:rFonts w:ascii="Times New Roman" w:eastAsia="楷体_GB2312" w:hAnsi="Times New Roman" w:hint="eastAsia"/>
          <w:sz w:val="32"/>
          <w:szCs w:val="32"/>
        </w:rPr>
        <w:t>(</w:t>
      </w:r>
      <w:r>
        <w:rPr>
          <w:rFonts w:ascii="Times New Roman" w:eastAsia="楷体_GB2312" w:hAnsi="Times New Roman" w:hint="eastAsia"/>
          <w:sz w:val="32"/>
          <w:szCs w:val="32"/>
        </w:rPr>
        <w:t>每个村</w:t>
      </w:r>
      <w:r>
        <w:rPr>
          <w:rFonts w:ascii="Times New Roman" w:eastAsia="楷体_GB2312" w:hAnsi="Times New Roman" w:hint="eastAsia"/>
          <w:sz w:val="32"/>
          <w:szCs w:val="32"/>
        </w:rPr>
        <w:t>28902</w:t>
      </w:r>
      <w:r>
        <w:rPr>
          <w:rFonts w:ascii="Times New Roman" w:eastAsia="楷体_GB2312" w:hAnsi="Times New Roman" w:hint="eastAsia"/>
          <w:sz w:val="32"/>
          <w:szCs w:val="32"/>
        </w:rPr>
        <w:t>元</w:t>
      </w:r>
      <w:r>
        <w:rPr>
          <w:rFonts w:ascii="Times New Roman" w:eastAsia="楷体_GB2312" w:hAnsi="Times New Roman" w:hint="eastAsia"/>
          <w:sz w:val="32"/>
          <w:szCs w:val="32"/>
        </w:rPr>
        <w:t>)3.16</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年村级办公经费</w:t>
      </w:r>
      <w:r>
        <w:rPr>
          <w:rFonts w:ascii="Times New Roman" w:eastAsia="楷体_GB2312" w:hAnsi="Times New Roman" w:hint="eastAsia"/>
          <w:sz w:val="32"/>
          <w:szCs w:val="32"/>
        </w:rPr>
        <w:t>18</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年盐财资</w:t>
      </w:r>
      <w:r>
        <w:rPr>
          <w:rFonts w:ascii="Times New Roman" w:eastAsia="楷体_GB2312" w:hAnsi="Times New Roman" w:hint="eastAsia"/>
          <w:sz w:val="32"/>
          <w:szCs w:val="32"/>
        </w:rPr>
        <w:t>60</w:t>
      </w:r>
      <w:r>
        <w:rPr>
          <w:rFonts w:ascii="Times New Roman" w:eastAsia="楷体_GB2312" w:hAnsi="Times New Roman" w:hint="eastAsia"/>
          <w:sz w:val="32"/>
          <w:szCs w:val="32"/>
        </w:rPr>
        <w:t>号下达国土三调工作经费</w:t>
      </w:r>
      <w:r>
        <w:rPr>
          <w:rFonts w:ascii="Times New Roman" w:eastAsia="楷体_GB2312" w:hAnsi="Times New Roman" w:hint="eastAsia"/>
          <w:sz w:val="32"/>
          <w:szCs w:val="32"/>
        </w:rPr>
        <w:t>2</w:t>
      </w:r>
      <w:r>
        <w:rPr>
          <w:rFonts w:ascii="Times New Roman" w:eastAsia="楷体_GB2312" w:hAnsi="Times New Roman" w:hint="eastAsia"/>
          <w:sz w:val="32"/>
          <w:szCs w:val="32"/>
        </w:rPr>
        <w:t>万元；</w:t>
      </w:r>
      <w:r>
        <w:rPr>
          <w:rFonts w:ascii="Times New Roman" w:eastAsia="楷体_GB2312" w:hAnsi="Times New Roman" w:hint="eastAsia"/>
          <w:sz w:val="32"/>
          <w:szCs w:val="32"/>
        </w:rPr>
        <w:t>2019</w:t>
      </w:r>
      <w:r>
        <w:rPr>
          <w:rFonts w:ascii="Times New Roman" w:eastAsia="楷体_GB2312" w:hAnsi="Times New Roman" w:hint="eastAsia"/>
          <w:sz w:val="32"/>
          <w:szCs w:val="32"/>
        </w:rPr>
        <w:t>年安全监管经费</w:t>
      </w:r>
      <w:r>
        <w:rPr>
          <w:rFonts w:ascii="Times New Roman" w:eastAsia="楷体_GB2312" w:hAnsi="Times New Roman" w:hint="eastAsia"/>
          <w:sz w:val="32"/>
          <w:szCs w:val="32"/>
        </w:rPr>
        <w:t>5</w:t>
      </w:r>
      <w:r>
        <w:rPr>
          <w:rFonts w:ascii="Times New Roman" w:eastAsia="楷体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）效益指标完成情况分析。</w:t>
      </w:r>
      <w:r>
        <w:rPr>
          <w:rFonts w:ascii="Times New Roman" w:eastAsia="仿宋_GB2312" w:hAnsi="Times New Roman" w:hint="eastAsia"/>
          <w:sz w:val="32"/>
          <w:szCs w:val="32"/>
        </w:rPr>
        <w:t>我乡项目资金主要安排用于一般公共服务支出、社会保障和就业支出、农林水支出。</w:t>
      </w:r>
    </w:p>
    <w:p w:rsidR="00155795" w:rsidRDefault="00A06E5A">
      <w:pPr>
        <w:pStyle w:val="a4"/>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）满意度指标完成情况分析。</w:t>
      </w:r>
      <w:r>
        <w:rPr>
          <w:rFonts w:ascii="Times New Roman" w:eastAsia="仿宋_GB2312" w:hAnsi="Times New Roman" w:hint="eastAsia"/>
          <w:sz w:val="32"/>
          <w:szCs w:val="32"/>
        </w:rPr>
        <w:t>通过财政绩效目标管理，基本达到满意。</w:t>
      </w:r>
    </w:p>
    <w:p w:rsidR="00155795" w:rsidRDefault="00A06E5A">
      <w:pPr>
        <w:pStyle w:val="a4"/>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（三）其他需要说明的情况</w:t>
      </w:r>
      <w:r>
        <w:rPr>
          <w:rFonts w:ascii="Times New Roman" w:eastAsia="楷体_GB2312" w:hAnsi="Times New Roman" w:hint="eastAsia"/>
          <w:sz w:val="32"/>
          <w:szCs w:val="32"/>
        </w:rPr>
        <w:t>。</w:t>
      </w:r>
    </w:p>
    <w:p w:rsidR="00155795" w:rsidRDefault="00A06E5A">
      <w:pPr>
        <w:pStyle w:val="a4"/>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无</w:t>
      </w:r>
    </w:p>
    <w:p w:rsidR="00155795" w:rsidRDefault="00A06E5A">
      <w:pPr>
        <w:pStyle w:val="a4"/>
        <w:numPr>
          <w:ilvl w:val="0"/>
          <w:numId w:val="5"/>
        </w:num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自评结论</w:t>
      </w:r>
    </w:p>
    <w:p w:rsidR="00155795" w:rsidRDefault="00A06E5A">
      <w:pPr>
        <w:pStyle w:val="a4"/>
        <w:spacing w:line="560" w:lineRule="exact"/>
        <w:ind w:firstLineChars="200" w:firstLine="640"/>
        <w:rPr>
          <w:rFonts w:ascii="Times New Roman" w:eastAsia="楷体_GB2312" w:hAnsi="Times New Roman"/>
          <w:sz w:val="32"/>
          <w:szCs w:val="32"/>
        </w:rPr>
      </w:pPr>
      <w:r>
        <w:rPr>
          <w:rFonts w:ascii="仿宋" w:eastAsia="仿宋" w:hAnsi="仿宋" w:cs="仿宋" w:hint="eastAsia"/>
          <w:bCs/>
          <w:sz w:val="32"/>
          <w:szCs w:val="32"/>
        </w:rPr>
        <w:t>我乡严格按照《预算法》按时完成预决算编制。在资金预算编制方面，预算执行、综合管理、整体绩效方面，均按照国家政策规范规定，结合本单位实际情况及相关规定严格执行，并合理安排项目资金，使财政资金发挥最大的效益，确保我局各项工作高效规范有序推进，圆满完成年初下达的各项工作任务，有效推动工作开展，扎实为全县社会稳定、</w:t>
      </w:r>
      <w:r>
        <w:rPr>
          <w:rFonts w:ascii="仿宋" w:eastAsia="仿宋" w:hAnsi="仿宋" w:cs="仿宋" w:hint="eastAsia"/>
          <w:bCs/>
          <w:sz w:val="32"/>
          <w:szCs w:val="32"/>
        </w:rPr>
        <w:lastRenderedPageBreak/>
        <w:t>秩序良好更好地服务好。</w:t>
      </w:r>
    </w:p>
    <w:p w:rsidR="00155795" w:rsidRDefault="00A06E5A">
      <w:pPr>
        <w:pStyle w:val="a4"/>
        <w:numPr>
          <w:ilvl w:val="0"/>
          <w:numId w:val="6"/>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偏离绩效目标的原因和下一步改进措施</w:t>
      </w:r>
    </w:p>
    <w:p w:rsidR="00155795" w:rsidRDefault="00A06E5A">
      <w:pPr>
        <w:pStyle w:val="a4"/>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   （一）预算编制和预算管理还需进一步细化和加强，严禁超预算和无预算安排支出，严格开支范围和标准，严格审核各项经费的支出，提高资金使用效率。</w:t>
      </w:r>
    </w:p>
    <w:p w:rsidR="00155795" w:rsidRDefault="00A06E5A">
      <w:pPr>
        <w:pStyle w:val="a4"/>
        <w:spacing w:line="560" w:lineRule="exact"/>
        <w:ind w:firstLineChars="200" w:firstLine="640"/>
        <w:rPr>
          <w:rFonts w:ascii="Times New Roman" w:eastAsia="黑体" w:hAnsi="Times New Roman"/>
          <w:sz w:val="32"/>
          <w:szCs w:val="32"/>
        </w:rPr>
      </w:pPr>
      <w:r>
        <w:rPr>
          <w:rFonts w:ascii="仿宋" w:eastAsia="仿宋" w:hAnsi="仿宋" w:cs="仿宋" w:hint="eastAsia"/>
          <w:bCs/>
          <w:sz w:val="32"/>
          <w:szCs w:val="32"/>
        </w:rPr>
        <w:t xml:space="preserve">   （二）严格控制“三公”经费，认真贯彻落实中央八项规定和省、市十项规定，严格“三公”经费支出的审核和审批，合理压缩“三公”经费支出。合理、节俭、高效地利用资金，保证机关各项工作顺利有序开展。</w:t>
      </w:r>
    </w:p>
    <w:p w:rsidR="00155795" w:rsidRDefault="00A06E5A">
      <w:pPr>
        <w:numPr>
          <w:ilvl w:val="0"/>
          <w:numId w:val="7"/>
        </w:numPr>
        <w:spacing w:line="560" w:lineRule="exact"/>
        <w:ind w:firstLineChars="200" w:firstLine="640"/>
        <w:rPr>
          <w:rFonts w:ascii="仿宋" w:eastAsia="仿宋" w:hAnsi="仿宋" w:cs="仿宋"/>
          <w:color w:val="000000"/>
          <w:kern w:val="0"/>
          <w:sz w:val="32"/>
          <w:szCs w:val="32"/>
        </w:rPr>
      </w:pPr>
      <w:r>
        <w:rPr>
          <w:rFonts w:eastAsia="黑体"/>
          <w:sz w:val="32"/>
          <w:szCs w:val="32"/>
        </w:rPr>
        <w:t>绩效自评结果拟应用和公开公示情况</w:t>
      </w:r>
    </w:p>
    <w:p w:rsidR="00155795" w:rsidRDefault="00A06E5A">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（一）绩效自评结果拟应用</w:t>
      </w:r>
    </w:p>
    <w:p w:rsidR="00155795" w:rsidRDefault="00A06E5A">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1.深化绩效评价工作，不断提高部门预算整体绩效目标管理水平。</w:t>
      </w:r>
      <w:r>
        <w:rPr>
          <w:rFonts w:ascii="仿宋" w:eastAsia="仿宋" w:hAnsi="仿宋" w:cs="仿宋" w:hint="eastAsia"/>
          <w:bCs/>
          <w:sz w:val="32"/>
          <w:szCs w:val="32"/>
        </w:rPr>
        <w:t xml:space="preserve">按照《预算法》按时完成预决算编制。在执行过程中有计划进行资金申报、使用，完善资金管理及内部控制制度，确保资金安全，做到账款、账实相符。 </w:t>
      </w:r>
    </w:p>
    <w:p w:rsidR="00155795" w:rsidRDefault="00A06E5A">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2.通过绩效自评建立机关厉行节约制度、节能降耗。</w:t>
      </w:r>
      <w:r>
        <w:rPr>
          <w:rFonts w:ascii="仿宋" w:eastAsia="仿宋" w:hAnsi="仿宋" w:cs="仿宋" w:hint="eastAsia"/>
          <w:bCs/>
          <w:sz w:val="32"/>
          <w:szCs w:val="32"/>
        </w:rPr>
        <w:t>我乡认真执行中央八项规定，秉承开源节流的宗旨，严格管控三</w:t>
      </w:r>
      <w:proofErr w:type="gramStart"/>
      <w:r>
        <w:rPr>
          <w:rFonts w:ascii="仿宋" w:eastAsia="仿宋" w:hAnsi="仿宋" w:cs="仿宋" w:hint="eastAsia"/>
          <w:bCs/>
          <w:sz w:val="32"/>
          <w:szCs w:val="32"/>
        </w:rPr>
        <w:t>公经费</w:t>
      </w:r>
      <w:proofErr w:type="gramEnd"/>
      <w:r>
        <w:rPr>
          <w:rFonts w:ascii="仿宋" w:eastAsia="仿宋" w:hAnsi="仿宋" w:cs="仿宋" w:hint="eastAsia"/>
          <w:bCs/>
          <w:sz w:val="32"/>
          <w:szCs w:val="32"/>
        </w:rPr>
        <w:t>支出，厉行节约。扎实抓好机关节能降耗，一是严格用电管理。倡导在自然光照较好的条件下不使用照明灯具，使用照明工具时保证人走灯灭，杜绝“长明灯”等能耗空放现象；尽可能地减少电脑、打印机、复印机等办公设备的待机时间，不用时关闭电源或置于节能状态；天气炎热使用空调时，尽量在人离开前20分钟关闭空调。二是严格用水管理。人走时及时关闭关紧水龙头，杜绝“长流水”和“跑、</w:t>
      </w:r>
      <w:r>
        <w:rPr>
          <w:rFonts w:ascii="仿宋" w:eastAsia="仿宋" w:hAnsi="仿宋" w:cs="仿宋" w:hint="eastAsia"/>
          <w:bCs/>
          <w:sz w:val="32"/>
          <w:szCs w:val="32"/>
        </w:rPr>
        <w:lastRenderedPageBreak/>
        <w:t>冒、滴、漏”现象。三是推行无纸化办公。尽量利用网络传输文件，在电脑上修改文稿；打印材料时，提倡双面用纸；公文传阅尽量通过协同办公平台进行。四是加强车辆燃油管理。建立机关车辆燃油使用、行驶里程管理台账，定期公示燃油使用情况。同时，倡导全体干部职工绿色出行。</w:t>
      </w:r>
    </w:p>
    <w:p w:rsidR="00155795" w:rsidRDefault="00A06E5A">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3.强化单位财务管理工作，提高资金使用效率。</w:t>
      </w:r>
      <w:r>
        <w:rPr>
          <w:rFonts w:ascii="仿宋" w:eastAsia="仿宋" w:hAnsi="仿宋" w:cs="仿宋" w:hint="eastAsia"/>
          <w:color w:val="000000"/>
          <w:kern w:val="0"/>
          <w:sz w:val="32"/>
          <w:szCs w:val="32"/>
        </w:rPr>
        <w:t>按照年初预算项目，在资金的管理和使用上，严守法律底线、纪律底线，严格追授财务管理、财经纪律，会计核算真实完整，项目资金支出和原定用途、预算批复用途相符，提高财政资金使用效率。严格执行机关财务管理制度，及时进行会计核算，对项目资金、政府采购进行公开公示，接受群众监督。</w:t>
      </w:r>
    </w:p>
    <w:p w:rsidR="00155795" w:rsidRDefault="00A06E5A">
      <w:pPr>
        <w:numPr>
          <w:ilvl w:val="0"/>
          <w:numId w:val="8"/>
        </w:numPr>
        <w:spacing w:line="560" w:lineRule="exact"/>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公开公示情况</w:t>
      </w:r>
    </w:p>
    <w:p w:rsidR="00155795" w:rsidRDefault="00A06E5A">
      <w:pPr>
        <w:spacing w:line="560" w:lineRule="exact"/>
        <w:ind w:firstLineChars="200" w:firstLine="640"/>
        <w:jc w:val="left"/>
        <w:rPr>
          <w:rFonts w:ascii="仿宋_GB2312" w:eastAsia="仿宋_GB2312" w:hAnsi="仿宋_GB2312"/>
          <w:sz w:val="32"/>
          <w:szCs w:val="32"/>
        </w:rPr>
      </w:pPr>
      <w:r>
        <w:rPr>
          <w:rFonts w:ascii="仿宋" w:eastAsia="仿宋" w:hAnsi="仿宋" w:cs="仿宋" w:hint="eastAsia"/>
          <w:color w:val="000000"/>
          <w:kern w:val="0"/>
          <w:sz w:val="32"/>
          <w:szCs w:val="32"/>
        </w:rPr>
        <w:t>为深入贯彻落实《中共四川省委四川省人民政府关于全面实施预算绩效管理的实施意见》（川委发</w:t>
      </w:r>
      <w:r w:rsidR="00A62F70" w:rsidRPr="00A62F70">
        <w:rPr>
          <w:rFonts w:ascii="仿宋" w:eastAsia="仿宋" w:hAnsi="仿宋" w:cs="仿宋" w:hint="eastAsia"/>
          <w:color w:val="000000"/>
          <w:kern w:val="0"/>
          <w:sz w:val="32"/>
          <w:szCs w:val="32"/>
        </w:rPr>
        <w:t>〔20</w:t>
      </w:r>
      <w:r w:rsidR="00A62F70">
        <w:rPr>
          <w:rFonts w:ascii="仿宋" w:eastAsia="仿宋" w:hAnsi="仿宋" w:cs="仿宋" w:hint="eastAsia"/>
          <w:color w:val="000000"/>
          <w:kern w:val="0"/>
          <w:sz w:val="32"/>
          <w:szCs w:val="32"/>
        </w:rPr>
        <w:t>19</w:t>
      </w:r>
      <w:r w:rsidR="00A62F70" w:rsidRPr="00A62F70">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8号）文件精神，进一步深化事后绩效评价工作，不断提高部门预算整体绩效目标管理水平，按《盐边县财政局关于开展2019年度部门预算整体绩效自评工作的通知》(盐边财绩</w:t>
      </w:r>
      <w:r w:rsidR="00A62F70" w:rsidRPr="00A62F70">
        <w:rPr>
          <w:rFonts w:ascii="仿宋" w:eastAsia="仿宋" w:hAnsi="仿宋" w:cs="仿宋" w:hint="eastAsia"/>
          <w:color w:val="000000"/>
          <w:kern w:val="0"/>
          <w:sz w:val="32"/>
          <w:szCs w:val="32"/>
        </w:rPr>
        <w:t>〔20</w:t>
      </w:r>
      <w:r w:rsidR="00A62F70">
        <w:rPr>
          <w:rFonts w:ascii="仿宋" w:eastAsia="仿宋" w:hAnsi="仿宋" w:cs="仿宋" w:hint="eastAsia"/>
          <w:color w:val="000000"/>
          <w:kern w:val="0"/>
          <w:sz w:val="32"/>
          <w:szCs w:val="32"/>
        </w:rPr>
        <w:t>20</w:t>
      </w:r>
      <w:r w:rsidR="00A62F70" w:rsidRPr="00A62F70">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4号)要求，于2020年10月将《盐边县箐河乡人民政府2019年部门预算整体绩效自评表》和《盐边县箐河乡人民政府2019年度部门预算情况公开编制说明》在“盐边县公众信息网”财政信息板块下的“财政绩效评价信息</w:t>
      </w:r>
      <w:bookmarkStart w:id="0" w:name="_GoBack"/>
      <w:bookmarkEnd w:id="0"/>
      <w:r>
        <w:rPr>
          <w:rFonts w:ascii="仿宋" w:eastAsia="仿宋" w:hAnsi="仿宋" w:cs="仿宋" w:hint="eastAsia"/>
          <w:color w:val="000000"/>
          <w:kern w:val="0"/>
          <w:sz w:val="32"/>
          <w:szCs w:val="32"/>
        </w:rPr>
        <w:t>专栏”进行公开公示。</w:t>
      </w:r>
    </w:p>
    <w:p w:rsidR="00155795" w:rsidRDefault="00155795">
      <w:pPr>
        <w:spacing w:line="560" w:lineRule="exact"/>
        <w:ind w:firstLineChars="200" w:firstLine="640"/>
        <w:jc w:val="left"/>
        <w:rPr>
          <w:rFonts w:ascii="仿宋" w:eastAsia="仿宋" w:hAnsi="仿宋" w:cs="仿宋"/>
          <w:color w:val="000000"/>
          <w:kern w:val="0"/>
          <w:sz w:val="32"/>
          <w:szCs w:val="32"/>
        </w:rPr>
      </w:pPr>
    </w:p>
    <w:sectPr w:rsidR="0015579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ZFangSong-Z02">
    <w:altName w:val="宋体"/>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83726"/>
    <w:multiLevelType w:val="singleLevel"/>
    <w:tmpl w:val="5F783726"/>
    <w:lvl w:ilvl="0">
      <w:start w:val="2"/>
      <w:numFmt w:val="chineseCounting"/>
      <w:suff w:val="nothing"/>
      <w:lvlText w:val="（%1）"/>
      <w:lvlJc w:val="left"/>
    </w:lvl>
  </w:abstractNum>
  <w:abstractNum w:abstractNumId="1">
    <w:nsid w:val="5F8A5DE1"/>
    <w:multiLevelType w:val="singleLevel"/>
    <w:tmpl w:val="5F8A5DE1"/>
    <w:lvl w:ilvl="0">
      <w:start w:val="2"/>
      <w:numFmt w:val="chineseCounting"/>
      <w:suff w:val="nothing"/>
      <w:lvlText w:val="（%1）"/>
      <w:lvlJc w:val="left"/>
    </w:lvl>
  </w:abstractNum>
  <w:abstractNum w:abstractNumId="2">
    <w:nsid w:val="5F8A6784"/>
    <w:multiLevelType w:val="singleLevel"/>
    <w:tmpl w:val="5F8A6784"/>
    <w:lvl w:ilvl="0">
      <w:start w:val="1"/>
      <w:numFmt w:val="decimal"/>
      <w:suff w:val="nothing"/>
      <w:lvlText w:val="%1."/>
      <w:lvlJc w:val="left"/>
    </w:lvl>
  </w:abstractNum>
  <w:abstractNum w:abstractNumId="3">
    <w:nsid w:val="5F8A67FA"/>
    <w:multiLevelType w:val="singleLevel"/>
    <w:tmpl w:val="5F8A67FA"/>
    <w:lvl w:ilvl="0">
      <w:start w:val="2"/>
      <w:numFmt w:val="decimal"/>
      <w:suff w:val="nothing"/>
      <w:lvlText w:val="%1."/>
      <w:lvlJc w:val="left"/>
    </w:lvl>
  </w:abstractNum>
  <w:abstractNum w:abstractNumId="4">
    <w:nsid w:val="5F8A6B90"/>
    <w:multiLevelType w:val="singleLevel"/>
    <w:tmpl w:val="5F8A6B90"/>
    <w:lvl w:ilvl="0">
      <w:start w:val="2"/>
      <w:numFmt w:val="chineseCounting"/>
      <w:suff w:val="nothing"/>
      <w:lvlText w:val="（%1）"/>
      <w:lvlJc w:val="left"/>
    </w:lvl>
  </w:abstractNum>
  <w:abstractNum w:abstractNumId="5">
    <w:nsid w:val="5F8A76BE"/>
    <w:multiLevelType w:val="singleLevel"/>
    <w:tmpl w:val="5F8A76BE"/>
    <w:lvl w:ilvl="0">
      <w:start w:val="4"/>
      <w:numFmt w:val="chineseCounting"/>
      <w:suff w:val="nothing"/>
      <w:lvlText w:val="（%1）"/>
      <w:lvlJc w:val="left"/>
    </w:lvl>
  </w:abstractNum>
  <w:abstractNum w:abstractNumId="6">
    <w:nsid w:val="5F8A76EB"/>
    <w:multiLevelType w:val="singleLevel"/>
    <w:tmpl w:val="5F8A76EB"/>
    <w:lvl w:ilvl="0">
      <w:start w:val="4"/>
      <w:numFmt w:val="chineseCounting"/>
      <w:suff w:val="nothing"/>
      <w:lvlText w:val="%1、"/>
      <w:lvlJc w:val="left"/>
    </w:lvl>
  </w:abstractNum>
  <w:abstractNum w:abstractNumId="7">
    <w:nsid w:val="5F8A7751"/>
    <w:multiLevelType w:val="singleLevel"/>
    <w:tmpl w:val="5F8A7751"/>
    <w:lvl w:ilvl="0">
      <w:start w:val="5"/>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795"/>
    <w:rsid w:val="00155795"/>
    <w:rsid w:val="00A06E5A"/>
    <w:rsid w:val="00A6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beforeLines="30"/>
    </w:pPr>
    <w:rPr>
      <w:rFonts w:ascii="仿宋_GB2312" w:eastAsia="仿宋_GB2312" w:hAnsi="Times New Roman"/>
      <w:kern w:val="0"/>
      <w:sz w:val="30"/>
      <w:szCs w:val="24"/>
    </w:rPr>
  </w:style>
  <w:style w:type="paragraph" w:styleId="a4">
    <w:name w:val="Plain Text"/>
    <w:basedOn w:val="a"/>
    <w:qFormat/>
    <w:rPr>
      <w:rFonts w:ascii="宋体" w:hAnsi="Courier New"/>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unhideWhenUsed/>
    <w:qFormat/>
    <w:pPr>
      <w:widowControl w:val="0"/>
      <w:autoSpaceDE w:val="0"/>
      <w:autoSpaceDN w:val="0"/>
    </w:pPr>
    <w:rPr>
      <w:rFonts w:ascii="FZFangSong-Z02" w:eastAsia="FZFangSong-Z02" w:hAnsi="FZFangSong-Z02"/>
      <w:color w:val="000000"/>
      <w:sz w:val="24"/>
    </w:rPr>
  </w:style>
  <w:style w:type="character" w:customStyle="1" w:styleId="Char">
    <w:name w:val="正文文本 Char"/>
    <w:link w:val="a3"/>
    <w:qFormat/>
    <w:rPr>
      <w:rFonts w:ascii="仿宋_GB2312" w:eastAsia="仿宋_GB2312" w:hAnsi="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645</Words>
  <Characters>3683</Characters>
  <Application>Microsoft Office Word</Application>
  <DocSecurity>0</DocSecurity>
  <Lines>30</Lines>
  <Paragraphs>8</Paragraphs>
  <ScaleCrop>false</ScaleCrop>
  <Company>China</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盐边县2019年度部门预算整体绩效</dc:title>
  <dc:creator>lenovo</dc:creator>
  <cp:lastModifiedBy>谷代珍</cp:lastModifiedBy>
  <cp:revision>2</cp:revision>
  <dcterms:created xsi:type="dcterms:W3CDTF">2020-10-20T00:55:00Z</dcterms:created>
  <dcterms:modified xsi:type="dcterms:W3CDTF">2023-07-17T08:47:00Z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