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7193"/>
      <w:bookmarkStart w:id="4" w:name="_Toc15396475"/>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8442"/>
      <w:bookmarkStart w:id="7" w:name="_Toc15396476"/>
      <w:bookmarkStart w:id="8" w:name="_Toc15377426"/>
      <w:bookmarkStart w:id="9" w:name="_Toc15396598"/>
      <w:bookmarkStart w:id="10" w:name="_Toc15377194"/>
      <w:r>
        <w:rPr>
          <w:rFonts w:hint="eastAsia" w:ascii="方正小标宋简体" w:hAnsi="方正小标宋简体" w:eastAsia="方正小标宋简体" w:cs="方正小标宋简体"/>
          <w:sz w:val="72"/>
          <w:szCs w:val="72"/>
        </w:rPr>
        <w:t>盐边县</w:t>
      </w:r>
      <w:bookmarkEnd w:id="0"/>
      <w:bookmarkStart w:id="11" w:name="_Toc15306268"/>
      <w:r>
        <w:rPr>
          <w:rFonts w:hint="eastAsia" w:ascii="方正小标宋简体" w:hAnsi="方正小标宋简体" w:eastAsia="方正小标宋简体" w:cs="方正小标宋简体"/>
          <w:sz w:val="72"/>
          <w:szCs w:val="72"/>
          <w:lang w:val="en-US" w:eastAsia="zh-CN"/>
        </w:rPr>
        <w:t>疾病预防控制中心</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rFonts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公开时间：2022年11月1日</w:t>
      </w:r>
    </w:p>
    <w:p/>
    <w:p>
      <w:pPr>
        <w:spacing w:line="560" w:lineRule="exact"/>
        <w:rPr>
          <w:rFonts w:hint="default" w:eastAsia="黑体"/>
          <w:sz w:val="32"/>
          <w:szCs w:val="32"/>
          <w:lang w:val="en-US" w:eastAsia="zh-CN"/>
        </w:rPr>
      </w:pPr>
      <w:r>
        <w:rPr>
          <w:rFonts w:eastAsia="黑体"/>
          <w:sz w:val="32"/>
          <w:szCs w:val="32"/>
        </w:rPr>
        <w:t xml:space="preserve">第一部分 </w:t>
      </w:r>
      <w:r>
        <w:rPr>
          <w:rFonts w:hint="eastAsia" w:eastAsia="黑体"/>
          <w:sz w:val="32"/>
          <w:szCs w:val="32"/>
          <w:lang w:eastAsia="zh-CN"/>
        </w:rPr>
        <w:t>单位</w:t>
      </w:r>
      <w:r>
        <w:rPr>
          <w:rFonts w:eastAsia="黑体"/>
          <w:sz w:val="32"/>
          <w:szCs w:val="32"/>
        </w:rPr>
        <w:t>概况</w:t>
      </w:r>
      <w:r>
        <w:rPr>
          <w:rFonts w:hint="eastAsia" w:eastAsia="黑体"/>
          <w:sz w:val="32"/>
          <w:szCs w:val="32"/>
          <w:lang w:val="en-US" w:eastAsia="zh-CN"/>
        </w:rPr>
        <w:t>...................................................................4</w:t>
      </w:r>
    </w:p>
    <w:p>
      <w:pPr>
        <w:spacing w:line="560" w:lineRule="exact"/>
        <w:rPr>
          <w:rFonts w:hint="eastAsia"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一、职能简介</w:t>
      </w:r>
      <w:r>
        <w:rPr>
          <w:rFonts w:hint="eastAsia" w:eastAsia="仿宋_GB2312"/>
          <w:sz w:val="32"/>
          <w:szCs w:val="32"/>
          <w:lang w:val="en-US" w:eastAsia="zh-CN"/>
        </w:rPr>
        <w:t>.............................................................................4</w:t>
      </w:r>
    </w:p>
    <w:p>
      <w:pPr>
        <w:spacing w:line="560" w:lineRule="exact"/>
        <w:rPr>
          <w:rFonts w:hint="eastAsia" w:eastAsia="仿宋_GB2312"/>
          <w:sz w:val="32"/>
          <w:szCs w:val="32"/>
          <w:lang w:val="en-US" w:eastAsia="zh-CN"/>
        </w:rPr>
      </w:pPr>
      <w:r>
        <w:rPr>
          <w:rFonts w:hint="eastAsia"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机构设置</w:t>
      </w:r>
      <w:r>
        <w:rPr>
          <w:rFonts w:hint="eastAsia" w:eastAsia="仿宋_GB2312"/>
          <w:sz w:val="32"/>
          <w:szCs w:val="32"/>
          <w:lang w:val="en-US" w:eastAsia="zh-CN"/>
        </w:rPr>
        <w:t>.............................................................................4</w:t>
      </w:r>
    </w:p>
    <w:p>
      <w:pPr>
        <w:spacing w:line="560" w:lineRule="exact"/>
        <w:rPr>
          <w:rFonts w:hint="default" w:eastAsia="仿宋_GB2312"/>
          <w:sz w:val="32"/>
          <w:szCs w:val="32"/>
          <w:lang w:val="en-US" w:eastAsia="zh-CN"/>
        </w:rPr>
      </w:pPr>
      <w:r>
        <w:rPr>
          <w:rFonts w:hint="eastAsia"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、2021年重点工作完成情况</w:t>
      </w:r>
      <w:r>
        <w:rPr>
          <w:rFonts w:hint="eastAsia" w:eastAsia="仿宋_GB2312"/>
          <w:sz w:val="32"/>
          <w:szCs w:val="32"/>
          <w:lang w:val="en-US" w:eastAsia="zh-CN"/>
        </w:rPr>
        <w:t>................................................4</w:t>
      </w:r>
    </w:p>
    <w:p>
      <w:pPr>
        <w:spacing w:line="560" w:lineRule="exact"/>
        <w:jc w:val="left"/>
        <w:rPr>
          <w:rFonts w:hint="default" w:eastAsia="仿宋_GB2312"/>
          <w:sz w:val="32"/>
          <w:szCs w:val="32"/>
          <w:lang w:val="en-US" w:eastAsia="zh-CN"/>
        </w:rPr>
      </w:pPr>
      <w:r>
        <w:rPr>
          <w:rFonts w:hint="eastAsia" w:ascii="Times New Roman" w:hAnsi="Times New Roman" w:eastAsia="黑体" w:cs="Times New Roman"/>
          <w:sz w:val="32"/>
          <w:szCs w:val="32"/>
        </w:rPr>
        <w:t>第二部分 2021年度单位决算情况说</w:t>
      </w:r>
      <w:r>
        <w:rPr>
          <w:rFonts w:hint="eastAsia" w:ascii="Times New Roman" w:hAnsi="Times New Roman" w:eastAsia="黑体" w:cs="Times New Roman"/>
          <w:sz w:val="32"/>
          <w:szCs w:val="32"/>
          <w:lang w:eastAsia="zh-CN"/>
        </w:rPr>
        <w:t>明</w:t>
      </w:r>
      <w:r>
        <w:rPr>
          <w:rFonts w:hint="eastAsia" w:ascii="Times New Roman" w:hAnsi="Times New Roman" w:eastAsia="仿宋_GB2312" w:cs="Times New Roman"/>
          <w:kern w:val="2"/>
          <w:sz w:val="32"/>
          <w:szCs w:val="32"/>
          <w:lang w:val="en-US" w:eastAsia="zh-CN" w:bidi="ar-SA"/>
        </w:rPr>
        <w:t>... ............................</w:t>
      </w:r>
      <w:r>
        <w:rPr>
          <w:rFonts w:hint="eastAsia" w:eastAsia="仿宋_GB2312" w:cs="Times New Roman"/>
          <w:kern w:val="2"/>
          <w:sz w:val="32"/>
          <w:szCs w:val="32"/>
          <w:lang w:val="en-US" w:eastAsia="zh-CN" w:bidi="ar-SA"/>
        </w:rPr>
        <w:t>18</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一、收入支出决算总体情况说明...........................................</w:t>
      </w: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8</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二、收入决算情况说明..............................................</w:t>
      </w:r>
      <w:r>
        <w:rPr>
          <w:rFonts w:hint="eastAsia" w:eastAsia="仿宋_GB2312" w:cs="Times New Roman"/>
          <w:kern w:val="2"/>
          <w:sz w:val="32"/>
          <w:szCs w:val="32"/>
          <w:lang w:val="en-US" w:eastAsia="zh-CN" w:bidi="ar-SA"/>
        </w:rPr>
        <w:t>.............18</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三、支出决算情况说明.............................................</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19</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四、财政拨款收入支出决算总体情况说明...................</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 ......</w:t>
      </w:r>
      <w:r>
        <w:rPr>
          <w:rFonts w:hint="eastAsia" w:eastAsia="仿宋_GB2312" w:cs="Times New Roman"/>
          <w:kern w:val="2"/>
          <w:sz w:val="32"/>
          <w:szCs w:val="32"/>
          <w:lang w:val="en-US" w:eastAsia="zh-CN" w:bidi="ar-SA"/>
        </w:rPr>
        <w:t>20</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五、一般公共预算财政拨款支出决算情况说明...........</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21</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六、一般公共预算财政拨款基本支出决算情况说明.............</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七、“三公”经费财政拨款支出决算情况说明...........</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24</w:t>
      </w:r>
      <w:r>
        <w:rPr>
          <w:rFonts w:hint="eastAsia" w:ascii="Times New Roman" w:hAnsi="Times New Roman" w:eastAsia="仿宋_GB2312" w:cs="Times New Roman"/>
          <w:kern w:val="2"/>
          <w:sz w:val="32"/>
          <w:szCs w:val="32"/>
          <w:lang w:val="en-US" w:eastAsia="zh-CN" w:bidi="ar-SA"/>
        </w:rPr>
        <w:t>八、政府性基金预算支出决算情况说明.............</w:t>
      </w:r>
      <w:r>
        <w:rPr>
          <w:rFonts w:hint="eastAsia" w:eastAsia="仿宋_GB2312" w:cs="Times New Roman"/>
          <w:kern w:val="2"/>
          <w:sz w:val="32"/>
          <w:szCs w:val="32"/>
          <w:lang w:val="en-US" w:eastAsia="zh-CN" w:bidi="ar-SA"/>
        </w:rPr>
        <w:t>....................26</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九、国有资本经营预算支出决算情况说明............</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26</w:t>
      </w:r>
    </w:p>
    <w:p>
      <w:pPr>
        <w:spacing w:line="560" w:lineRule="exact"/>
        <w:jc w:val="left"/>
        <w:rPr>
          <w:rFonts w:hint="default"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十、其他重要事项的情况说明</w:t>
      </w:r>
      <w:r>
        <w:rPr>
          <w:rFonts w:hint="eastAsia" w:eastAsia="仿宋_GB2312"/>
          <w:sz w:val="32"/>
          <w:szCs w:val="32"/>
          <w:lang w:val="en-US" w:eastAsia="zh-CN"/>
        </w:rPr>
        <w:t>.................................................</w:t>
      </w:r>
      <w:r>
        <w:rPr>
          <w:rFonts w:hint="eastAsia" w:eastAsia="仿宋_GB2312" w:cs="Times New Roman"/>
          <w:kern w:val="2"/>
          <w:sz w:val="32"/>
          <w:szCs w:val="32"/>
          <w:lang w:val="en-US" w:eastAsia="zh-CN" w:bidi="ar-SA"/>
        </w:rPr>
        <w:t>26</w:t>
      </w:r>
    </w:p>
    <w:p>
      <w:pPr>
        <w:spacing w:line="560" w:lineRule="exact"/>
        <w:jc w:val="lef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第三部分名词解释</w:t>
      </w:r>
      <w:r>
        <w:rPr>
          <w:rFonts w:hint="eastAsia" w:ascii="Times New Roman" w:hAnsi="Times New Roman" w:eastAsia="黑体" w:cs="Times New Roman"/>
          <w:sz w:val="32"/>
          <w:szCs w:val="32"/>
          <w:lang w:val="en-US" w:eastAsia="zh-CN"/>
        </w:rPr>
        <w:t>............................................</w:t>
      </w:r>
      <w:r>
        <w:rPr>
          <w:rFonts w:hint="eastAsia" w:eastAsia="黑体" w:cs="Times New Roman"/>
          <w:sz w:val="32"/>
          <w:szCs w:val="32"/>
          <w:lang w:val="en-US" w:eastAsia="zh-CN"/>
        </w:rPr>
        <w:t>.....................</w:t>
      </w:r>
      <w:r>
        <w:rPr>
          <w:rFonts w:hint="eastAsia" w:ascii="Times New Roman" w:hAnsi="Times New Roman" w:eastAsia="黑体" w:cs="Times New Roman"/>
          <w:sz w:val="32"/>
          <w:szCs w:val="32"/>
          <w:lang w:val="en-US" w:eastAsia="zh-CN"/>
        </w:rPr>
        <w:t>..</w:t>
      </w:r>
      <w:r>
        <w:rPr>
          <w:rFonts w:hint="eastAsia" w:eastAsia="黑体" w:cs="Times New Roman"/>
          <w:sz w:val="32"/>
          <w:szCs w:val="32"/>
          <w:lang w:val="en-US" w:eastAsia="zh-CN"/>
        </w:rPr>
        <w:t>28</w:t>
      </w:r>
    </w:p>
    <w:p>
      <w:pPr>
        <w:spacing w:line="560" w:lineRule="exact"/>
        <w:jc w:val="lef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第四部分附件</w:t>
      </w:r>
      <w:r>
        <w:rPr>
          <w:rFonts w:hint="eastAsia" w:ascii="Times New Roman" w:hAnsi="Times New Roman" w:eastAsia="黑体" w:cs="Times New Roman"/>
          <w:sz w:val="32"/>
          <w:szCs w:val="32"/>
          <w:lang w:val="en-US" w:eastAsia="zh-CN"/>
        </w:rPr>
        <w:t>..................................</w:t>
      </w:r>
      <w:r>
        <w:rPr>
          <w:rFonts w:hint="eastAsia" w:eastAsia="黑体" w:cs="Times New Roman"/>
          <w:sz w:val="32"/>
          <w:szCs w:val="32"/>
          <w:lang w:val="en-US" w:eastAsia="zh-CN"/>
        </w:rPr>
        <w:t>.............................</w:t>
      </w:r>
      <w:r>
        <w:rPr>
          <w:rFonts w:hint="eastAsia" w:ascii="Times New Roman" w:hAnsi="Times New Roman" w:eastAsia="黑体" w:cs="Times New Roman"/>
          <w:sz w:val="32"/>
          <w:szCs w:val="32"/>
          <w:lang w:val="en-US" w:eastAsia="zh-CN"/>
        </w:rPr>
        <w:t>............</w:t>
      </w:r>
      <w:r>
        <w:rPr>
          <w:rFonts w:hint="eastAsia" w:eastAsia="黑体" w:cs="Times New Roman"/>
          <w:sz w:val="32"/>
          <w:szCs w:val="32"/>
          <w:lang w:val="en-US" w:eastAsia="zh-CN"/>
        </w:rPr>
        <w:t>31</w:t>
      </w:r>
    </w:p>
    <w:p>
      <w:pPr>
        <w:spacing w:line="560" w:lineRule="exact"/>
        <w:jc w:val="left"/>
        <w:rPr>
          <w:rFonts w:hint="default" w:eastAsia="仿宋_GB2312"/>
          <w:sz w:val="32"/>
          <w:szCs w:val="32"/>
          <w:lang w:val="en-US" w:eastAsia="zh-CN"/>
        </w:rPr>
      </w:pPr>
      <w:r>
        <w:rPr>
          <w:rFonts w:hint="eastAsia" w:ascii="Times New Roman" w:hAnsi="Times New Roman" w:eastAsia="黑体" w:cs="Times New Roman"/>
          <w:sz w:val="32"/>
          <w:szCs w:val="32"/>
        </w:rPr>
        <w:t>第五部分附表</w:t>
      </w:r>
      <w:r>
        <w:rPr>
          <w:rFonts w:hint="eastAsia" w:ascii="Times New Roman" w:hAnsi="Times New Roman" w:eastAsia="黑体" w:cs="Times New Roman"/>
          <w:sz w:val="32"/>
          <w:szCs w:val="32"/>
          <w:lang w:val="en-US" w:eastAsia="zh-CN"/>
        </w:rPr>
        <w:t>...................................</w:t>
      </w:r>
      <w:r>
        <w:rPr>
          <w:rFonts w:hint="eastAsia" w:eastAsia="黑体" w:cs="Times New Roman"/>
          <w:sz w:val="32"/>
          <w:szCs w:val="32"/>
          <w:lang w:val="en-US" w:eastAsia="zh-CN"/>
        </w:rPr>
        <w:t>.............................</w:t>
      </w:r>
      <w:r>
        <w:rPr>
          <w:rFonts w:hint="eastAsia" w:ascii="Times New Roman" w:hAnsi="Times New Roman" w:eastAsia="黑体" w:cs="Times New Roman"/>
          <w:sz w:val="32"/>
          <w:szCs w:val="32"/>
          <w:lang w:val="en-US" w:eastAsia="zh-CN"/>
        </w:rPr>
        <w:t>.</w:t>
      </w:r>
      <w:r>
        <w:rPr>
          <w:rFonts w:hint="eastAsia" w:eastAsia="仿宋_GB2312"/>
          <w:sz w:val="32"/>
          <w:szCs w:val="32"/>
          <w:lang w:val="en-US" w:eastAsia="zh-CN"/>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一、收入支出决算总表.....................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r>
        <w:rPr>
          <w:rFonts w:hint="eastAsia" w:ascii="Times New Roman" w:hAnsi="Times New Roman" w:eastAsia="仿宋_GB2312" w:cs="Times New Roman"/>
          <w:kern w:val="2"/>
          <w:sz w:val="32"/>
          <w:szCs w:val="32"/>
          <w:lang w:val="en-US" w:eastAsia="zh-CN" w:bidi="ar-SA"/>
        </w:rPr>
        <w:t>二、收入决算表..................................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三、支出决算表................</w:t>
      </w:r>
      <w:r>
        <w:rPr>
          <w:rFonts w:hint="eastAsia" w:eastAsia="仿宋_GB2312"/>
          <w:sz w:val="32"/>
          <w:szCs w:val="32"/>
          <w:lang w:val="en-US" w:eastAsia="zh-CN"/>
        </w:rPr>
        <w:t>.......................................................34</w:t>
      </w:r>
      <w:r>
        <w:rPr>
          <w:rFonts w:hint="eastAsia" w:ascii="Times New Roman" w:hAnsi="Times New Roman" w:eastAsia="仿宋_GB2312" w:cs="Times New Roman"/>
          <w:kern w:val="2"/>
          <w:sz w:val="32"/>
          <w:szCs w:val="32"/>
          <w:lang w:val="en-US" w:eastAsia="zh-CN" w:bidi="ar-SA"/>
        </w:rPr>
        <w:t>四、财政拨款收入支出决算总表............................................</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五、财政拨款支出决算明细表...........................................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六、一般公共预算财政拨款支出决算表.............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r>
        <w:rPr>
          <w:rFonts w:hint="eastAsia" w:ascii="Times New Roman" w:hAnsi="Times New Roman" w:eastAsia="仿宋_GB2312" w:cs="Times New Roman"/>
          <w:kern w:val="2"/>
          <w:sz w:val="32"/>
          <w:szCs w:val="32"/>
          <w:lang w:val="en-US" w:eastAsia="zh-CN" w:bidi="ar-SA"/>
        </w:rPr>
        <w:t>七、一般公共预算财政拨款支出决算明细表.....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八、一般公共预算财政拨款基本支出决算表........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九、一般公共预算财政拨款项目支出决算表........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十、一般公共预算财政拨款“三公”经费支出决算表.............</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十一、政府性基金预算财政拨款收入支出决算表..........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p>
    <w:p>
      <w:pPr>
        <w:spacing w:line="56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十二、政府性基金预算财政拨款“三公”经费支出决算...</w:t>
      </w:r>
      <w:r>
        <w:rPr>
          <w:rFonts w:hint="eastAsia" w:eastAsia="仿宋_GB2312" w:cs="Times New Roman"/>
          <w:kern w:val="2"/>
          <w:sz w:val="32"/>
          <w:szCs w:val="32"/>
          <w:lang w:val="en-US" w:eastAsia="zh-CN" w:bidi="ar-SA"/>
        </w:rPr>
        <w:t>.34</w:t>
      </w:r>
      <w:r>
        <w:rPr>
          <w:rFonts w:hint="eastAsia" w:ascii="Times New Roman" w:hAnsi="Times New Roman" w:eastAsia="仿宋_GB2312" w:cs="Times New Roman"/>
          <w:kern w:val="2"/>
          <w:sz w:val="32"/>
          <w:szCs w:val="32"/>
          <w:lang w:val="en-US" w:eastAsia="zh-CN" w:bidi="ar-SA"/>
        </w:rPr>
        <w:t>十三、国有资本经营预算财政拨款收入支出决算表.............</w:t>
      </w:r>
      <w:r>
        <w:rPr>
          <w:rFonts w:hint="eastAsia" w:eastAsia="仿宋_GB2312" w:cs="Times New Roman"/>
          <w:kern w:val="2"/>
          <w:sz w:val="32"/>
          <w:szCs w:val="32"/>
          <w:lang w:val="en-US" w:eastAsia="zh-CN" w:bidi="ar-SA"/>
        </w:rPr>
        <w:t>34</w:t>
      </w:r>
      <w:r>
        <w:rPr>
          <w:rFonts w:hint="eastAsia" w:ascii="Times New Roman" w:hAnsi="Times New Roman" w:eastAsia="仿宋_GB2312" w:cs="Times New Roman"/>
          <w:kern w:val="2"/>
          <w:sz w:val="32"/>
          <w:szCs w:val="32"/>
          <w:lang w:val="en-US" w:eastAsia="zh-CN" w:bidi="ar-SA"/>
        </w:rPr>
        <w:t>十四、国有资本经营预算财政拨款支出决算表............</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34</w:t>
      </w:r>
    </w:p>
    <w:p>
      <w:pPr>
        <w:pStyle w:val="3"/>
        <w:ind w:firstLine="440" w:firstLineChars="100"/>
        <w:jc w:val="both"/>
        <w:rPr>
          <w:rFonts w:hint="eastAsia" w:ascii="黑体" w:hAnsi="黑体" w:eastAsia="黑体"/>
          <w:b w:val="0"/>
        </w:rPr>
      </w:pPr>
      <w:bookmarkStart w:id="12" w:name="_Toc15377196"/>
      <w:bookmarkStart w:id="13" w:name="_Toc15396599"/>
    </w:p>
    <w:p>
      <w:pPr>
        <w:rPr>
          <w:rFonts w:hint="eastAsia"/>
        </w:rPr>
      </w:pPr>
    </w:p>
    <w:p>
      <w:pPr>
        <w:pStyle w:val="3"/>
        <w:ind w:firstLine="440" w:firstLineChars="100"/>
        <w:jc w:val="both"/>
        <w:rPr>
          <w:rFonts w:hint="eastAsia" w:ascii="黑体" w:hAnsi="黑体" w:eastAsia="黑体"/>
          <w:b w:val="0"/>
        </w:rPr>
      </w:pPr>
    </w:p>
    <w:p>
      <w:pPr>
        <w:pStyle w:val="3"/>
        <w:jc w:val="both"/>
        <w:rPr>
          <w:rFonts w:hint="eastAsia" w:ascii="黑体" w:hAnsi="黑体" w:eastAsia="黑体"/>
          <w:b w:val="0"/>
        </w:rPr>
      </w:pPr>
    </w:p>
    <w:p>
      <w:pPr>
        <w:pStyle w:val="3"/>
        <w:ind w:firstLine="440" w:firstLineChars="100"/>
        <w:jc w:val="both"/>
        <w:rPr>
          <w:rFonts w:hint="eastAsia" w:ascii="黑体" w:hAnsi="黑体" w:eastAsia="黑体"/>
          <w:b w:val="0"/>
        </w:rPr>
      </w:pPr>
    </w:p>
    <w:p>
      <w:pPr>
        <w:rPr>
          <w:rFonts w:hint="eastAsia" w:ascii="黑体" w:hAnsi="黑体" w:eastAsia="黑体"/>
          <w:b w:val="0"/>
        </w:rPr>
      </w:pPr>
    </w:p>
    <w:p>
      <w:pPr>
        <w:pStyle w:val="2"/>
        <w:rPr>
          <w:rFonts w:hint="eastAsia"/>
        </w:rPr>
      </w:pPr>
    </w:p>
    <w:p>
      <w:pPr>
        <w:pStyle w:val="3"/>
        <w:ind w:firstLine="440" w:firstLineChars="100"/>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p>
    <w:bookmarkEnd w:id="12"/>
    <w:bookmarkEnd w:id="13"/>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黑体" w:cs="Times New Roman"/>
          <w:sz w:val="32"/>
          <w:szCs w:val="32"/>
        </w:rPr>
      </w:pPr>
      <w:bookmarkStart w:id="14" w:name="_Toc15377197"/>
      <w:bookmarkStart w:id="15" w:name="_Toc15396600"/>
      <w:r>
        <w:rPr>
          <w:rFonts w:hint="eastAsia" w:ascii="Times New Roman" w:hAnsi="Times New Roman" w:eastAsia="黑体" w:cs="Times New Roman"/>
          <w:sz w:val="32"/>
          <w:szCs w:val="32"/>
        </w:rPr>
        <w:t>一、职能简介</w:t>
      </w:r>
      <w:bookmarkStart w:id="16" w:name="_Toc15377198"/>
      <w:bookmarkStart w:id="17" w:name="_Toc15378445"/>
    </w:p>
    <w:p>
      <w:pPr>
        <w:widowControl/>
        <w:adjustRightInd w:val="0"/>
        <w:snapToGrid w:val="0"/>
        <w:spacing w:line="360" w:lineRule="auto"/>
        <w:ind w:firstLine="480" w:firstLineChars="150"/>
        <w:jc w:val="left"/>
        <w:rPr>
          <w:rFonts w:hint="eastAsia" w:ascii="仿宋_GB2312" w:hAnsi="华文宋体" w:eastAsia="仿宋_GB2312"/>
          <w:bCs/>
          <w:sz w:val="32"/>
          <w:szCs w:val="32"/>
        </w:rPr>
      </w:pPr>
      <w:r>
        <w:rPr>
          <w:rFonts w:hint="eastAsia" w:ascii="仿宋_GB2312" w:hAnsi="华文宋体" w:eastAsia="仿宋_GB2312"/>
          <w:bCs/>
          <w:sz w:val="32"/>
          <w:szCs w:val="32"/>
        </w:rPr>
        <w:t>盐边县疾病预防控制中心主要负责传染病、寄生虫病、地方病、非传染性疾病等预防与控制；传染病暴发疫情、中毒及自然灾害事故等突发公共卫生事件应急处置；疫情及健康相关因素信息管理，开展疾病监测，收集、报告、分析和评价疾病与健康危害因素等公共卫生信息；健康危害因素监测与干预，开展食源性、职业性、放射性、环境性等疾病的监测评价和流行病学调查，开展公众健康和营养状况监测与评价，提出干预策略与措施；疾病病原生物检测、鉴定和物理、化学因子检测、评价；健康教育与健康促进，对公众进行健康指导和不良健康行为干预；疾病预防控制技术管理与应用研究指导；其他疾病预防控制工作。</w:t>
      </w:r>
    </w:p>
    <w:p>
      <w:pPr>
        <w:keepNext w:val="0"/>
        <w:keepLines w:val="0"/>
        <w:pageBreakBefore w:val="0"/>
        <w:widowControl w:val="0"/>
        <w:numPr>
          <w:ilvl w:val="0"/>
          <w:numId w:val="1"/>
        </w:numPr>
        <w:kinsoku/>
        <w:wordWrap/>
        <w:overflowPunct/>
        <w:topLinePunct w:val="0"/>
        <w:autoSpaceDE/>
        <w:autoSpaceDN/>
        <w:bidi w:val="0"/>
        <w:adjustRightInd/>
        <w:spacing w:line="570" w:lineRule="exact"/>
        <w:ind w:firstLine="640" w:firstLineChars="200"/>
        <w:textAlignment w:val="auto"/>
        <w:rPr>
          <w:rFonts w:hint="eastAsia" w:eastAsia="黑体" w:cs="Times New Roman"/>
          <w:sz w:val="32"/>
          <w:szCs w:val="32"/>
          <w:lang w:val="en-US" w:eastAsia="zh-CN"/>
        </w:rPr>
      </w:pPr>
      <w:r>
        <w:rPr>
          <w:rFonts w:hint="eastAsia" w:eastAsia="黑体" w:cs="Times New Roman"/>
          <w:sz w:val="32"/>
          <w:szCs w:val="32"/>
          <w:lang w:val="en-US" w:eastAsia="zh-CN"/>
        </w:rPr>
        <w:t>机构设置</w:t>
      </w:r>
    </w:p>
    <w:p>
      <w:pPr>
        <w:pStyle w:val="2"/>
        <w:numPr>
          <w:ilvl w:val="0"/>
          <w:numId w:val="0"/>
        </w:numPr>
        <w:ind w:firstLine="640" w:firstLineChars="200"/>
        <w:rPr>
          <w:rFonts w:hint="default"/>
          <w:lang w:val="en-US" w:eastAsia="zh-CN"/>
        </w:rPr>
      </w:pPr>
      <w:r>
        <w:rPr>
          <w:rFonts w:hint="eastAsia" w:ascii="仿宋_GB2312" w:hAnsi="华文宋体" w:eastAsia="仿宋_GB2312"/>
          <w:sz w:val="32"/>
          <w:szCs w:val="32"/>
        </w:rPr>
        <w:t>盐边县疾病预防控制中心成立于2003年8月,为全额拨款的公益一类（副科级）事业单位,</w:t>
      </w:r>
      <w:r>
        <w:rPr>
          <w:rFonts w:hint="eastAsia" w:hAnsi="华文宋体"/>
          <w:sz w:val="32"/>
          <w:szCs w:val="32"/>
          <w:lang w:val="en-US" w:eastAsia="zh-CN"/>
        </w:rPr>
        <w:t>下属非独立核算0个。单位</w:t>
      </w:r>
      <w:bookmarkStart w:id="68" w:name="_GoBack"/>
      <w:bookmarkEnd w:id="68"/>
      <w:r>
        <w:rPr>
          <w:rFonts w:hint="eastAsia" w:ascii="仿宋_GB2312" w:hAnsi="华文宋体" w:eastAsia="仿宋_GB2312"/>
          <w:sz w:val="32"/>
          <w:szCs w:val="32"/>
        </w:rPr>
        <w:t>内设10个行政、业务科室。主管部门是盐边县卫生和计划生育局，法定代表人</w:t>
      </w:r>
      <w:r>
        <w:rPr>
          <w:rFonts w:hint="eastAsia" w:hAnsi="华文宋体"/>
          <w:sz w:val="32"/>
          <w:szCs w:val="32"/>
          <w:lang w:val="en-US" w:eastAsia="zh-CN"/>
        </w:rPr>
        <w:t>安顺兵</w:t>
      </w:r>
      <w:r>
        <w:rPr>
          <w:rFonts w:hint="eastAsia" w:ascii="仿宋_GB2312" w:hAnsi="华文宋体" w:eastAsia="仿宋_GB2312"/>
          <w:sz w:val="32"/>
          <w:szCs w:val="32"/>
        </w:rPr>
        <w:t>,法定地址为盐边县桐子林镇中环南路47号。</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三</w:t>
      </w:r>
      <w:r>
        <w:rPr>
          <w:rFonts w:hint="eastAsia" w:ascii="Times New Roman" w:hAnsi="Times New Roman" w:eastAsia="黑体" w:cs="Times New Roman"/>
          <w:sz w:val="32"/>
          <w:szCs w:val="32"/>
          <w:lang w:val="en-US" w:eastAsia="zh-CN"/>
        </w:rPr>
        <w:t>、2021重点工作完成情况</w:t>
      </w:r>
    </w:p>
    <w:p>
      <w:pPr>
        <w:spacing w:line="520" w:lineRule="exact"/>
        <w:ind w:firstLine="482" w:firstLineChars="150"/>
        <w:rPr>
          <w:rFonts w:ascii="楷体" w:hAnsi="楷体" w:eastAsia="楷体"/>
          <w:b/>
          <w:sz w:val="32"/>
          <w:szCs w:val="32"/>
        </w:rPr>
      </w:pPr>
      <w:r>
        <w:rPr>
          <w:rFonts w:hint="eastAsia" w:ascii="楷体" w:hAnsi="楷体" w:eastAsia="楷体"/>
          <w:b/>
          <w:sz w:val="32"/>
          <w:szCs w:val="32"/>
        </w:rPr>
        <w:t>(一)新冠肺炎防控工作</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1</w:t>
      </w:r>
      <w:r>
        <w:rPr>
          <w:rFonts w:hint="eastAsia" w:ascii="仿宋_GB2312" w:hAnsi="楷体" w:eastAsia="仿宋_GB2312"/>
          <w:sz w:val="32"/>
          <w:szCs w:val="32"/>
        </w:rPr>
        <w:t>.严格按照“四川省新冠肺炎监测技术方案”开展重点人群、重点场所的监测。2021年1-12月疾控中心开展中心职工监测共计528人次，监测结果均为阴性。同时做好其他单位监测数据的收集、整理、上报和分析。</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2</w:t>
      </w:r>
      <w:r>
        <w:rPr>
          <w:rFonts w:hint="eastAsia" w:ascii="仿宋_GB2312" w:hAnsi="楷体" w:eastAsia="仿宋_GB2312"/>
          <w:sz w:val="32"/>
          <w:szCs w:val="32"/>
        </w:rPr>
        <w:t>.为了进一步做好我县新冠肺炎疫情防控工作，检验应急处置方案的科学性，有效性，提高专业技术人员应对突发新冠肺炎疫情应急处置能力。中心于2021年2月24日协同盐边县应对新型冠状病毒肺炎疫情应急指挥部于在盐边县人民医院组织开展了“2021年盐边县新冠肺炎疫情应急处置”现场模拟演练，共计60余人参与；2021年8月20日参与攀枝花新冠肺炎流调溯源桌面推演；2021年8月30日县疾控中心组织开展“盐边县2021年新冠肺炎疫情流调溯源桌面演练”工作；2021年12月29日参与全市新冠肺炎流调溯源实战演练。并做好了相应应急物资的储备。</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3</w:t>
      </w:r>
      <w:r>
        <w:rPr>
          <w:rFonts w:hint="eastAsia" w:ascii="仿宋_GB2312" w:hAnsi="楷体" w:eastAsia="仿宋_GB2312"/>
          <w:sz w:val="32"/>
          <w:szCs w:val="32"/>
        </w:rPr>
        <w:t>.做好流行病学调查落实管控措施：2021年1-12月共计调查26起，其中密切接触者9人，次密304人次。</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4</w:t>
      </w:r>
      <w:r>
        <w:rPr>
          <w:rFonts w:hint="eastAsia" w:ascii="仿宋_GB2312" w:hAnsi="楷体" w:eastAsia="仿宋_GB2312"/>
          <w:sz w:val="32"/>
          <w:szCs w:val="32"/>
        </w:rPr>
        <w:t xml:space="preserve">.2021年每日及时做好重点地区返攀人员核酸检测的报送工作。 </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5</w:t>
      </w:r>
      <w:r>
        <w:rPr>
          <w:rFonts w:hint="eastAsia" w:ascii="仿宋_GB2312" w:hAnsi="楷体" w:eastAsia="仿宋_GB2312"/>
          <w:sz w:val="32"/>
          <w:szCs w:val="32"/>
        </w:rPr>
        <w:t>. 2021年1-12月盐边县疾控中心开展了两期新冠肺炎防控知识培训，并不定期参与省级（视频培训）和市级（现场培训）的培训12次，同时对全县事业干部开展了两期新冠肺炎防控知识培训。</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6</w:t>
      </w:r>
      <w:r>
        <w:rPr>
          <w:rFonts w:hint="eastAsia" w:ascii="仿宋_GB2312" w:hAnsi="楷体" w:eastAsia="仿宋_GB2312"/>
          <w:sz w:val="32"/>
          <w:szCs w:val="32"/>
        </w:rPr>
        <w:t>.2021年疾控中心分别于2月、4月、6月、9月、11月到攀枝花市进口冷链食品集中监管仓开展冷链食品及环境的新冠病毒核酸监测工作，出动人员80人次，共计监测人员155人，外包装538份，食品538份，环境65份，结果均为阴性。</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7.新冠疫苗接种工作：</w:t>
      </w:r>
      <w:r>
        <w:rPr>
          <w:rFonts w:hint="eastAsia" w:ascii="仿宋_GB2312" w:hAnsi="楷体" w:eastAsia="仿宋_GB2312"/>
          <w:sz w:val="32"/>
          <w:szCs w:val="32"/>
        </w:rPr>
        <w:t>全县新冠疫苗接种点12个，其中大型接种点3个，2021年盐边县新冠疫苗接种率在全市名列前茅，开展新冠疫苗接种培训 4期，培训 463人次；对新冠疫苗接种点共开展30余次督导或驻点指导，出动120余人次。在督导过程中发现的问题立即进行整改。2021全县接种新冠疫苗354811剂次，其中第一剂次159463剂，第二剂次153970剂，第三剂次41378。完成第一剂次工作任务的,113.18%，第二剂次工作任务的115.72%。全县目前共报告AEFI34列，其中一般反应30列，偶合症4列。</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8</w:t>
      </w:r>
      <w:r>
        <w:rPr>
          <w:rFonts w:hint="eastAsia" w:ascii="仿宋_GB2312" w:hAnsi="楷体" w:eastAsia="仿宋_GB2312"/>
          <w:sz w:val="32"/>
          <w:szCs w:val="32"/>
        </w:rPr>
        <w:t>.重大活动保障：为了做好盐边县举办的重大活动保障工作，中心不定期对重大活动场所进行新冠疫情防控的指导，并参与康养论坛、两会期间、中高考期间、会考、三线建设与成渝地区双城经济圈建设研讨会、乡村振兴现场会、成人考试、事业干部招聘等新冠疫情防控现场保障。</w:t>
      </w:r>
    </w:p>
    <w:p>
      <w:pPr>
        <w:spacing w:line="520" w:lineRule="exact"/>
        <w:ind w:firstLine="643" w:firstLineChars="200"/>
        <w:rPr>
          <w:rFonts w:ascii="楷体" w:hAnsi="楷体" w:eastAsia="楷体"/>
          <w:b/>
          <w:sz w:val="32"/>
          <w:szCs w:val="32"/>
        </w:rPr>
      </w:pPr>
      <w:r>
        <w:rPr>
          <w:rFonts w:hint="eastAsia" w:ascii="楷体" w:hAnsi="楷体" w:eastAsia="楷体"/>
          <w:b/>
          <w:sz w:val="32"/>
          <w:szCs w:val="32"/>
        </w:rPr>
        <w:t>（二）传染病防控与管理。</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w:t>
      </w:r>
      <w:r>
        <w:rPr>
          <w:rFonts w:hint="eastAsia" w:ascii="仿宋_GB2312" w:hAnsi="楷体" w:eastAsia="仿宋_GB2312"/>
          <w:sz w:val="32"/>
          <w:szCs w:val="32"/>
          <w:lang w:val="en-US" w:eastAsia="zh-CN"/>
        </w:rPr>
        <w:t>.</w:t>
      </w:r>
      <w:r>
        <w:rPr>
          <w:rFonts w:hint="eastAsia" w:ascii="仿宋_GB2312" w:hAnsi="楷体" w:eastAsia="仿宋_GB2312"/>
          <w:sz w:val="32"/>
          <w:szCs w:val="32"/>
        </w:rPr>
        <w:t>传染病自动预警响应： 1-12月共调查响应138起传染病自动预警信息，其中初步判定排除138起，及时响应率为100.00%。响应病种有痢疾25起、其它感腹60起、病原学阳性4起、病原学阴性13起、无病原学结果7起、手足口病25起、流行性腮腺炎1起、麻疹3起。</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2.</w:t>
      </w:r>
      <w:r>
        <w:rPr>
          <w:rFonts w:hint="eastAsia" w:ascii="仿宋_GB2312" w:hAnsi="楷体" w:eastAsia="仿宋_GB2312"/>
          <w:sz w:val="32"/>
          <w:szCs w:val="32"/>
        </w:rPr>
        <w:t>传染病实时监控工作： 1-12日每日完成盐边县传染病实时监控工作，及时审核率100%，月末及年末无重卡；做好相关疫情的备份工作。</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3.</w:t>
      </w:r>
      <w:r>
        <w:rPr>
          <w:rFonts w:hint="eastAsia" w:ascii="仿宋_GB2312" w:hAnsi="楷体" w:eastAsia="仿宋_GB2312"/>
          <w:sz w:val="32"/>
          <w:szCs w:val="32"/>
        </w:rPr>
        <w:t>4月份、7月份、10月份、12月份完成县中医院、惠民中心卫生院、永兴中心卫生院、格萨拉乡卫生院、益民乡卫生院等五家医疗机构2021年一季度、二季度、三季度、四季度传染病监测信息报告管理专项工作进行督导检查。</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5.</w:t>
      </w:r>
      <w:r>
        <w:rPr>
          <w:rFonts w:hint="eastAsia" w:ascii="仿宋_GB2312" w:hAnsi="楷体" w:eastAsia="仿宋_GB2312"/>
          <w:sz w:val="32"/>
          <w:szCs w:val="32"/>
        </w:rPr>
        <w:t>7月完成全县16家医疗机构传染病防治工作半年考核及传染病漏报检查工作，11月底完成全县16家医疗机构传染病防治工作2021年年度考核及传染病漏报检查工作。</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6.</w:t>
      </w:r>
      <w:r>
        <w:rPr>
          <w:rFonts w:hint="eastAsia" w:ascii="仿宋_GB2312" w:hAnsi="楷体" w:eastAsia="仿宋_GB2312"/>
          <w:sz w:val="32"/>
          <w:szCs w:val="32"/>
        </w:rPr>
        <w:t>霍乱监测：县疾控中心和监测医疗机构从5月份开始霍乱监测工作，按监测要求对盐边县城镇污水排放点、民富农贸市场公厕、雅砻江河水、自来水厂水、重点人群监测、海水产品进行监测。对霍乱外环境监测要求不少于36份，中心完成42份；海水产品监测（其它）要求不少于36份，中心完成49份，均未检出霍乱弧菌</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7.</w:t>
      </w:r>
      <w:r>
        <w:rPr>
          <w:rFonts w:hint="eastAsia" w:ascii="仿宋_GB2312" w:hAnsi="楷体" w:eastAsia="仿宋_GB2312"/>
          <w:sz w:val="32"/>
          <w:szCs w:val="32"/>
        </w:rPr>
        <w:t>手足口病监测：年初完成了“2021年盐边县手足口病防治监测工作计划”，积极开展手足口病病原学监测工作，2021年辖区医疗机构（盐边县人民医院、盐边县中医院、红格中心卫生院）采样监测79例。2021年7月完成部份医疗机构新冠防控、霍乱及手足口病防控工作的督导检查。</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8.</w:t>
      </w:r>
      <w:r>
        <w:rPr>
          <w:rFonts w:hint="eastAsia" w:ascii="仿宋_GB2312" w:hAnsi="楷体" w:eastAsia="仿宋_GB2312"/>
          <w:sz w:val="32"/>
          <w:szCs w:val="32"/>
        </w:rPr>
        <w:t>完成2021年盐边县禽流感环境监测任务12份。</w:t>
      </w:r>
    </w:p>
    <w:p>
      <w:pPr>
        <w:spacing w:line="520" w:lineRule="exact"/>
        <w:ind w:firstLine="643" w:firstLineChars="20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三</w:t>
      </w:r>
      <w:r>
        <w:rPr>
          <w:rFonts w:hint="eastAsia" w:ascii="楷体" w:hAnsi="楷体" w:eastAsia="楷体"/>
          <w:b/>
          <w:sz w:val="32"/>
          <w:szCs w:val="32"/>
        </w:rPr>
        <w:t>）免疫规划</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1.从1月份开始，每双月对全县12个乡（镇）接种点进行了疫苗配送工作。定期开展对12个乡镇12家接种单位疫苗管理、接种信息管理、新冠疫苗管理、狂犬疫苗接种管理、新生儿接种管理、、AFP病例、发热出疹性疾病监测等工作检查督导30余次，检查督导覆盖率100%；对发现的问题给予及时指出，并要求限期整改，加强业务学习，增强工作责任心，认真开展接种工作，提高接种率，减少免疫空白人群。</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继续开展儿童预防接种信息化建设管理工作。6、11月分别开展了全县12个乡镇15个接种单位免疫规划及儿童预防接种信息化管理工作的检查指导。主要对免疫规划工作相关资料的登记、儿童基本信息的录入、资料的收集、整理、归档等工作进行检查指导，对存在的问题提出改进措施，并进一步完善各种相关资料。</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开展了AFP、麻疹、新生儿破伤风的常规监测和零病例报告。2021年1—12月无新生儿破伤风、病例报告；按照现住址统计，2021年盐边县麻疹风疹监测系统监测病例数5例，排除麻疹风疹病例5例，；按照现住址统计全县AFP监测系统病例报告1例，完成市级要求监测病例数。1-12月份对全县疾病监测单位进行了主动搜索，查阅门诊病例215160人次，住院病例18762人次，均未发现AFP、麻疹病例漏报情况。</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5.全面搞好重点传染病乙肝的防治工作，努力提高新生儿乙肝疫苗的常规免疫接种工作。</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继续保持较高的乙肝疫苗全程接种率，在搞好扩大国家免疫规划工作的同时，加强新生儿乙肝疫苗的接种，认真贯彻“谁接生，谁接种第一针”的工作方针。</w:t>
      </w:r>
    </w:p>
    <w:p>
      <w:pPr>
        <w:spacing w:line="520" w:lineRule="exact"/>
        <w:ind w:firstLine="542" w:firstLineChars="150"/>
        <w:rPr>
          <w:rFonts w:ascii="仿宋_GB2312" w:eastAsia="仿宋_GB2312"/>
          <w:b/>
          <w:sz w:val="32"/>
          <w:szCs w:val="32"/>
        </w:rPr>
      </w:pPr>
      <w:r>
        <w:rPr>
          <w:rFonts w:hint="eastAsia" w:ascii="楷体" w:hAnsi="楷体" w:eastAsia="楷体"/>
          <w:b/>
          <w:sz w:val="36"/>
          <w:szCs w:val="36"/>
        </w:rPr>
        <w:t>（</w:t>
      </w:r>
      <w:r>
        <w:rPr>
          <w:rFonts w:hint="eastAsia" w:ascii="楷体" w:hAnsi="楷体" w:eastAsia="楷体"/>
          <w:b/>
          <w:sz w:val="36"/>
          <w:szCs w:val="36"/>
          <w:lang w:val="en-US" w:eastAsia="zh-CN"/>
        </w:rPr>
        <w:t>四</w:t>
      </w:r>
      <w:r>
        <w:rPr>
          <w:rFonts w:hint="eastAsia" w:ascii="楷体" w:hAnsi="楷体" w:eastAsia="楷体"/>
          <w:b/>
          <w:sz w:val="36"/>
          <w:szCs w:val="36"/>
        </w:rPr>
        <w:t>）地方病和慢性病防控工作</w:t>
      </w:r>
    </w:p>
    <w:p>
      <w:pPr>
        <w:spacing w:line="52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1.地方病防治：2021年碘缺乏病、克山病持续保持消除状态；饮水型地方性氟中毒保持控制标准。</w:t>
      </w:r>
    </w:p>
    <w:p>
      <w:pPr>
        <w:spacing w:line="520" w:lineRule="exact"/>
        <w:ind w:firstLine="480" w:firstLineChars="150"/>
        <w:rPr>
          <w:rFonts w:hint="eastAsia" w:ascii="仿宋_GB2312" w:eastAsia="仿宋_GB2312"/>
          <w:sz w:val="32"/>
          <w:szCs w:val="32"/>
          <w:lang w:val="en-US" w:eastAsia="zh-CN"/>
        </w:rPr>
      </w:pPr>
      <w:r>
        <w:rPr>
          <w:rFonts w:hint="eastAsia" w:ascii="仿宋_GB2312" w:eastAsia="仿宋_GB2312"/>
          <w:sz w:val="32"/>
          <w:szCs w:val="32"/>
        </w:rPr>
        <w:t>（1）碘缺乏病防治。全县抽取5个监测乡镇，检测200份学生家中食用盐和100份孕妇家中食用盐，200份学生尿碘和100份孕妇尿碘</w:t>
      </w:r>
      <w:r>
        <w:rPr>
          <w:rFonts w:hint="eastAsia" w:ascii="仿宋_GB2312" w:eastAsia="仿宋_GB2312"/>
          <w:sz w:val="32"/>
          <w:szCs w:val="32"/>
          <w:lang w:eastAsia="zh-CN"/>
        </w:rPr>
        <w:t>。</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（2）克山病防治：在县医院、县中医院和4个病区乡镇卫生院全年搜索门诊病人43485人次，住院病人13375人次，共搜索出病区乡病区村心肌病病例2例，其中扩心病病例2例，未发现疑似克山病病例。</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3）饮水型氟中毒防治：全年共监测了9个病区村，开展了儿童氟斑牙的病情监测，共检查8-12岁儿童1218人，检出氟斑牙患者27例，氟斑牙检出率为2.22％；全年共计监测了历史饮水型地方性氟中毒病区村9个，目前均为已改水村，占监测村数的100％，对病区村9个改水点的改水工程进行水氟含量监测，经过实验室检测，其水氟含量均符合生活饮用水卫生标准。</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4）氟骨症复核及治疗：县第二人民医院对历史登记在册的25例氟骨症患者（均在新九镇）进行复核，攀枝花市中心医院再次复核，结果：确诊为氟骨症病例22例，排除氟骨症1例，确诊病例均在县第二人民医院进行治疗并随访。</w:t>
      </w:r>
    </w:p>
    <w:p>
      <w:pPr>
        <w:spacing w:line="52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 xml:space="preserve">2.重点寄生虫病防治：持续保持疟疾及血吸虫病消除状态。              </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1）血吸虫病防治。按照年初的计划，开展春秋季两次查螺工作，共调查历史有螺面积为1079737平方米，调查共发现3个有螺村，有螺环境3个，有螺面积共7250平方米，共解剖钉螺74只，其中活螺数51只，未发现阳性钉螺；对现有有螺环境捡获的钉螺进行核酸检测，共检测2份样本，结果均为阴性；按照工作的要求，春季和秋季灭螺前县疾控中心与永兴镇人民政府联系，提前发布公告，告知放药时间、地点及注意事项，灭螺工作聘请当地有灭螺经验的农民工参与，县疾控中心专业技术人员作技术指导，对查出的有螺环境进行规范灭螺，灭螺面积达2.25万平方米。</w:t>
      </w:r>
    </w:p>
    <w:p>
      <w:pPr>
        <w:spacing w:line="520" w:lineRule="exact"/>
        <w:ind w:firstLine="480" w:firstLineChars="150"/>
        <w:rPr>
          <w:rFonts w:hint="eastAsia" w:ascii="仿宋_GB2312" w:eastAsia="仿宋_GB2312"/>
          <w:sz w:val="32"/>
          <w:szCs w:val="32"/>
        </w:rPr>
      </w:pPr>
      <w:r>
        <w:rPr>
          <w:rFonts w:hint="eastAsia" w:ascii="仿宋_GB2312" w:eastAsia="仿宋_GB2312"/>
          <w:sz w:val="32"/>
          <w:szCs w:val="32"/>
        </w:rPr>
        <w:t>（2）疟疾防控。2021年全年大疫情网络未报告疑似疟疾或疟疾病例。在“4.26”疟疾宣传日开展了疟疾宣传活动，印刷并发放疟疾宣传鼠标垫200余张。两家县级医疗机构共完成 “三热”病人血涂片检测133份，未发现疟原虫阳性血片。</w:t>
      </w:r>
    </w:p>
    <w:p>
      <w:pPr>
        <w:spacing w:line="52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3.麻风病防治</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(1)病人发现及治疗</w:t>
      </w:r>
      <w:r>
        <w:rPr>
          <w:rFonts w:hint="eastAsia" w:ascii="仿宋_GB2312" w:hAnsi="楷体" w:eastAsia="仿宋_GB2312"/>
          <w:sz w:val="32"/>
          <w:szCs w:val="32"/>
          <w:lang w:eastAsia="zh-CN"/>
        </w:rPr>
        <w:t>。</w:t>
      </w:r>
      <w:r>
        <w:rPr>
          <w:rFonts w:hint="eastAsia" w:ascii="仿宋_GB2312" w:hAnsi="楷体" w:eastAsia="仿宋_GB2312"/>
          <w:sz w:val="32"/>
          <w:szCs w:val="32"/>
        </w:rPr>
        <w:t>全年共上报麻风病可疑症状和线索116例，确诊麻风病人1例，其余均排除麻风病。2021年在治疗麻风病人2例，均对其进行规范的WHO联合化疗，治疗期间发现麻风反应1人，并进行积极治疗。对新发现麻风病人1例所在的村社开展了疫点调查，未发现异常。</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(2)现症病人管理 2021年底现症病人3例，均进行定期随访及查菌，细菌学检查均为阳性，对现症病人的密切接触者检查30人，未发现异常。</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（3）历史治愈者随访  对全县范围麻风病历史治愈存活者随访265例，其中死亡13例，其余均未发现麻风病复发患者。</w:t>
      </w:r>
    </w:p>
    <w:p>
      <w:pPr>
        <w:spacing w:line="52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4.病媒生物监测</w:t>
      </w:r>
    </w:p>
    <w:p>
      <w:pPr>
        <w:spacing w:line="520" w:lineRule="exact"/>
        <w:ind w:firstLine="640" w:firstLineChars="200"/>
        <w:rPr>
          <w:rFonts w:ascii="方正仿宋_GBK" w:eastAsia="方正仿宋_GBK" w:cs="方正仿宋_GBK"/>
          <w:sz w:val="32"/>
          <w:szCs w:val="32"/>
        </w:rPr>
      </w:pPr>
      <w:r>
        <w:rPr>
          <w:rFonts w:hint="eastAsia" w:ascii="仿宋_GB2312" w:hAnsi="楷体" w:eastAsia="仿宋_GB2312"/>
          <w:sz w:val="32"/>
          <w:szCs w:val="32"/>
        </w:rPr>
        <w:t>按照病媒生物监测要求，每月完成密度监测任务。在爱国卫生月活动前后指导桐子林镇居委会开展病媒生物孳生地调查，并收集资料汇总上报。按照病媒生物效果评估要求，在爱卫办组织领导下对县城春秋季病媒生物防制效果进行评估。</w:t>
      </w:r>
    </w:p>
    <w:p>
      <w:pPr>
        <w:spacing w:line="520" w:lineRule="exact"/>
        <w:ind w:firstLine="482" w:firstLineChars="15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五</w:t>
      </w:r>
      <w:r>
        <w:rPr>
          <w:rFonts w:hint="eastAsia" w:ascii="楷体" w:hAnsi="楷体" w:eastAsia="楷体"/>
          <w:b/>
          <w:sz w:val="32"/>
          <w:szCs w:val="32"/>
        </w:rPr>
        <w:t>）重大传染病防控</w:t>
      </w:r>
    </w:p>
    <w:p>
      <w:pPr>
        <w:spacing w:line="52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1.艾滋病防治工作</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（1）大众宣传</w:t>
      </w:r>
      <w:r>
        <w:rPr>
          <w:rFonts w:hint="eastAsia" w:ascii="仿宋_GB2312" w:hAnsi="楷体" w:eastAsia="仿宋_GB2312"/>
          <w:sz w:val="32"/>
          <w:szCs w:val="32"/>
          <w:lang w:eastAsia="zh-CN"/>
        </w:rPr>
        <w:t>，</w:t>
      </w:r>
      <w:r>
        <w:rPr>
          <w:rFonts w:hint="eastAsia" w:ascii="仿宋_GB2312" w:hAnsi="楷体" w:eastAsia="仿宋_GB2312"/>
          <w:sz w:val="32"/>
          <w:szCs w:val="32"/>
        </w:rPr>
        <w:t>盐边县疾病预防控制中心制作了艾滋病、性病、丙肝防治宣传资料10000份，宣传口袋5000个、宣传围腰5000个。中心通过“6.26”“12.1”及其他宣传日发放各类宣传材料10000余册，发放安全套40000余只，设置户外艾滋病大型广告宣传牌2块。我县各医疗机构结合疫情防控、公共卫生下村体检、日常诊疗活动等时机，采取面对面、在候诊室播放宣传音视频、摆放宣传资料、群众宣讲、发放宣传手册、悬挂宣传标语、出动流动宣传车等方式，开展了形式多样的宣传活动，各乡镇向大众人群累计发放宣传材料35000余份，利用宣传栏宣传艾滋病662期。</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（2）高危人群干预</w:t>
      </w:r>
      <w:r>
        <w:rPr>
          <w:rFonts w:hint="eastAsia" w:ascii="仿宋_GB2312" w:hAnsi="楷体" w:eastAsia="仿宋_GB2312"/>
          <w:sz w:val="32"/>
          <w:szCs w:val="32"/>
          <w:lang w:eastAsia="zh-CN"/>
        </w:rPr>
        <w:t>，</w:t>
      </w:r>
      <w:r>
        <w:rPr>
          <w:rFonts w:hint="eastAsia" w:ascii="仿宋_GB2312" w:hAnsi="楷体" w:eastAsia="仿宋_GB2312"/>
          <w:sz w:val="32"/>
          <w:szCs w:val="32"/>
        </w:rPr>
        <w:t>按规定完成了每月一轮的娱乐场所女性商业性服务工作者的现场安全套促进和正确求医的现场干预。共干预暗娼人群32人次，其中首次干预3人次，免费发送宣传手册32本，安全套920只，暗娼检测3人。完成吸毒人员干预检测50人，检出HIV抗体阳性 0人，免费发送宣传手册50本，安全套1500只。</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（3）新入所在押人员监测</w:t>
      </w:r>
      <w:r>
        <w:rPr>
          <w:rFonts w:hint="eastAsia" w:ascii="仿宋_GB2312" w:hAnsi="楷体" w:eastAsia="仿宋_GB2312"/>
          <w:sz w:val="32"/>
          <w:szCs w:val="32"/>
          <w:lang w:eastAsia="zh-CN"/>
        </w:rPr>
        <w:t>，</w:t>
      </w:r>
      <w:r>
        <w:rPr>
          <w:rFonts w:hint="eastAsia" w:ascii="仿宋_GB2312" w:hAnsi="楷体" w:eastAsia="仿宋_GB2312"/>
          <w:sz w:val="32"/>
          <w:szCs w:val="32"/>
        </w:rPr>
        <w:t>对看守所新入所人员216人进行了HIV抗体检测，检出HIV抗体既往阳性1人，HIV抗体阳性1人。</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（4）监测检测</w:t>
      </w:r>
      <w:r>
        <w:rPr>
          <w:rFonts w:hint="eastAsia" w:ascii="仿宋_GB2312" w:hAnsi="楷体" w:eastAsia="仿宋_GB2312"/>
          <w:sz w:val="32"/>
          <w:szCs w:val="32"/>
          <w:lang w:eastAsia="zh-CN"/>
        </w:rPr>
        <w:t>，</w:t>
      </w:r>
      <w:r>
        <w:rPr>
          <w:rFonts w:hint="eastAsia" w:ascii="仿宋_GB2312" w:hAnsi="楷体" w:eastAsia="仿宋_GB2312"/>
          <w:sz w:val="32"/>
          <w:szCs w:val="32"/>
        </w:rPr>
        <w:t>1-12月全县各医疗机构共完成接受术前检测人员、孕产妇、娱乐场所从业人员、诊治性病人员、婚前检查人员、其他就诊人员HIV检测80082人，检出艾滋病病毒感染者22人。</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（5）艾滋病培训</w:t>
      </w:r>
      <w:r>
        <w:rPr>
          <w:rFonts w:hint="eastAsia" w:ascii="仿宋_GB2312" w:hAnsi="楷体" w:eastAsia="仿宋_GB2312"/>
          <w:sz w:val="32"/>
          <w:szCs w:val="32"/>
          <w:lang w:eastAsia="zh-CN"/>
        </w:rPr>
        <w:t>，</w:t>
      </w:r>
      <w:r>
        <w:rPr>
          <w:rFonts w:hint="eastAsia" w:ascii="仿宋_GB2312" w:hAnsi="楷体" w:eastAsia="仿宋_GB2312"/>
          <w:sz w:val="32"/>
          <w:szCs w:val="32"/>
        </w:rPr>
        <w:t>中心开展艾滋病随访管理培训和艾滋病检测技术培训共2次，培训人员114人次。对乡镇政府相关领导和医疗机构主要负责人开展艾滋病工作推进会3次，共计人员58人。中心每季度对全县的乡镇和医疗机构开展技术指导工作。</w:t>
      </w:r>
      <w:r>
        <w:rPr>
          <w:rFonts w:hint="eastAsia" w:ascii="仿宋_GB2312" w:hAnsi="楷体" w:eastAsia="仿宋_GB2312"/>
          <w:b/>
          <w:sz w:val="32"/>
          <w:szCs w:val="32"/>
        </w:rPr>
        <w:t xml:space="preserve"> </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（6）三线一网底工作</w:t>
      </w:r>
      <w:r>
        <w:rPr>
          <w:rFonts w:hint="eastAsia" w:ascii="仿宋_GB2312" w:hAnsi="楷体" w:eastAsia="仿宋_GB2312"/>
          <w:sz w:val="32"/>
          <w:szCs w:val="32"/>
          <w:lang w:eastAsia="zh-CN"/>
        </w:rPr>
        <w:t>，</w:t>
      </w:r>
      <w:r>
        <w:rPr>
          <w:rFonts w:hint="eastAsia" w:ascii="仿宋_GB2312" w:hAnsi="楷体" w:eastAsia="仿宋_GB2312"/>
          <w:sz w:val="32"/>
          <w:szCs w:val="32"/>
        </w:rPr>
        <w:t>按照省、市、县艾滋病防治“三线”管理工作要求，中心牵头负责艾滋病防治工作。“三线”每个月开展工作例会，就感染育龄妇女、男性单阳家庭、未治疗人员、感染怀孕妇女等信息进行交换。</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（7）性病丙肝防治工作</w:t>
      </w:r>
      <w:r>
        <w:rPr>
          <w:rFonts w:hint="eastAsia" w:ascii="仿宋_GB2312" w:hAnsi="楷体" w:eastAsia="仿宋_GB2312"/>
          <w:sz w:val="32"/>
          <w:szCs w:val="32"/>
          <w:lang w:eastAsia="zh-CN"/>
        </w:rPr>
        <w:t>，</w:t>
      </w:r>
      <w:r>
        <w:rPr>
          <w:rFonts w:hint="eastAsia" w:ascii="仿宋_GB2312" w:hAnsi="楷体" w:eastAsia="仿宋_GB2312"/>
          <w:sz w:val="32"/>
          <w:szCs w:val="32"/>
        </w:rPr>
        <w:t>中心按照性病丙肝防治相关要求，做好性病病例核查、完成携手医访性病服务包发放工作，加强人员性病丙肝知识培训，加大大众人群性病丙肝宣传教育工作，落实公共场所安全套推广使用措施，依托各级医疗机构开展及动员性病丙肝预防干预治疗等工作，提高性病丙肝监测检测能力和提供规范化梅毒医疗服务能力。较好的完成性病丙肝防治相关工作。</w:t>
      </w:r>
    </w:p>
    <w:p>
      <w:pPr>
        <w:spacing w:line="520" w:lineRule="exact"/>
        <w:rPr>
          <w:rFonts w:ascii="仿宋_GB2312" w:hAnsi="楷体" w:eastAsia="仿宋_GB2312"/>
          <w:b/>
          <w:sz w:val="32"/>
          <w:szCs w:val="32"/>
        </w:rPr>
      </w:pPr>
      <w:r>
        <w:rPr>
          <w:rFonts w:hint="eastAsia" w:ascii="仿宋_GB2312" w:eastAsia="仿宋_GB2312"/>
          <w:b/>
          <w:sz w:val="32"/>
          <w:szCs w:val="32"/>
        </w:rPr>
        <w:t xml:space="preserve">  2、结核病防控</w:t>
      </w:r>
    </w:p>
    <w:p>
      <w:pPr>
        <w:spacing w:line="520" w:lineRule="exact"/>
        <w:ind w:firstLine="640" w:firstLineChars="200"/>
        <w:rPr>
          <w:rFonts w:ascii="方正仿宋_GBK" w:eastAsia="方正仿宋_GBK"/>
          <w:b/>
          <w:sz w:val="32"/>
          <w:szCs w:val="32"/>
        </w:rPr>
      </w:pPr>
      <w:r>
        <w:rPr>
          <w:rFonts w:hint="eastAsia" w:ascii="仿宋_GB2312" w:eastAsia="仿宋_GB2312"/>
          <w:sz w:val="32"/>
          <w:szCs w:val="32"/>
        </w:rPr>
        <w:t>完成结核病防治工作任务：报告肺结核患者和疑似肺结核患者的总体到位率95.42%，患者病原学阳性率63.1%，耐多药肺结核高危人群耐药筛查率100%，肺结核患者成功治疗率94.85%，基层医疗卫生机构肺结核患者规范管理率90%。</w:t>
      </w:r>
      <w:r>
        <w:rPr>
          <w:rFonts w:hint="eastAsia" w:ascii="方正仿宋_GBK" w:eastAsia="方正仿宋_GBK"/>
          <w:sz w:val="32"/>
          <w:szCs w:val="32"/>
        </w:rPr>
        <w:t xml:space="preserve"> </w:t>
      </w:r>
      <w:r>
        <w:rPr>
          <w:rFonts w:hint="eastAsia" w:ascii="楷体" w:hAnsi="楷体" w:eastAsia="楷体"/>
          <w:b/>
          <w:sz w:val="32"/>
          <w:szCs w:val="32"/>
        </w:rPr>
        <w:t>（</w:t>
      </w:r>
      <w:r>
        <w:rPr>
          <w:rFonts w:hint="eastAsia" w:ascii="楷体" w:hAnsi="楷体" w:eastAsia="楷体"/>
          <w:b/>
          <w:sz w:val="32"/>
          <w:szCs w:val="32"/>
          <w:lang w:val="en-US" w:eastAsia="zh-CN"/>
        </w:rPr>
        <w:t>六</w:t>
      </w:r>
      <w:r>
        <w:rPr>
          <w:rFonts w:hint="eastAsia" w:ascii="楷体" w:hAnsi="楷体" w:eastAsia="楷体"/>
          <w:b/>
          <w:sz w:val="32"/>
          <w:szCs w:val="32"/>
        </w:rPr>
        <w:t>）卫生监测与检验工作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1.餐（饮）具消毒效果监测。对辖区内3家生产经营公共餐饮具单位进行消毒质量抽样监测，共采集样品12件。对大肠菌群、沙门氏菌指标进行检测，出具卫生检验报告3份，合格率100%。</w:t>
      </w:r>
    </w:p>
    <w:p>
      <w:pPr>
        <w:numPr>
          <w:ilvl w:val="0"/>
          <w:numId w:val="0"/>
        </w:num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食品安全风险监测。制定《盐边县2021年食品安全风险监测工作方案》，按照方案开展食品安全风险监测，共采集品110件（其中，学生餐40件，冰粉、凉面40件，生肉类15件，冷冻禽畜肉、冷冻水产品15件）。</w:t>
      </w:r>
    </w:p>
    <w:p>
      <w:pPr>
        <w:numPr>
          <w:ilvl w:val="0"/>
          <w:numId w:val="0"/>
        </w:num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3.食源性疾病及事件监测。截止2021年12月30日，3家重点监测医院（县人民医院、县第二人民医院、县中医院），应上报食源性疾病病例360例（120例/家），实上报食源性疾病病例400例，任务完成率111.1%。5家监测主体医院（盐边县妇幼保健服务中心1例、新九镇中心卫生院1例、惠民镇中心卫生院1例、永兴镇中心卫生院2例、国胜乡卫生院1例），共上报食源性疾病病例6例，按要求完成任务。</w:t>
      </w:r>
    </w:p>
    <w:p>
      <w:pPr>
        <w:spacing w:line="52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截止2021年12月30日，中心参与调查疑似食源性疾病事件2起</w:t>
      </w:r>
      <w:r>
        <w:rPr>
          <w:rFonts w:hint="eastAsia" w:ascii="仿宋_GB2312" w:hAnsi="黑体" w:eastAsia="仿宋_GB2312"/>
          <w:sz w:val="32"/>
          <w:szCs w:val="32"/>
          <w:lang w:eastAsia="zh-CN"/>
        </w:rPr>
        <w:t>。</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4.职业病及健康危害因素监测信息系统。</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2021年</w:t>
      </w:r>
      <w:r>
        <w:rPr>
          <w:rFonts w:hint="eastAsia" w:ascii="仿宋_GB2312" w:hAnsi="黑体" w:eastAsia="仿宋_GB2312"/>
          <w:sz w:val="32"/>
          <w:szCs w:val="32"/>
        </w:rPr>
        <w:t>审核用人单位信息30家企业</w:t>
      </w:r>
      <w:r>
        <w:rPr>
          <w:rFonts w:hint="eastAsia" w:ascii="仿宋_GB2312" w:hAnsi="黑体" w:eastAsia="仿宋_GB2312"/>
          <w:sz w:val="32"/>
          <w:szCs w:val="32"/>
          <w:lang w:eastAsia="zh-CN"/>
        </w:rPr>
        <w:t>，</w:t>
      </w:r>
      <w:r>
        <w:rPr>
          <w:rFonts w:hint="eastAsia" w:ascii="仿宋_GB2312" w:hAnsi="黑体" w:eastAsia="仿宋_GB2312"/>
          <w:sz w:val="32"/>
          <w:szCs w:val="32"/>
        </w:rPr>
        <w:t>职业健康体检审核3878人</w:t>
      </w:r>
      <w:r>
        <w:rPr>
          <w:rFonts w:hint="eastAsia" w:ascii="仿宋_GB2312" w:hAnsi="黑体" w:eastAsia="仿宋_GB2312"/>
          <w:sz w:val="32"/>
          <w:szCs w:val="32"/>
          <w:lang w:eastAsia="zh-CN"/>
        </w:rPr>
        <w:t>，</w:t>
      </w:r>
      <w:r>
        <w:rPr>
          <w:rFonts w:hint="eastAsia" w:ascii="仿宋_GB2312" w:hAnsi="黑体" w:eastAsia="仿宋_GB2312"/>
          <w:sz w:val="32"/>
          <w:szCs w:val="32"/>
        </w:rPr>
        <w:t>审核疑似职业病病人报告卡7人</w:t>
      </w:r>
      <w:r>
        <w:rPr>
          <w:rFonts w:hint="eastAsia" w:ascii="仿宋_GB2312" w:hAnsi="黑体" w:eastAsia="仿宋_GB2312"/>
          <w:sz w:val="32"/>
          <w:szCs w:val="32"/>
          <w:lang w:eastAsia="zh-CN"/>
        </w:rPr>
        <w:t>，</w:t>
      </w:r>
      <w:r>
        <w:rPr>
          <w:rFonts w:hint="eastAsia" w:ascii="仿宋_GB2312" w:hAnsi="黑体" w:eastAsia="仿宋_GB2312"/>
          <w:sz w:val="32"/>
          <w:szCs w:val="32"/>
        </w:rPr>
        <w:t>审核职业病病例报告卡1人</w:t>
      </w:r>
      <w:r>
        <w:rPr>
          <w:rFonts w:hint="eastAsia" w:ascii="仿宋_GB2312" w:hAnsi="黑体" w:eastAsia="仿宋_GB2312"/>
          <w:sz w:val="32"/>
          <w:szCs w:val="32"/>
          <w:lang w:eastAsia="zh-CN"/>
        </w:rPr>
        <w:t>，</w:t>
      </w:r>
      <w:r>
        <w:rPr>
          <w:rFonts w:hint="eastAsia" w:ascii="仿宋_GB2312" w:hAnsi="黑体" w:eastAsia="仿宋_GB2312"/>
          <w:sz w:val="32"/>
          <w:szCs w:val="32"/>
        </w:rPr>
        <w:t>审核用人单位信息50家企业</w:t>
      </w:r>
      <w:r>
        <w:rPr>
          <w:rFonts w:hint="eastAsia" w:ascii="仿宋_GB2312" w:hAnsi="黑体" w:eastAsia="仿宋_GB2312"/>
          <w:sz w:val="32"/>
          <w:szCs w:val="32"/>
          <w:lang w:eastAsia="zh-CN"/>
        </w:rPr>
        <w:t>，</w:t>
      </w:r>
      <w:r>
        <w:rPr>
          <w:rFonts w:hint="eastAsia" w:ascii="仿宋_GB2312" w:hAnsi="黑体" w:eastAsia="仿宋_GB2312"/>
          <w:sz w:val="32"/>
          <w:szCs w:val="32"/>
        </w:rPr>
        <w:t>审核农药中毒病例24人。</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5.工作场所职业病危害因素监测。</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（1）工作场所职业病危害因素项目调查</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2021年度应开展工作场所职业病危害因素项目调查24家，实际调查24家，并按要求完成数据录入上报，任务完成率100%。</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（2）工作场所职业病危害因素检测</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度应开展工作场所职业病危害因素检测24家，实际检测24家。其中：委托具备资质的第三方检测机构（四川劳研科技有限公司）开展检测21家，协助市疾控开展检测3家。并按要求完成数据录入上报，任务完成率100%。</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（3）职业性尘肺病患者随访。</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2021年度应随访职业病患者72人，其中：随访调查55人，无法联系调查17人。</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6.放射卫生</w:t>
      </w:r>
      <w:r>
        <w:rPr>
          <w:rFonts w:hint="eastAsia" w:ascii="仿宋_GB2312" w:hAnsi="黑体" w:eastAsia="仿宋_GB2312"/>
          <w:sz w:val="32"/>
          <w:szCs w:val="32"/>
          <w:lang w:eastAsia="zh-CN"/>
        </w:rPr>
        <w:t>。</w:t>
      </w:r>
      <w:r>
        <w:rPr>
          <w:rFonts w:hint="eastAsia" w:ascii="仿宋_GB2312" w:hAnsi="黑体" w:eastAsia="仿宋_GB2312"/>
          <w:sz w:val="32"/>
          <w:szCs w:val="32"/>
        </w:rPr>
        <w:t>2021年对辖区放射诊疗机构开展基本情况及放射诊疗频度调查，应调查医疗机构9家，实际调查9家，并督促医疗机构对从放人员按要求进行个人剂量监测和职业健康体检，及时汇总上报相关资料。任务完成率100%。</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7.环境危险因素监测与控制</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（1）生活饮用水水质卫生监测。</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制定《盐边县2021年生活饮用水水质卫生监测方案》，按照方案开展监测工作。2021年对城区6个监测点共采集水样12件，对色度、浑浊度、臭及异味、肉眼可见物、耗氧量、氨氮、菌落总数、总大肠菌群共8项指标进行检测，合格率100%。对全县38个监测点（城市水6个点，农村水32个点）共采集水样76件（枯、丰水期各38件），委托四川劳研科技有限公司检测76件。城市和农村生活饮用水监测合格率分别为100%和51.56%,任务完成率100%。</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（2）农村环境卫生监测。</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制定《2021年农村环境卫生监测工作方案》，按照方案对5个乡镇（红果乡、共和乡、红宝乡、国胜乡、惠民镇）开展农村环境卫生监测，共采集土壤样本20件，由中心制备土壤样本后送市疾控对PH值、铅、镉、铬等指标进行检测。</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（3）公共场所卫生监测。</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2021年协助卫生监督执法大队开展公共场所双随机抽检，检测5家幼儿园教室5间、睡眠区5间、活动室5间，出具卫生检验报告5份。</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8.学生常见病和相关危害因素控制</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（1）学校卫生安全工作督导。</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春秋两学期分别对辖区中小学校及幼儿园传染病防控、学生近视及其他重点常见病防治、食品卫生、生活饮用水卫生、教学与生活环境卫生、健康教育、新冠疫情防控等工作开展督导检查，共检查指导中小学校及托幼机构96所/次。</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（2）农村义务教育学生营养改善计划监测。</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对调整后的12所‘农村义务教育学生营养改善计划监测’学校开展培训1次13人。指导教体局和12所监测学校完成监测报表在线填报，‘县基本情况调查表’1份，‘学校基本情况调查表’12份，‘学生基本信息’12份3274条，‘体格检查表’12份3274条，任务完成率100%。</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9.检验检测工作</w:t>
      </w: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全年完成HIV抗体筛查130份；结核分子检测56份，培养96份，完成2021年度结核考核样；麻风阅片6份；核酸人样检测1700份，环境样检测221份；CD4检测236份；看守所、哨点抽血87份；二号病检测 60 份；2021年度HIV盲样考核；完成2021年度艾滋病考核督导；完成2021年6月和12月，省疾控中心下发的新冠考核样；完成每月承担隔离点检测任务的国家临检中心下发新冠考核样；检验科3人去省临检中心培训，并取得《PCR实验室核酸检测上岗证》；</w:t>
      </w:r>
    </w:p>
    <w:p>
      <w:pPr>
        <w:spacing w:line="520" w:lineRule="exact"/>
        <w:rPr>
          <w:rFonts w:hint="eastAsia" w:ascii="楷体" w:hAnsi="楷体" w:eastAsia="楷体"/>
          <w:b/>
          <w:sz w:val="32"/>
          <w:szCs w:val="32"/>
        </w:rPr>
      </w:pPr>
      <w:r>
        <w:rPr>
          <w:rFonts w:hint="eastAsia" w:ascii="楷体" w:hAnsi="楷体" w:eastAsia="楷体"/>
          <w:b/>
          <w:sz w:val="32"/>
          <w:szCs w:val="32"/>
        </w:rPr>
        <w:t>（五）促进基本公共卫生服务均等化指导工作</w:t>
      </w:r>
    </w:p>
    <w:p>
      <w:pPr>
        <w:autoSpaceDE w:val="0"/>
        <w:autoSpaceDN w:val="0"/>
        <w:adjustRightInd w:val="0"/>
        <w:spacing w:line="520" w:lineRule="exact"/>
        <w:ind w:firstLine="643" w:firstLineChars="200"/>
        <w:jc w:val="left"/>
        <w:rPr>
          <w:rFonts w:hint="eastAsia" w:ascii="仿宋_GB2312" w:eastAsia="仿宋_GB2312"/>
          <w:sz w:val="32"/>
          <w:szCs w:val="32"/>
        </w:rPr>
      </w:pPr>
      <w:r>
        <w:rPr>
          <w:rFonts w:hint="eastAsia" w:ascii="仿宋_GB2312" w:eastAsia="仿宋_GB2312"/>
          <w:b/>
          <w:sz w:val="32"/>
          <w:szCs w:val="32"/>
        </w:rPr>
        <w:t>1、精神卫生。</w:t>
      </w:r>
      <w:r>
        <w:rPr>
          <w:rFonts w:hint="eastAsia" w:ascii="仿宋_GB2312" w:eastAsia="仿宋_GB2312"/>
          <w:sz w:val="32"/>
          <w:szCs w:val="32"/>
        </w:rPr>
        <w:t>完成严重精神障碍省级任务：在管严重精神障碍患者1024人，报告患病率5.29‰；规范管理率97.46%，规律服药率61.04%。</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2、肿瘤登记随访。全县在册肿瘤患者1126人，新发肿瘤患者278人，发病率132.75/10万；死亡69人，死亡率32.94/10万，死亡发病比0.52。随访1404人，随访率100%。</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3、死因监测。8-11月，完成温泉、格萨拉、红果三个乡的死因漏报调查工作，2018-2020年3个乡漏报9人，漏报率1.63%。2021年全县死亡报告卡1243 人，以2020年户籍人口计算粗死亡率为590/10万。    </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4、儿童口腔疾病综合干预。9-12月，在全县7所幼儿园，2所小学开展儿童口腔疾病综合干预项目，健康教育3100人，口腔检查1435人，窝沟封闭317人1000颗牙齿，涂氟1000人，完成率100%。</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5、慢性呼吸道疾病早期筛查。全年分别组织8个基层医疗卫生机构在县医院、社区服务中心开支慢性呼吸道疾病早期筛查培训，累计2次40余人参加培训。全年已完成筛查2000余人次。</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6、老年人衰老调查：由县疾控、两个卫生院分别组成40余人的调查队，分别走村入户开展实地调查，在永兴、共和两个乡镇开展老年人衰老调查500人，圆满完成市级下达的目标任务。</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7、儿童伤害监测：在全县41所中小学、幼儿园开展儿童伤害监测培训，累计上报118例伤害事件。</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8、居民健康档案管理：全县建立档案197683份，建档率98.35%；有动态记录37600份，档案使用率19.02%。</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9、老年人健康管理：全县有65岁以上老年人24433人，健康体检13501人，体检率55.25%；中医药服务16600人，服务率达67.94%。</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10、重点慢性病健康管理：</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（1）高血压应管13800人，实际在管9898人，管理率71.72%；按照规范要求进行高血压患者健康管理7810人，规范管理率78.9%；最近一次随访血压达标9714人，达标率98.14%。</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（2）2型糖尿病应管4640人，已管3515人，管理率75.75%；按照规范要求进行2型糖尿病患者健康管理2801人，管理率79.69%；最近一次随访空腹血糖达标3125人，达标率88.9%。</w:t>
      </w:r>
    </w:p>
    <w:p>
      <w:pPr>
        <w:autoSpaceDE w:val="0"/>
        <w:autoSpaceDN w:val="0"/>
        <w:adjustRightIn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12、心脑血管监测：完成心脑血管监测12例。</w:t>
      </w:r>
    </w:p>
    <w:p>
      <w:pPr>
        <w:autoSpaceDE w:val="0"/>
        <w:autoSpaceDN w:val="0"/>
        <w:adjustRightInd w:val="0"/>
        <w:spacing w:line="520" w:lineRule="exact"/>
        <w:ind w:firstLine="640" w:firstLineChars="200"/>
        <w:jc w:val="left"/>
        <w:rPr>
          <w:rFonts w:ascii="仿宋_GB2312" w:eastAsia="仿宋_GB2312"/>
          <w:b/>
          <w:sz w:val="32"/>
          <w:szCs w:val="32"/>
        </w:rPr>
      </w:pPr>
      <w:r>
        <w:rPr>
          <w:rFonts w:hint="eastAsia" w:ascii="仿宋_GB2312" w:eastAsia="仿宋_GB2312"/>
          <w:sz w:val="32"/>
          <w:szCs w:val="32"/>
        </w:rPr>
        <w:t>13、家庭医生签约：因基层系统数据迁移到健康云平台不完整，目前统计全县建档197683人，签约132329人，签约率66.94%。其中：65岁以上老年人24431人，签约19810人，签约率81.09%； 高血压9898人，签约8443人，签约率85.30%；糖尿病3515人，签约2966人，签约率84.38%。</w:t>
      </w:r>
    </w:p>
    <w:p>
      <w:pPr>
        <w:spacing w:line="520" w:lineRule="exact"/>
        <w:ind w:firstLine="482" w:firstLineChars="150"/>
        <w:rPr>
          <w:rFonts w:ascii="楷体" w:hAnsi="楷体" w:eastAsia="楷体"/>
          <w:b/>
          <w:sz w:val="32"/>
          <w:szCs w:val="32"/>
        </w:rPr>
      </w:pPr>
      <w:r>
        <w:rPr>
          <w:rFonts w:hint="eastAsia" w:ascii="楷体" w:hAnsi="楷体" w:eastAsia="楷体"/>
          <w:b/>
          <w:sz w:val="32"/>
          <w:szCs w:val="32"/>
        </w:rPr>
        <w:t>（七）健康教育</w:t>
      </w:r>
    </w:p>
    <w:p>
      <w:pPr>
        <w:spacing w:line="520" w:lineRule="exact"/>
        <w:ind w:firstLine="480" w:firstLineChars="150"/>
        <w:rPr>
          <w:rFonts w:ascii="仿宋_GB2312" w:hAnsi="楷体" w:eastAsia="仿宋_GB2312"/>
          <w:sz w:val="32"/>
          <w:szCs w:val="32"/>
        </w:rPr>
      </w:pPr>
      <w:r>
        <w:rPr>
          <w:rFonts w:hint="eastAsia" w:ascii="仿宋_GB2312" w:hAnsi="楷体" w:eastAsia="仿宋_GB2312"/>
          <w:sz w:val="32"/>
          <w:szCs w:val="32"/>
        </w:rPr>
        <w:t>发放健康教育印刷资料410种34012本，播放健康教育音像资料208种797次3301小时，设置康教育宣传栏105个，更新宣传栏内容374次；举办健康教育讲座340次10218人，健康教育咨询活动148次8898人。</w:t>
      </w:r>
    </w:p>
    <w:p>
      <w:pPr>
        <w:spacing w:line="520" w:lineRule="exact"/>
        <w:ind w:firstLine="480" w:firstLineChars="150"/>
        <w:rPr>
          <w:rFonts w:hint="eastAsia" w:ascii="黑体" w:hAnsi="黑体" w:eastAsia="黑体"/>
          <w:b w:val="0"/>
        </w:rPr>
      </w:pPr>
      <w:r>
        <w:rPr>
          <w:rFonts w:hint="eastAsia" w:ascii="仿宋_GB2312" w:hAnsi="楷体" w:eastAsia="仿宋_GB2312"/>
          <w:sz w:val="32"/>
          <w:szCs w:val="32"/>
        </w:rPr>
        <w:t>积极组织县级人员参加省级、市级基本公卫、伤害监测、肿瘤登记等各类培训30余次，组织12个乡镇基层医疗机构参四川省指导中心主持的云鹊医线上培训，其中：糖尿病在线培训获证235人、高血压在线培训获证231人、基层管理获证253人。</w:t>
      </w:r>
      <w:bookmarkEnd w:id="14"/>
      <w:bookmarkEnd w:id="15"/>
      <w:bookmarkEnd w:id="16"/>
      <w:bookmarkEnd w:id="17"/>
      <w:bookmarkStart w:id="18" w:name="_Toc15396602"/>
      <w:bookmarkStart w:id="19" w:name="_Toc15377204"/>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rPr>
          <w:rFonts w:hint="eastAsia"/>
        </w:rPr>
      </w:pPr>
    </w:p>
    <w:p>
      <w:pPr>
        <w:pStyle w:val="3"/>
        <w:ind w:right="440"/>
        <w:jc w:val="both"/>
        <w:rPr>
          <w:rStyle w:val="26"/>
          <w:rFonts w:ascii="黑体" w:hAnsi="黑体" w:eastAsia="黑体"/>
          <w:b w:val="0"/>
          <w:bCs/>
        </w:rPr>
      </w:pPr>
      <w:r>
        <w:rPr>
          <w:rFonts w:hint="eastAsia" w:ascii="黑体" w:hAnsi="黑体" w:eastAsia="黑体"/>
          <w:b w:val="0"/>
        </w:rPr>
        <w:t>第二部分 2021年度</w:t>
      </w:r>
      <w:r>
        <w:rPr>
          <w:rStyle w:val="26"/>
          <w:rFonts w:hint="eastAsia" w:ascii="黑体" w:hAnsi="黑体" w:eastAsia="黑体"/>
          <w:b w:val="0"/>
          <w:bCs/>
        </w:rPr>
        <w:t>单位决算情况说明</w:t>
      </w:r>
      <w:bookmarkEnd w:id="18"/>
      <w:bookmarkEnd w:id="19"/>
    </w:p>
    <w:p/>
    <w:p>
      <w:pPr>
        <w:pStyle w:val="25"/>
        <w:numPr>
          <w:ilvl w:val="0"/>
          <w:numId w:val="2"/>
        </w:numPr>
        <w:spacing w:line="600" w:lineRule="exact"/>
        <w:ind w:firstLineChars="0"/>
        <w:outlineLvl w:val="1"/>
        <w:rPr>
          <w:rStyle w:val="27"/>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0"/>
      <w:bookmarkEnd w:id="21"/>
    </w:p>
    <w:p>
      <w:pPr>
        <w:spacing w:line="600" w:lineRule="exact"/>
        <w:ind w:firstLine="640" w:firstLineChars="200"/>
        <w:rPr>
          <w:rFonts w:hint="eastAsia" w:eastAsia="仿宋_GB2312" w:cs="Times New Roman"/>
          <w:sz w:val="32"/>
          <w:szCs w:val="32"/>
          <w:lang w:val="en-US" w:eastAsia="zh-CN"/>
        </w:rPr>
      </w:pPr>
      <w:r>
        <w:rPr>
          <w:rFonts w:hint="default" w:ascii="Times New Roman" w:hAnsi="Times New Roman" w:eastAsia="仿宋_GB2312" w:cs="Times New Roman"/>
          <w:sz w:val="32"/>
          <w:szCs w:val="32"/>
        </w:rPr>
        <w:t>2021年度收、支总计</w:t>
      </w:r>
      <w:r>
        <w:rPr>
          <w:rFonts w:hint="default" w:ascii="Times New Roman" w:hAnsi="Times New Roman" w:eastAsia="仿宋_GB2312" w:cs="Times New Roman"/>
          <w:sz w:val="32"/>
          <w:szCs w:val="32"/>
          <w:lang w:val="en-US" w:eastAsia="zh-CN"/>
        </w:rPr>
        <w:t>1515.33</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2020年收入合计</w:t>
      </w:r>
      <w:r>
        <w:rPr>
          <w:rFonts w:hint="eastAsia" w:ascii="仿宋_GB2312" w:eastAsia="仿宋_GB2312"/>
          <w:color w:val="000000"/>
          <w:sz w:val="32"/>
          <w:szCs w:val="32"/>
        </w:rPr>
        <w:t>1033.78</w:t>
      </w:r>
      <w:r>
        <w:rPr>
          <w:rFonts w:hint="eastAsia" w:ascii="仿宋_GB2312" w:eastAsia="仿宋_GB2312"/>
          <w:color w:val="000000"/>
          <w:sz w:val="32"/>
          <w:szCs w:val="32"/>
          <w:lang w:val="en-US" w:eastAsia="zh-CN"/>
        </w:rPr>
        <w:t>万元</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年相比，收、支总计各增加增加</w:t>
      </w:r>
      <w:r>
        <w:rPr>
          <w:rFonts w:hint="eastAsia" w:eastAsia="仿宋_GB2312" w:cs="Times New Roman"/>
          <w:sz w:val="32"/>
          <w:szCs w:val="32"/>
          <w:lang w:val="en-US" w:eastAsia="zh-CN"/>
        </w:rPr>
        <w:t>481.55</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45.58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主要变动原因</w:t>
      </w:r>
      <w:r>
        <w:rPr>
          <w:rFonts w:hint="eastAsia" w:eastAsia="仿宋_GB2312" w:cs="Times New Roman"/>
          <w:sz w:val="32"/>
          <w:szCs w:val="32"/>
          <w:lang w:eastAsia="zh-CN"/>
        </w:rPr>
        <w:t>：</w:t>
      </w:r>
      <w:r>
        <w:rPr>
          <w:rFonts w:hint="eastAsia" w:eastAsia="仿宋_GB2312" w:cs="Times New Roman"/>
          <w:sz w:val="32"/>
          <w:szCs w:val="32"/>
          <w:lang w:val="en-US" w:eastAsia="zh-CN"/>
        </w:rPr>
        <w:t>1.为了应对新冠疫情，中心提高实验室检验安全程度，对实验室进行翻修。2.为了提高实验室检测能力采购了大量实验室设备。3.2021年大规模核酸检测开始，采购了大量实验室检测物资。4.2021年五月新进入单位人员5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rPr>
          <w:rFonts w:hint="eastAsia" w:ascii="仿宋" w:hAnsi="仿宋" w:eastAsia="仿宋" w:cs="Arial"/>
          <w:sz w:val="32"/>
          <w:szCs w:val="32"/>
        </w:rPr>
      </w:pPr>
      <w:r>
        <w:rPr>
          <w:rFonts w:hint="eastAsia"/>
          <w:lang w:val="en-US" w:eastAsia="zh-CN"/>
        </w:rPr>
        <w:t xml:space="preserve">   </w:t>
      </w:r>
      <w:r>
        <w:drawing>
          <wp:inline distT="0" distB="0" distL="114300" distR="114300">
            <wp:extent cx="4572000" cy="2743200"/>
            <wp:effectExtent l="4445" t="4445" r="1460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numPr>
          <w:ilvl w:val="0"/>
          <w:numId w:val="2"/>
        </w:numPr>
        <w:spacing w:line="600" w:lineRule="exact"/>
        <w:ind w:firstLineChars="0"/>
        <w:outlineLvl w:val="1"/>
        <w:rPr>
          <w:rStyle w:val="27"/>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7"/>
          <w:rFonts w:hint="eastAsia" w:ascii="黑体" w:hAnsi="黑体" w:eastAsia="黑体"/>
          <w:b w:val="0"/>
        </w:rPr>
        <w:t>入决算情况说明</w:t>
      </w:r>
      <w:bookmarkEnd w:id="22"/>
      <w:bookmarkEnd w:id="23"/>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lang w:val="en-US" w:eastAsia="zh-CN"/>
        </w:rPr>
        <w:t>2021年一般公共预算财政拨款收入决算总额为1515.33万元，其中：当年财政拨款收入1291.02万元，事业收入0元，年初结转结余224.32万元。</w:t>
      </w:r>
    </w:p>
    <w:p>
      <w:pPr>
        <w:pStyle w:val="2"/>
        <w:rPr>
          <w:rFonts w:hint="default" w:ascii="Times New Roman" w:hAnsi="Times New Roman" w:eastAsia="仿宋_GB2312" w:cs="Times New Roman"/>
          <w:sz w:val="32"/>
          <w:szCs w:val="32"/>
        </w:rPr>
      </w:pPr>
      <w:r>
        <w:rPr>
          <w:rFonts w:hint="eastAsia"/>
          <w:lang w:val="en-US" w:eastAsia="zh-CN"/>
        </w:rPr>
        <w:t xml:space="preserve">  </w:t>
      </w:r>
      <w:r>
        <w:drawing>
          <wp:inline distT="0" distB="0" distL="114300" distR="114300">
            <wp:extent cx="4780915" cy="3228340"/>
            <wp:effectExtent l="5080" t="4445" r="14605" b="62865"/>
            <wp:docPr id="1043" name="图表 1"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5"/>
        <w:numPr>
          <w:ilvl w:val="0"/>
          <w:numId w:val="0"/>
        </w:numPr>
        <w:spacing w:line="600" w:lineRule="exact"/>
        <w:ind w:firstLine="640" w:firstLineChars="200"/>
        <w:outlineLvl w:val="1"/>
        <w:rPr>
          <w:rStyle w:val="27"/>
          <w:rFonts w:ascii="黑体" w:hAnsi="黑体" w:eastAsia="黑体"/>
          <w:b w:val="0"/>
        </w:rPr>
      </w:pPr>
      <w:bookmarkStart w:id="24" w:name="_Toc15396605"/>
      <w:bookmarkStart w:id="25" w:name="_Toc15377207"/>
      <w:r>
        <w:rPr>
          <w:rFonts w:hint="eastAsia" w:ascii="黑体" w:hAnsi="黑体" w:eastAsia="黑体"/>
          <w:sz w:val="32"/>
          <w:szCs w:val="32"/>
          <w:lang w:eastAsia="zh-CN"/>
        </w:rPr>
        <w:t>三、</w:t>
      </w:r>
      <w:r>
        <w:rPr>
          <w:rFonts w:hint="eastAsia" w:ascii="黑体" w:hAnsi="黑体" w:eastAsia="黑体"/>
          <w:sz w:val="32"/>
          <w:szCs w:val="32"/>
        </w:rPr>
        <w:t>支</w:t>
      </w:r>
      <w:r>
        <w:rPr>
          <w:rStyle w:val="27"/>
          <w:rFonts w:hint="eastAsia" w:ascii="黑体" w:hAnsi="黑体" w:eastAsia="黑体"/>
          <w:b w:val="0"/>
        </w:rPr>
        <w:t>出决算情况说明</w:t>
      </w:r>
      <w:bookmarkEnd w:id="24"/>
      <w:bookmarkEnd w:id="25"/>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2021年本年支出合计</w:t>
      </w:r>
      <w:r>
        <w:rPr>
          <w:rFonts w:hint="default" w:ascii="仿宋_GB2312" w:hAnsi="仿宋_GB2312" w:eastAsia="仿宋_GB2312" w:cs="仿宋_GB2312"/>
          <w:sz w:val="32"/>
          <w:szCs w:val="32"/>
          <w:lang w:val="en-US" w:eastAsia="zh-CN"/>
        </w:rPr>
        <w:t>1515.33</w:t>
      </w:r>
      <w:r>
        <w:rPr>
          <w:rFonts w:hint="eastAsia" w:ascii="仿宋_GB2312" w:hAnsi="仿宋_GB2312" w:eastAsia="仿宋_GB2312" w:cs="仿宋_GB2312"/>
          <w:sz w:val="32"/>
          <w:szCs w:val="32"/>
          <w:lang w:val="en-US" w:eastAsia="zh-CN"/>
        </w:rPr>
        <w:t>万元，其中：基本支出717.27万元，占47.33%；项目支出798.06万元，占52.67%。</w:t>
      </w:r>
    </w:p>
    <w:p>
      <w:pPr>
        <w:pStyle w:val="2"/>
        <w:rPr>
          <w:rFonts w:hint="eastAsia" w:ascii="仿宋" w:hAnsi="仿宋" w:eastAsia="仿宋"/>
          <w:sz w:val="32"/>
          <w:szCs w:val="32"/>
        </w:rPr>
      </w:pPr>
      <w:r>
        <w:drawing>
          <wp:inline distT="0" distB="0" distL="114300" distR="114300">
            <wp:extent cx="4572000" cy="2743200"/>
            <wp:effectExtent l="4445" t="4445" r="1460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lang w:val="en-US" w:eastAsia="zh-CN"/>
        </w:rPr>
        <w:t xml:space="preserve">           </w:t>
      </w:r>
    </w:p>
    <w:p>
      <w:pPr>
        <w:spacing w:line="600" w:lineRule="exact"/>
        <w:ind w:firstLine="640" w:firstLineChars="200"/>
        <w:outlineLvl w:val="1"/>
        <w:rPr>
          <w:rStyle w:val="27"/>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6"/>
      <w:bookmarkEnd w:id="27"/>
    </w:p>
    <w:p>
      <w:pPr>
        <w:spacing w:line="600" w:lineRule="exact"/>
        <w:ind w:firstLine="640" w:firstLineChars="200"/>
        <w:rPr>
          <w:rFonts w:hint="eastAsia" w:eastAsia="仿宋_GB2312" w:cs="Times New Roman"/>
          <w:sz w:val="32"/>
          <w:szCs w:val="32"/>
          <w:lang w:val="en-US" w:eastAsia="zh-CN"/>
        </w:rPr>
      </w:pPr>
      <w:r>
        <w:rPr>
          <w:rFonts w:hint="default" w:ascii="Times New Roman" w:hAnsi="Times New Roman" w:eastAsia="仿宋_GB2312" w:cs="Times New Roman"/>
          <w:sz w:val="32"/>
          <w:szCs w:val="32"/>
        </w:rPr>
        <w:t>2021年度收、支总计</w:t>
      </w:r>
      <w:r>
        <w:rPr>
          <w:rFonts w:hint="default" w:ascii="Times New Roman" w:hAnsi="Times New Roman" w:eastAsia="仿宋_GB2312" w:cs="Times New Roman"/>
          <w:sz w:val="32"/>
          <w:szCs w:val="32"/>
          <w:lang w:val="en-US" w:eastAsia="zh-CN"/>
        </w:rPr>
        <w:t>1515.33</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2020年收入合计</w:t>
      </w:r>
      <w:r>
        <w:rPr>
          <w:rFonts w:hint="eastAsia" w:ascii="仿宋_GB2312" w:eastAsia="仿宋_GB2312"/>
          <w:color w:val="000000"/>
          <w:sz w:val="32"/>
          <w:szCs w:val="32"/>
        </w:rPr>
        <w:t>1033.78</w:t>
      </w:r>
      <w:r>
        <w:rPr>
          <w:rFonts w:hint="eastAsia" w:ascii="仿宋_GB2312" w:eastAsia="仿宋_GB2312"/>
          <w:color w:val="000000"/>
          <w:sz w:val="32"/>
          <w:szCs w:val="32"/>
          <w:lang w:val="en-US" w:eastAsia="zh-CN"/>
        </w:rPr>
        <w:t>万元</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年相比，收、支总计各增加增加</w:t>
      </w:r>
      <w:r>
        <w:rPr>
          <w:rFonts w:hint="eastAsia" w:eastAsia="仿宋_GB2312" w:cs="Times New Roman"/>
          <w:sz w:val="32"/>
          <w:szCs w:val="32"/>
          <w:lang w:val="en-US" w:eastAsia="zh-CN"/>
        </w:rPr>
        <w:t>481.55</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45.58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主要变动原因</w:t>
      </w:r>
      <w:r>
        <w:rPr>
          <w:rFonts w:hint="eastAsia" w:eastAsia="仿宋_GB2312" w:cs="Times New Roman"/>
          <w:sz w:val="32"/>
          <w:szCs w:val="32"/>
          <w:lang w:eastAsia="zh-CN"/>
        </w:rPr>
        <w:t>：</w:t>
      </w:r>
      <w:r>
        <w:rPr>
          <w:rFonts w:hint="eastAsia" w:eastAsia="仿宋_GB2312" w:cs="Times New Roman"/>
          <w:sz w:val="32"/>
          <w:szCs w:val="32"/>
          <w:lang w:val="en-US" w:eastAsia="zh-CN"/>
        </w:rPr>
        <w:t>1.为了应对新冠疫情，中心提高实验室检验安全程度，对实验室进行翻修。2.为了提高实验室检测能力采购了大量实验室设备。3.2021年大规模核酸检测开始，采购了大量实验室检测物资。4.2021年五月新进入单位人员5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rPr>
          <w:rFonts w:hint="eastAsia" w:ascii="仿宋" w:hAnsi="仿宋" w:eastAsia="仿宋" w:cs="Arial"/>
          <w:sz w:val="32"/>
          <w:szCs w:val="32"/>
        </w:rPr>
      </w:pPr>
      <w:r>
        <w:rPr>
          <w:rFonts w:hint="eastAsia"/>
          <w:lang w:val="en-US" w:eastAsia="zh-CN"/>
        </w:rPr>
        <w:t xml:space="preserve">   </w:t>
      </w:r>
      <w:r>
        <w:drawing>
          <wp:inline distT="0" distB="0" distL="114300" distR="114300">
            <wp:extent cx="4572000" cy="2743200"/>
            <wp:effectExtent l="4445" t="4445" r="1460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600" w:lineRule="exact"/>
        <w:ind w:firstLine="640"/>
        <w:rPr>
          <w:rFonts w:ascii="仿宋" w:hAnsi="仿宋" w:eastAsia="仿宋"/>
          <w:b/>
          <w:sz w:val="32"/>
          <w:szCs w:val="32"/>
        </w:rPr>
      </w:pPr>
    </w:p>
    <w:p>
      <w:pPr>
        <w:spacing w:line="600" w:lineRule="exact"/>
        <w:ind w:firstLine="640" w:firstLineChars="200"/>
        <w:outlineLvl w:val="1"/>
        <w:rPr>
          <w:rStyle w:val="27"/>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hint="eastAsia" w:eastAsia="仿宋_GB2312" w:cs="Times New Roman"/>
          <w:sz w:val="32"/>
          <w:szCs w:val="32"/>
          <w:lang w:val="en-US" w:eastAsia="zh-CN"/>
        </w:rPr>
      </w:pPr>
      <w:r>
        <w:rPr>
          <w:rFonts w:hint="default" w:ascii="Times New Roman" w:hAnsi="Times New Roman" w:eastAsia="仿宋_GB2312" w:cs="Times New Roman"/>
          <w:sz w:val="32"/>
          <w:szCs w:val="32"/>
        </w:rPr>
        <w:t>2021年度收、支总计</w:t>
      </w:r>
      <w:r>
        <w:rPr>
          <w:rFonts w:hint="default" w:ascii="Times New Roman" w:hAnsi="Times New Roman" w:eastAsia="仿宋_GB2312" w:cs="Times New Roman"/>
          <w:sz w:val="32"/>
          <w:szCs w:val="32"/>
          <w:lang w:val="en-US" w:eastAsia="zh-CN"/>
        </w:rPr>
        <w:t>1515.33</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2020年收入合计</w:t>
      </w:r>
      <w:r>
        <w:rPr>
          <w:rFonts w:hint="eastAsia" w:ascii="仿宋_GB2312" w:eastAsia="仿宋_GB2312"/>
          <w:color w:val="000000"/>
          <w:sz w:val="32"/>
          <w:szCs w:val="32"/>
        </w:rPr>
        <w:t>1033.78</w:t>
      </w:r>
      <w:r>
        <w:rPr>
          <w:rFonts w:hint="eastAsia" w:ascii="仿宋_GB2312" w:eastAsia="仿宋_GB2312"/>
          <w:color w:val="000000"/>
          <w:sz w:val="32"/>
          <w:szCs w:val="32"/>
          <w:lang w:val="en-US" w:eastAsia="zh-CN"/>
        </w:rPr>
        <w:t>万元</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年相比，收、支总计各增加增加</w:t>
      </w:r>
      <w:r>
        <w:rPr>
          <w:rFonts w:hint="eastAsia" w:eastAsia="仿宋_GB2312" w:cs="Times New Roman"/>
          <w:sz w:val="32"/>
          <w:szCs w:val="32"/>
          <w:lang w:val="en-US" w:eastAsia="zh-CN"/>
        </w:rPr>
        <w:t>481.55</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45.58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主要变动原因</w:t>
      </w:r>
      <w:r>
        <w:rPr>
          <w:rFonts w:hint="eastAsia" w:eastAsia="仿宋_GB2312" w:cs="Times New Roman"/>
          <w:sz w:val="32"/>
          <w:szCs w:val="32"/>
          <w:lang w:eastAsia="zh-CN"/>
        </w:rPr>
        <w:t>：</w:t>
      </w:r>
      <w:r>
        <w:rPr>
          <w:rFonts w:hint="eastAsia" w:eastAsia="仿宋_GB2312" w:cs="Times New Roman"/>
          <w:sz w:val="32"/>
          <w:szCs w:val="32"/>
          <w:lang w:val="en-US" w:eastAsia="zh-CN"/>
        </w:rPr>
        <w:t>1.为了应对新冠疫情，中心提高实验室检验安全程度，对实验室进行翻修。2.为了提高实验室检测能力采购了大量实验室设备。3.2021年大规模核酸检测开始，采购了大量实验室检测物资。4.2021年五月新进入单位人员5名。</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rPr>
          <w:rFonts w:hint="eastAsia" w:ascii="仿宋" w:hAnsi="仿宋" w:eastAsia="仿宋" w:cs="Arial"/>
          <w:sz w:val="32"/>
          <w:szCs w:val="32"/>
        </w:rPr>
      </w:pPr>
      <w:r>
        <w:rPr>
          <w:rFonts w:hint="eastAsia"/>
          <w:lang w:val="en-US" w:eastAsia="zh-CN"/>
        </w:rPr>
        <w:t xml:space="preserve">   </w:t>
      </w:r>
      <w:r>
        <w:drawing>
          <wp:inline distT="0" distB="0" distL="114300" distR="114300">
            <wp:extent cx="45720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2021年一般公共预算财政拨款支出1515.33万元，主要用于以下方面:社会保障和就业（类）支出</w:t>
      </w:r>
      <w:r>
        <w:rPr>
          <w:rFonts w:hint="eastAsia" w:eastAsia="仿宋_GB2312" w:cs="Times New Roman"/>
          <w:sz w:val="32"/>
          <w:szCs w:val="32"/>
          <w:lang w:val="en-US" w:eastAsia="zh-CN"/>
        </w:rPr>
        <w:t>58.24</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3.84</w:t>
      </w:r>
      <w:r>
        <w:rPr>
          <w:rFonts w:hint="default" w:ascii="Times New Roman" w:hAnsi="Times New Roman" w:eastAsia="仿宋_GB2312" w:cs="Times New Roman"/>
          <w:sz w:val="32"/>
          <w:szCs w:val="32"/>
          <w:lang w:val="en-US" w:eastAsia="zh-CN"/>
        </w:rPr>
        <w:t>%；卫生健康支出</w:t>
      </w:r>
      <w:r>
        <w:rPr>
          <w:rFonts w:hint="eastAsia" w:eastAsia="仿宋_GB2312" w:cs="Times New Roman"/>
          <w:sz w:val="32"/>
          <w:szCs w:val="32"/>
          <w:lang w:val="en-US" w:eastAsia="zh-CN"/>
        </w:rPr>
        <w:t>1405.05</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92.72</w:t>
      </w:r>
      <w:r>
        <w:rPr>
          <w:rFonts w:hint="default" w:ascii="Times New Roman" w:hAnsi="Times New Roman" w:eastAsia="仿宋_GB2312" w:cs="Times New Roman"/>
          <w:sz w:val="32"/>
          <w:szCs w:val="32"/>
          <w:lang w:val="en-US" w:eastAsia="zh-CN"/>
        </w:rPr>
        <w:t>%；住房保障支出</w:t>
      </w:r>
      <w:r>
        <w:rPr>
          <w:rFonts w:hint="eastAsia" w:eastAsia="仿宋_GB2312" w:cs="Times New Roman"/>
          <w:sz w:val="32"/>
          <w:szCs w:val="32"/>
          <w:lang w:val="en-US" w:eastAsia="zh-CN"/>
        </w:rPr>
        <w:t>52.02</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3.44</w:t>
      </w:r>
      <w:r>
        <w:rPr>
          <w:rFonts w:hint="default" w:ascii="Times New Roman" w:hAnsi="Times New Roman" w:eastAsia="仿宋_GB2312" w:cs="Times New Roman"/>
          <w:sz w:val="32"/>
          <w:szCs w:val="32"/>
          <w:lang w:val="en-US" w:eastAsia="zh-CN"/>
        </w:rPr>
        <w:t>%。</w:t>
      </w:r>
    </w:p>
    <w:p>
      <w:pPr>
        <w:pStyle w:val="2"/>
        <w:rPr>
          <w:rFonts w:hint="eastAsia"/>
          <w:lang w:val="en-US" w:eastAsia="zh-CN"/>
        </w:rPr>
      </w:pPr>
      <w:r>
        <w:drawing>
          <wp:inline distT="0" distB="0" distL="114300" distR="114300">
            <wp:extent cx="4572000" cy="2743200"/>
            <wp:effectExtent l="4445" t="4445" r="14605" b="14605"/>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6"/>
          <w:rFonts w:hint="default" w:ascii="Times New Roman" w:hAnsi="Times New Roman" w:eastAsia="仿宋" w:cs="Times New Roman"/>
          <w:b w:val="0"/>
          <w:bCs/>
          <w:color w:val="000000"/>
          <w:sz w:val="32"/>
          <w:szCs w:val="32"/>
        </w:rPr>
      </w:pPr>
      <w:bookmarkStart w:id="33" w:name="_Toc15377444"/>
      <w:bookmarkStart w:id="34" w:name="_Toc15378460"/>
      <w:bookmarkStart w:id="35" w:name="_Toc15377213"/>
      <w:r>
        <w:rPr>
          <w:rFonts w:hint="default" w:ascii="Times New Roman" w:hAnsi="Times New Roman" w:eastAsia="仿宋_GB2312" w:cs="Times New Roman"/>
          <w:sz w:val="32"/>
          <w:szCs w:val="32"/>
          <w:lang w:val="en-US" w:eastAsia="zh-CN"/>
        </w:rPr>
        <w:t>2021年一般公共预算支出决算数为1515.33万元，完成预算100%。其中：</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eastAsia="仿宋_GB2312" w:cs="Times New Roman"/>
          <w:b/>
          <w:sz w:val="32"/>
          <w:szCs w:val="32"/>
        </w:rPr>
        <w:t>1.社会保障和就业</w:t>
      </w:r>
      <w:r>
        <w:rPr>
          <w:rFonts w:hint="eastAsia" w:eastAsia="仿宋_GB2312" w:cs="Times New Roman"/>
          <w:b/>
          <w:sz w:val="32"/>
          <w:szCs w:val="32"/>
          <w:lang w:eastAsia="zh-CN"/>
        </w:rPr>
        <w:t>支出</w:t>
      </w:r>
      <w:r>
        <w:rPr>
          <w:rFonts w:hint="eastAsia" w:eastAsia="仿宋_GB2312" w:cs="Times New Roman"/>
          <w:b/>
          <w:sz w:val="32"/>
          <w:szCs w:val="32"/>
        </w:rPr>
        <w:t>（类）行政事业单位</w:t>
      </w:r>
      <w:r>
        <w:rPr>
          <w:rFonts w:hint="eastAsia" w:eastAsia="仿宋_GB2312" w:cs="Times New Roman"/>
          <w:b/>
          <w:sz w:val="32"/>
          <w:szCs w:val="32"/>
          <w:lang w:eastAsia="zh-CN"/>
        </w:rPr>
        <w:t>养老支出</w:t>
      </w:r>
      <w:r>
        <w:rPr>
          <w:rFonts w:hint="eastAsia" w:eastAsia="仿宋_GB2312" w:cs="Times New Roman"/>
          <w:b/>
          <w:sz w:val="32"/>
          <w:szCs w:val="32"/>
        </w:rPr>
        <w:t>（款） 机关事业单位基本养老保险缴费支出（项）</w:t>
      </w:r>
      <w:r>
        <w:rPr>
          <w:rFonts w:eastAsia="仿宋_GB2312" w:cs="Times New Roman"/>
          <w:b/>
          <w:sz w:val="32"/>
          <w:szCs w:val="32"/>
        </w:rPr>
        <w:t>:</w:t>
      </w:r>
      <w:r>
        <w:rPr>
          <w:rStyle w:val="16"/>
          <w:rFonts w:ascii="仿宋" w:hAnsi="仿宋" w:eastAsia="仿宋"/>
          <w:b w:val="0"/>
          <w:bCs/>
          <w:color w:val="000000"/>
          <w:sz w:val="32"/>
          <w:szCs w:val="32"/>
        </w:rPr>
        <w:t xml:space="preserve"> </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48.23</w:t>
      </w:r>
      <w:r>
        <w:rPr>
          <w:rFonts w:hint="default" w:ascii="Times New Roman" w:hAnsi="Times New Roman" w:eastAsia="仿宋_GB2312" w:cs="Times New Roman"/>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eastAsia" w:eastAsia="仿宋_GB2312" w:cs="Times New Roman"/>
          <w:b/>
          <w:sz w:val="32"/>
          <w:szCs w:val="32"/>
        </w:rPr>
        <w:t>2.社会保障和就业</w:t>
      </w:r>
      <w:r>
        <w:rPr>
          <w:rFonts w:hint="eastAsia" w:eastAsia="仿宋_GB2312" w:cs="Times New Roman"/>
          <w:b/>
          <w:sz w:val="32"/>
          <w:szCs w:val="32"/>
          <w:lang w:eastAsia="zh-CN"/>
        </w:rPr>
        <w:t>支出</w:t>
      </w:r>
      <w:r>
        <w:rPr>
          <w:rFonts w:hint="eastAsia" w:eastAsia="仿宋_GB2312" w:cs="Times New Roman"/>
          <w:b/>
          <w:sz w:val="32"/>
          <w:szCs w:val="32"/>
        </w:rPr>
        <w:t>（类）行政事业单位</w:t>
      </w:r>
      <w:r>
        <w:rPr>
          <w:rFonts w:hint="eastAsia" w:eastAsia="仿宋_GB2312" w:cs="Times New Roman"/>
          <w:b/>
          <w:sz w:val="32"/>
          <w:szCs w:val="32"/>
          <w:lang w:eastAsia="zh-CN"/>
        </w:rPr>
        <w:t>养老支出</w:t>
      </w:r>
      <w:r>
        <w:rPr>
          <w:rFonts w:hint="eastAsia" w:eastAsia="仿宋_GB2312" w:cs="Times New Roman"/>
          <w:b/>
          <w:sz w:val="32"/>
          <w:szCs w:val="32"/>
        </w:rPr>
        <w:t>（款） 机关事业单位职业年金缴费支出（项）</w:t>
      </w:r>
      <w:r>
        <w:rPr>
          <w:rStyle w:val="16"/>
          <w:rFonts w:ascii="仿宋" w:hAnsi="仿宋" w:eastAsia="仿宋"/>
          <w:b w:val="0"/>
          <w:bCs w:val="0"/>
          <w:color w:val="000000"/>
          <w:sz w:val="32"/>
          <w:szCs w:val="32"/>
        </w:rPr>
        <w:t xml:space="preserve">: </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5.87</w:t>
      </w:r>
      <w:r>
        <w:rPr>
          <w:rFonts w:hint="default" w:ascii="Times New Roman" w:hAnsi="Times New Roman" w:eastAsia="仿宋_GB2312" w:cs="Times New Roman"/>
          <w:sz w:val="32"/>
          <w:szCs w:val="32"/>
          <w:lang w:val="en-US" w:eastAsia="zh-CN"/>
        </w:rPr>
        <w:t>万元，完成预算100%，决算数等于预算数。</w:t>
      </w:r>
    </w:p>
    <w:p>
      <w:pPr>
        <w:pStyle w:val="2"/>
        <w:jc w:val="left"/>
        <w:rPr>
          <w:rFonts w:hint="eastAsia" w:ascii="仿宋_GB2312" w:hAnsi="仿宋_GB2312" w:eastAsia="仿宋_GB2312" w:cs="仿宋_GB2312"/>
          <w:sz w:val="32"/>
          <w:szCs w:val="32"/>
          <w:lang w:val="en-US" w:eastAsia="zh-CN"/>
        </w:rPr>
      </w:pPr>
      <w:r>
        <w:rPr>
          <w:rFonts w:hint="eastAsia" w:eastAsia="仿宋_GB2312" w:cs="Times New Roman"/>
          <w:b/>
          <w:sz w:val="32"/>
          <w:szCs w:val="32"/>
        </w:rPr>
        <w:t>3.社会保障和就业</w:t>
      </w:r>
      <w:r>
        <w:rPr>
          <w:rFonts w:hint="eastAsia" w:eastAsia="仿宋_GB2312" w:cs="Times New Roman"/>
          <w:b/>
          <w:sz w:val="32"/>
          <w:szCs w:val="32"/>
          <w:lang w:eastAsia="zh-CN"/>
        </w:rPr>
        <w:t>支出</w:t>
      </w:r>
      <w:r>
        <w:rPr>
          <w:rFonts w:hint="eastAsia" w:eastAsia="仿宋_GB2312" w:cs="Times New Roman"/>
          <w:b/>
          <w:sz w:val="32"/>
          <w:szCs w:val="32"/>
        </w:rPr>
        <w:t>（类）抚恤（款）伤残抚恤（项）</w:t>
      </w:r>
      <w:r>
        <w:rPr>
          <w:rStyle w:val="16"/>
          <w:rFonts w:ascii="仿宋" w:hAnsi="仿宋" w:eastAsia="仿宋"/>
          <w:b w:val="0"/>
          <w:bCs w:val="0"/>
          <w:color w:val="000000"/>
          <w:sz w:val="32"/>
          <w:szCs w:val="32"/>
        </w:rPr>
        <w:t xml:space="preserve"> </w:t>
      </w:r>
      <w:r>
        <w:rPr>
          <w:rFonts w:hint="default" w:ascii="Times New Roman" w:hAnsi="Times New Roman" w:eastAsia="仿宋_GB2312" w:cs="Times New Roman"/>
          <w:sz w:val="32"/>
          <w:szCs w:val="32"/>
          <w:lang w:val="en-US" w:eastAsia="zh-CN"/>
        </w:rPr>
        <w:t>支出决算为4.23万元</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完成预算100%，决算数等于预算数。</w:t>
      </w:r>
      <w:r>
        <w:rPr>
          <w:rFonts w:hint="eastAsia" w:ascii="Times New Roman" w:cs="Times New Roman"/>
          <w:sz w:val="32"/>
          <w:szCs w:val="32"/>
          <w:lang w:val="en-US" w:eastAsia="zh-CN"/>
        </w:rPr>
        <w:t xml:space="preserve">          </w:t>
      </w:r>
      <w:r>
        <w:rPr>
          <w:rFonts w:hint="eastAsia" w:cs="Times New Roman"/>
          <w:b/>
          <w:sz w:val="32"/>
          <w:szCs w:val="32"/>
          <w:lang w:val="en-US" w:eastAsia="zh-CN"/>
        </w:rPr>
        <w:t>4.</w:t>
      </w:r>
      <w:r>
        <w:rPr>
          <w:rFonts w:hint="eastAsia" w:eastAsia="仿宋_GB2312" w:cs="Times New Roman"/>
          <w:b/>
          <w:sz w:val="32"/>
          <w:szCs w:val="32"/>
          <w:lang w:val="en-US" w:eastAsia="zh-CN"/>
        </w:rPr>
        <w:t>卫生健康支出</w:t>
      </w:r>
      <w:r>
        <w:rPr>
          <w:rFonts w:hint="eastAsia" w:eastAsia="仿宋_GB2312" w:cs="Times New Roman"/>
          <w:b/>
          <w:sz w:val="32"/>
          <w:szCs w:val="32"/>
        </w:rPr>
        <w:t>（类）</w:t>
      </w:r>
      <w:r>
        <w:rPr>
          <w:rFonts w:hint="eastAsia" w:eastAsia="仿宋_GB2312" w:cs="Times New Roman"/>
          <w:b/>
          <w:sz w:val="32"/>
          <w:szCs w:val="32"/>
          <w:lang w:val="en-US" w:eastAsia="zh-CN"/>
        </w:rPr>
        <w:t>公共卫生</w:t>
      </w:r>
      <w:r>
        <w:rPr>
          <w:rFonts w:hint="eastAsia" w:eastAsia="仿宋_GB2312" w:cs="Times New Roman"/>
          <w:b/>
          <w:sz w:val="32"/>
          <w:szCs w:val="32"/>
        </w:rPr>
        <w:t>（款）疾病预防控制机构:</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568.83</w:t>
      </w:r>
      <w:r>
        <w:rPr>
          <w:rFonts w:hint="default" w:ascii="Times New Roman" w:hAnsi="Times New Roman" w:eastAsia="仿宋_GB2312" w:cs="Times New Roman"/>
          <w:sz w:val="32"/>
          <w:szCs w:val="32"/>
          <w:lang w:val="en-US" w:eastAsia="zh-CN"/>
        </w:rPr>
        <w:t>万元</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完成预算100%，决算数等于预算数。</w:t>
      </w:r>
      <w:r>
        <w:rPr>
          <w:rFonts w:hint="eastAsia" w:asci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eastAsia="仿宋_GB2312" w:cs="Times New Roman"/>
          <w:b/>
          <w:sz w:val="32"/>
          <w:szCs w:val="32"/>
          <w:lang w:val="en-US" w:eastAsia="zh-CN"/>
        </w:rPr>
        <w:t>5.卫生健康支出</w:t>
      </w:r>
      <w:r>
        <w:rPr>
          <w:rFonts w:hint="eastAsia" w:eastAsia="仿宋_GB2312" w:cs="Times New Roman"/>
          <w:b/>
          <w:sz w:val="32"/>
          <w:szCs w:val="32"/>
        </w:rPr>
        <w:t>（类）</w:t>
      </w:r>
      <w:r>
        <w:rPr>
          <w:rFonts w:hint="eastAsia" w:eastAsia="仿宋_GB2312" w:cs="Times New Roman"/>
          <w:b/>
          <w:sz w:val="32"/>
          <w:szCs w:val="32"/>
          <w:lang w:val="en-US" w:eastAsia="zh-CN"/>
        </w:rPr>
        <w:t>公共卫生</w:t>
      </w:r>
      <w:r>
        <w:rPr>
          <w:rFonts w:hint="eastAsia" w:eastAsia="仿宋_GB2312" w:cs="Times New Roman"/>
          <w:b/>
          <w:sz w:val="32"/>
          <w:szCs w:val="32"/>
        </w:rPr>
        <w:t>（款）基本公共卫生服务（项）:</w:t>
      </w:r>
      <w:r>
        <w:rPr>
          <w:rFonts w:hint="default" w:ascii="Times New Roman" w:hAnsi="Times New Roman" w:eastAsia="仿宋_GB2312" w:cs="Times New Roman"/>
          <w:sz w:val="32"/>
          <w:szCs w:val="32"/>
          <w:lang w:val="en-US" w:eastAsia="zh-CN"/>
        </w:rPr>
        <w:t>支出决算为</w:t>
      </w:r>
      <w:r>
        <w:rPr>
          <w:rFonts w:hint="default" w:ascii="Times New Roman" w:hAnsi="Times New Roman" w:eastAsia="仿宋_GB2312" w:cs="Times New Roman"/>
          <w:kern w:val="0"/>
          <w:sz w:val="32"/>
          <w:szCs w:val="32"/>
          <w:lang w:val="en-US" w:eastAsia="zh-CN" w:bidi="ar-SA"/>
        </w:rPr>
        <w:t>68.54</w:t>
      </w:r>
      <w:r>
        <w:rPr>
          <w:rFonts w:hint="default" w:ascii="Times New Roman" w:hAnsi="Times New Roman" w:eastAsia="仿宋_GB2312" w:cs="Times New Roman"/>
          <w:sz w:val="32"/>
          <w:szCs w:val="32"/>
          <w:lang w:val="en-US" w:eastAsia="zh-CN"/>
        </w:rPr>
        <w:t>万元，完成预算</w:t>
      </w:r>
      <w:r>
        <w:rPr>
          <w:rFonts w:hint="default" w:ascii="Times New Roman" w:hAnsi="Times New Roman" w:eastAsia="仿宋_GB2312" w:cs="Times New Roman"/>
          <w:kern w:val="0"/>
          <w:sz w:val="32"/>
          <w:szCs w:val="32"/>
          <w:lang w:val="en-US" w:eastAsia="zh-CN" w:bidi="ar-SA"/>
        </w:rPr>
        <w:t>100%</w:t>
      </w:r>
      <w:r>
        <w:rPr>
          <w:rFonts w:hint="default" w:ascii="Times New Roman" w:hAnsi="Times New Roman" w:eastAsia="仿宋_GB2312" w:cs="Times New Roman"/>
          <w:sz w:val="32"/>
          <w:szCs w:val="32"/>
          <w:lang w:val="en-US" w:eastAsia="zh-CN"/>
        </w:rPr>
        <w:t>，决算数等于预算数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eastAsia="仿宋_GB2312" w:cs="Times New Roman"/>
          <w:b/>
          <w:sz w:val="32"/>
          <w:szCs w:val="32"/>
          <w:lang w:val="en-US" w:eastAsia="zh-CN"/>
        </w:rPr>
        <w:t>6.卫生健康支出</w:t>
      </w:r>
      <w:r>
        <w:rPr>
          <w:rFonts w:hint="eastAsia" w:eastAsia="仿宋_GB2312" w:cs="Times New Roman"/>
          <w:b/>
          <w:sz w:val="32"/>
          <w:szCs w:val="32"/>
        </w:rPr>
        <w:t>（类）</w:t>
      </w:r>
      <w:r>
        <w:rPr>
          <w:rFonts w:hint="eastAsia" w:eastAsia="仿宋_GB2312" w:cs="Times New Roman"/>
          <w:b/>
          <w:sz w:val="32"/>
          <w:szCs w:val="32"/>
          <w:lang w:val="en-US" w:eastAsia="zh-CN"/>
        </w:rPr>
        <w:t>公共卫生</w:t>
      </w:r>
      <w:r>
        <w:rPr>
          <w:rFonts w:hint="eastAsia" w:eastAsia="仿宋_GB2312" w:cs="Times New Roman"/>
          <w:b/>
          <w:sz w:val="32"/>
          <w:szCs w:val="32"/>
        </w:rPr>
        <w:t>（款） 重大公共卫生服务（项）:</w:t>
      </w:r>
      <w:r>
        <w:rPr>
          <w:rFonts w:hint="eastAsia" w:ascii="仿宋_GB2312" w:hAnsi="仿宋_GB2312" w:eastAsia="仿宋_GB2312" w:cs="仿宋_GB2312"/>
          <w:sz w:val="32"/>
          <w:szCs w:val="32"/>
          <w:lang w:val="en-US" w:eastAsia="zh-CN"/>
        </w:rPr>
        <w:t>支出决算为</w:t>
      </w:r>
      <w:r>
        <w:rPr>
          <w:rFonts w:hint="eastAsia" w:ascii="Times New Roman" w:hAnsi="Times New Roman" w:eastAsia="仿宋_GB2312" w:cs="Times New Roman"/>
          <w:kern w:val="0"/>
          <w:sz w:val="32"/>
          <w:szCs w:val="32"/>
          <w:lang w:val="en-US" w:eastAsia="zh-CN" w:bidi="ar-SA"/>
        </w:rPr>
        <w:t>317.15万元，完成预算100%</w:t>
      </w:r>
      <w:r>
        <w:rPr>
          <w:rFonts w:hint="eastAsia" w:ascii="仿宋_GB2312" w:hAnsi="仿宋_GB2312" w:eastAsia="仿宋_GB2312" w:cs="仿宋_GB2312"/>
          <w:sz w:val="32"/>
          <w:szCs w:val="32"/>
          <w:lang w:val="en-US" w:eastAsia="zh-CN"/>
        </w:rPr>
        <w:t>，决算数等于预算数。</w:t>
      </w:r>
    </w:p>
    <w:p>
      <w:pPr>
        <w:pStyle w:val="2"/>
        <w:rPr>
          <w:rFonts w:hint="default" w:ascii="Times New Roman" w:hAnsi="Times New Roman" w:eastAsia="仿宋_GB2312" w:cs="Times New Roman"/>
          <w:sz w:val="32"/>
          <w:szCs w:val="32"/>
          <w:lang w:val="en-US" w:eastAsia="zh-CN"/>
        </w:rPr>
      </w:pPr>
      <w:r>
        <w:rPr>
          <w:rFonts w:hint="eastAsia" w:hAnsi="仿宋_GB2312" w:cs="仿宋_GB2312"/>
          <w:sz w:val="32"/>
          <w:szCs w:val="32"/>
          <w:lang w:val="en-US" w:eastAsia="zh-CN"/>
        </w:rPr>
        <w:t xml:space="preserve"> </w:t>
      </w:r>
      <w:r>
        <w:rPr>
          <w:rFonts w:hint="eastAsia" w:cs="Times New Roman"/>
          <w:b/>
          <w:sz w:val="32"/>
          <w:szCs w:val="32"/>
          <w:lang w:val="en-US" w:eastAsia="zh-CN"/>
        </w:rPr>
        <w:t>7.</w:t>
      </w:r>
      <w:r>
        <w:rPr>
          <w:rFonts w:hint="eastAsia" w:eastAsia="仿宋_GB2312" w:cs="Times New Roman"/>
          <w:b/>
          <w:sz w:val="32"/>
          <w:szCs w:val="32"/>
          <w:lang w:val="en-US" w:eastAsia="zh-CN"/>
        </w:rPr>
        <w:t>卫生健康支出</w:t>
      </w:r>
      <w:r>
        <w:rPr>
          <w:rFonts w:hint="eastAsia" w:eastAsia="仿宋_GB2312" w:cs="Times New Roman"/>
          <w:b/>
          <w:sz w:val="32"/>
          <w:szCs w:val="32"/>
        </w:rPr>
        <w:t>（类）</w:t>
      </w:r>
      <w:r>
        <w:rPr>
          <w:rFonts w:hint="eastAsia" w:eastAsia="仿宋_GB2312" w:cs="Times New Roman"/>
          <w:b/>
          <w:sz w:val="32"/>
          <w:szCs w:val="32"/>
          <w:lang w:val="en-US" w:eastAsia="zh-CN"/>
        </w:rPr>
        <w:t>行政事业单位医疗</w:t>
      </w:r>
      <w:r>
        <w:rPr>
          <w:rFonts w:hint="eastAsia" w:eastAsia="仿宋_GB2312" w:cs="Times New Roman"/>
          <w:b/>
          <w:sz w:val="32"/>
          <w:szCs w:val="32"/>
        </w:rPr>
        <w:t>（款）事业单位医疗（项）:</w:t>
      </w:r>
      <w:r>
        <w:rPr>
          <w:rFonts w:hint="eastAsia" w:ascii="仿宋_GB2312" w:hAnsi="仿宋_GB2312" w:eastAsia="仿宋_GB2312" w:cs="仿宋_GB2312"/>
          <w:sz w:val="32"/>
          <w:szCs w:val="32"/>
          <w:lang w:val="en-US" w:eastAsia="zh-CN"/>
        </w:rPr>
        <w:t>支出决算</w:t>
      </w:r>
      <w:r>
        <w:rPr>
          <w:rFonts w:hint="default" w:ascii="Times New Roman" w:hAnsi="Times New Roman" w:eastAsia="仿宋_GB2312" w:cs="Times New Roman"/>
          <w:sz w:val="32"/>
          <w:szCs w:val="32"/>
          <w:lang w:val="en-US" w:eastAsia="zh-CN"/>
        </w:rPr>
        <w:t>为</w:t>
      </w:r>
      <w:r>
        <w:rPr>
          <w:rFonts w:hint="default" w:ascii="Times New Roman" w:hAnsi="Times New Roman" w:cs="Times New Roman"/>
          <w:sz w:val="32"/>
          <w:szCs w:val="32"/>
          <w:lang w:val="en-US" w:eastAsia="zh-CN"/>
        </w:rPr>
        <w:t>31.52</w:t>
      </w:r>
      <w:r>
        <w:rPr>
          <w:rFonts w:hint="default" w:ascii="Times New Roman" w:hAnsi="Times New Roman" w:eastAsia="仿宋_GB2312" w:cs="Times New Roman"/>
          <w:sz w:val="32"/>
          <w:szCs w:val="32"/>
          <w:lang w:val="en-US" w:eastAsia="zh-CN"/>
        </w:rPr>
        <w:t>万元，完成预算100%，决算数等于预算数。</w:t>
      </w:r>
    </w:p>
    <w:p>
      <w:pPr>
        <w:pStyle w:val="2"/>
        <w:rPr>
          <w:rFonts w:hint="default" w:ascii="Times New Roman" w:hAnsi="Times New Roman" w:eastAsia="仿宋_GB2312" w:cs="Times New Roman"/>
          <w:sz w:val="32"/>
          <w:szCs w:val="32"/>
          <w:lang w:val="en-US" w:eastAsia="zh-CN"/>
        </w:rPr>
      </w:pPr>
      <w:r>
        <w:rPr>
          <w:rFonts w:hint="eastAsia" w:cs="Times New Roman"/>
          <w:b/>
          <w:sz w:val="32"/>
          <w:szCs w:val="32"/>
          <w:lang w:val="en-US" w:eastAsia="zh-CN"/>
        </w:rPr>
        <w:t>8</w:t>
      </w:r>
      <w:r>
        <w:rPr>
          <w:rFonts w:hint="eastAsia" w:eastAsia="仿宋_GB2312" w:cs="Times New Roman"/>
          <w:b/>
          <w:sz w:val="32"/>
          <w:szCs w:val="32"/>
          <w:lang w:val="en-US" w:eastAsia="zh-CN"/>
        </w:rPr>
        <w:t>.卫生健康支出</w:t>
      </w:r>
      <w:r>
        <w:rPr>
          <w:rFonts w:hint="eastAsia" w:eastAsia="仿宋_GB2312" w:cs="Times New Roman"/>
          <w:b/>
          <w:sz w:val="32"/>
          <w:szCs w:val="32"/>
        </w:rPr>
        <w:t>（类）</w:t>
      </w:r>
      <w:r>
        <w:rPr>
          <w:rFonts w:hint="eastAsia" w:eastAsia="仿宋_GB2312" w:cs="Times New Roman"/>
          <w:b/>
          <w:sz w:val="32"/>
          <w:szCs w:val="32"/>
          <w:lang w:val="en-US" w:eastAsia="zh-CN"/>
        </w:rPr>
        <w:t>行政事业单位医疗</w:t>
      </w:r>
      <w:r>
        <w:rPr>
          <w:rFonts w:hint="eastAsia" w:eastAsia="仿宋_GB2312" w:cs="Times New Roman"/>
          <w:b/>
          <w:sz w:val="32"/>
          <w:szCs w:val="32"/>
        </w:rPr>
        <w:t>（款） 其他行政事业单位医疗支出（项）:</w:t>
      </w:r>
      <w:r>
        <w:rPr>
          <w:rFonts w:hint="eastAsia" w:ascii="仿宋_GB2312" w:hAnsi="仿宋_GB2312" w:eastAsia="仿宋_GB2312" w:cs="仿宋_GB2312"/>
          <w:sz w:val="32"/>
          <w:szCs w:val="32"/>
          <w:lang w:val="en-US" w:eastAsia="zh-CN"/>
        </w:rPr>
        <w:t>支出决算为</w:t>
      </w:r>
      <w:r>
        <w:rPr>
          <w:rFonts w:hint="default" w:ascii="Times New Roman" w:hAnsi="Times New Roman" w:cs="Times New Roman"/>
          <w:sz w:val="32"/>
          <w:szCs w:val="32"/>
          <w:lang w:val="en-US" w:eastAsia="zh-CN"/>
        </w:rPr>
        <w:t>6.64</w:t>
      </w:r>
      <w:r>
        <w:rPr>
          <w:rFonts w:hint="default" w:ascii="Times New Roman" w:hAnsi="Times New Roman" w:eastAsia="仿宋_GB2312" w:cs="Times New Roman"/>
          <w:sz w:val="32"/>
          <w:szCs w:val="32"/>
          <w:lang w:val="en-US" w:eastAsia="zh-CN"/>
        </w:rPr>
        <w:t>万元，完成预算100%，决算数等于预算数。</w:t>
      </w:r>
    </w:p>
    <w:p>
      <w:pPr>
        <w:pStyle w:val="2"/>
        <w:rPr>
          <w:rFonts w:hint="default" w:ascii="Times New Roman" w:hAnsi="Times New Roman" w:eastAsia="仿宋_GB2312" w:cs="Times New Roman"/>
          <w:sz w:val="32"/>
          <w:szCs w:val="32"/>
          <w:lang w:val="en-US" w:eastAsia="zh-CN"/>
        </w:rPr>
      </w:pPr>
      <w:r>
        <w:rPr>
          <w:rFonts w:hint="eastAsia" w:cs="Times New Roman"/>
          <w:b/>
          <w:sz w:val="32"/>
          <w:szCs w:val="32"/>
          <w:lang w:val="en-US" w:eastAsia="zh-CN"/>
        </w:rPr>
        <w:t>9.</w:t>
      </w:r>
      <w:r>
        <w:rPr>
          <w:rFonts w:hint="eastAsia" w:eastAsia="仿宋_GB2312" w:cs="Times New Roman"/>
          <w:b/>
          <w:sz w:val="32"/>
          <w:szCs w:val="32"/>
          <w:lang w:val="en-US" w:eastAsia="zh-CN"/>
        </w:rPr>
        <w:t>卫生健康支出</w:t>
      </w:r>
      <w:r>
        <w:rPr>
          <w:rFonts w:hint="eastAsia" w:eastAsia="仿宋_GB2312" w:cs="Times New Roman"/>
          <w:b/>
          <w:sz w:val="32"/>
          <w:szCs w:val="32"/>
        </w:rPr>
        <w:t>（类）</w:t>
      </w:r>
      <w:r>
        <w:rPr>
          <w:rFonts w:hint="eastAsia" w:eastAsia="仿宋_GB2312" w:cs="Times New Roman"/>
          <w:b/>
          <w:sz w:val="32"/>
          <w:szCs w:val="32"/>
          <w:lang w:val="en-US" w:eastAsia="zh-CN"/>
        </w:rPr>
        <w:t>其他卫生健康支出</w:t>
      </w:r>
      <w:r>
        <w:rPr>
          <w:rFonts w:hint="eastAsia" w:eastAsia="仿宋_GB2312" w:cs="Times New Roman"/>
          <w:b/>
          <w:sz w:val="32"/>
          <w:szCs w:val="32"/>
        </w:rPr>
        <w:t>（款） 其他行政其他卫生健康支出（项）:</w:t>
      </w:r>
      <w:r>
        <w:rPr>
          <w:rFonts w:hint="eastAsia" w:ascii="仿宋_GB2312" w:hAnsi="仿宋_GB2312" w:eastAsia="仿宋_GB2312" w:cs="仿宋_GB2312"/>
          <w:sz w:val="32"/>
          <w:szCs w:val="32"/>
          <w:lang w:val="en-US" w:eastAsia="zh-CN"/>
        </w:rPr>
        <w:t>支出决算为</w:t>
      </w:r>
      <w:r>
        <w:rPr>
          <w:rFonts w:hint="default" w:ascii="Times New Roman" w:hAnsi="Times New Roman" w:cs="Times New Roman"/>
          <w:sz w:val="32"/>
          <w:szCs w:val="32"/>
          <w:lang w:val="en-US" w:eastAsia="zh-CN"/>
        </w:rPr>
        <w:t>412.37</w:t>
      </w:r>
      <w:r>
        <w:rPr>
          <w:rFonts w:hint="default" w:ascii="Times New Roman" w:hAnsi="Times New Roman" w:eastAsia="仿宋_GB2312" w:cs="Times New Roman"/>
          <w:sz w:val="32"/>
          <w:szCs w:val="32"/>
          <w:lang w:val="en-US" w:eastAsia="zh-CN"/>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b/>
          <w:sz w:val="32"/>
          <w:szCs w:val="32"/>
        </w:rPr>
      </w:pPr>
      <w:r>
        <w:rPr>
          <w:rFonts w:hint="eastAsia" w:eastAsia="仿宋_GB2312" w:cs="Times New Roman"/>
          <w:b/>
          <w:sz w:val="32"/>
          <w:szCs w:val="32"/>
          <w:lang w:val="en-US" w:eastAsia="zh-CN"/>
        </w:rPr>
        <w:t>10.</w:t>
      </w:r>
      <w:r>
        <w:rPr>
          <w:rFonts w:hint="eastAsia" w:eastAsia="仿宋_GB2312" w:cs="Times New Roman"/>
          <w:b/>
          <w:sz w:val="32"/>
          <w:szCs w:val="32"/>
        </w:rPr>
        <w:t>住房保障</w:t>
      </w:r>
      <w:r>
        <w:rPr>
          <w:rFonts w:hint="eastAsia" w:eastAsia="仿宋_GB2312" w:cs="Times New Roman"/>
          <w:b/>
          <w:sz w:val="32"/>
          <w:szCs w:val="32"/>
          <w:lang w:eastAsia="zh-CN"/>
        </w:rPr>
        <w:t>支出</w:t>
      </w:r>
      <w:r>
        <w:rPr>
          <w:rFonts w:hint="eastAsia" w:eastAsia="仿宋_GB2312" w:cs="Times New Roman"/>
          <w:b/>
          <w:sz w:val="32"/>
          <w:szCs w:val="32"/>
        </w:rPr>
        <w:t>（类）住房改革支出（款）住房公积金（项）:</w:t>
      </w:r>
      <w:r>
        <w:rPr>
          <w:rStyle w:val="16"/>
          <w:rFonts w:hint="eastAsia" w:ascii="仿宋" w:hAnsi="仿宋" w:eastAsia="仿宋"/>
          <w:b w:val="0"/>
          <w:bCs/>
          <w:color w:val="000000"/>
          <w:sz w:val="32"/>
          <w:szCs w:val="32"/>
        </w:rPr>
        <w:t>支出决算为</w:t>
      </w:r>
      <w:r>
        <w:rPr>
          <w:rStyle w:val="16"/>
          <w:rFonts w:hint="default" w:ascii="Times New Roman" w:hAnsi="Times New Roman" w:eastAsia="仿宋" w:cs="Times New Roman"/>
          <w:b w:val="0"/>
          <w:bCs/>
          <w:color w:val="000000"/>
          <w:sz w:val="32"/>
          <w:szCs w:val="32"/>
          <w:lang w:val="en-US" w:eastAsia="zh-CN"/>
        </w:rPr>
        <w:t>52.04</w:t>
      </w:r>
      <w:r>
        <w:rPr>
          <w:rStyle w:val="16"/>
          <w:rFonts w:hint="default" w:ascii="Times New Roman" w:hAnsi="Times New Roman" w:eastAsia="仿宋" w:cs="Times New Roman"/>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Fonts w:hint="eastAsia" w:ascii="黑体" w:eastAsia="黑体"/>
          <w:sz w:val="32"/>
          <w:szCs w:val="32"/>
        </w:rPr>
      </w:pPr>
      <w:bookmarkStart w:id="36" w:name="_Toc15396608"/>
      <w:bookmarkStart w:id="37" w:name="_Toc15377214"/>
    </w:p>
    <w:p>
      <w:pPr>
        <w:tabs>
          <w:tab w:val="right" w:pos="8306"/>
        </w:tabs>
        <w:spacing w:line="600" w:lineRule="exact"/>
        <w:ind w:firstLine="640"/>
        <w:outlineLvl w:val="1"/>
        <w:rPr>
          <w:rStyle w:val="27"/>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6"/>
      <w:bookmarkEnd w:id="37"/>
      <w:r>
        <w:rPr>
          <w:rStyle w:val="27"/>
          <w:rFonts w:ascii="黑体" w:hAnsi="黑体" w:eastAsia="黑体"/>
          <w:b w:val="0"/>
        </w:rPr>
        <w:tab/>
      </w:r>
    </w:p>
    <w:p>
      <w:pPr>
        <w:spacing w:line="600" w:lineRule="exact"/>
        <w:ind w:firstLine="645"/>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2021年一般公共预算财政拨款基本支出</w:t>
      </w:r>
      <w:r>
        <w:rPr>
          <w:rFonts w:hint="eastAsia" w:eastAsia="仿宋_GB2312" w:cs="Times New Roman"/>
          <w:kern w:val="0"/>
          <w:sz w:val="32"/>
          <w:szCs w:val="32"/>
          <w:lang w:val="en-US" w:eastAsia="zh-CN" w:bidi="ar-SA"/>
        </w:rPr>
        <w:t>1515.33</w:t>
      </w:r>
      <w:r>
        <w:rPr>
          <w:rFonts w:hint="default" w:ascii="Times New Roman" w:hAnsi="Times New Roman" w:eastAsia="仿宋_GB2312" w:cs="Times New Roman"/>
          <w:kern w:val="0"/>
          <w:sz w:val="32"/>
          <w:szCs w:val="32"/>
          <w:lang w:val="en-US" w:eastAsia="zh-CN" w:bidi="ar-SA"/>
        </w:rPr>
        <w:t>万元，其中：</w:t>
      </w:r>
    </w:p>
    <w:p>
      <w:pPr>
        <w:spacing w:line="600" w:lineRule="exact"/>
        <w:ind w:firstLine="645"/>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人员经费</w:t>
      </w:r>
      <w:r>
        <w:rPr>
          <w:rFonts w:hint="eastAsia" w:eastAsia="仿宋_GB2312" w:cs="Times New Roman"/>
          <w:kern w:val="0"/>
          <w:sz w:val="32"/>
          <w:szCs w:val="32"/>
          <w:lang w:val="en-US" w:eastAsia="zh-CN" w:bidi="ar-SA"/>
        </w:rPr>
        <w:t>676.38</w:t>
      </w:r>
      <w:r>
        <w:rPr>
          <w:rFonts w:hint="default" w:ascii="Times New Roman" w:hAnsi="Times New Roman" w:eastAsia="仿宋_GB2312" w:cs="Times New Roman"/>
          <w:kern w:val="0"/>
          <w:sz w:val="32"/>
          <w:szCs w:val="32"/>
          <w:lang w:val="en-US" w:eastAsia="zh-CN" w:bidi="ar-SA"/>
        </w:rPr>
        <w:t>万元，主要包括：基本工资</w:t>
      </w:r>
      <w:r>
        <w:rPr>
          <w:rFonts w:hint="eastAsia" w:eastAsia="仿宋_GB2312" w:cs="Times New Roman"/>
          <w:kern w:val="0"/>
          <w:sz w:val="32"/>
          <w:szCs w:val="32"/>
          <w:lang w:val="en-US" w:eastAsia="zh-CN" w:bidi="ar-SA"/>
        </w:rPr>
        <w:t>141.99</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_GB2312" w:cs="Times New Roman"/>
          <w:kern w:val="0"/>
          <w:sz w:val="32"/>
          <w:szCs w:val="32"/>
          <w:lang w:val="en-US" w:eastAsia="zh-CN" w:bidi="ar-SA"/>
        </w:rPr>
        <w:t>、津贴补贴</w:t>
      </w:r>
      <w:r>
        <w:rPr>
          <w:rFonts w:hint="eastAsia" w:eastAsia="仿宋_GB2312" w:cs="Times New Roman"/>
          <w:kern w:val="0"/>
          <w:sz w:val="32"/>
          <w:szCs w:val="32"/>
          <w:lang w:val="en-US" w:eastAsia="zh-CN" w:bidi="ar-SA"/>
        </w:rPr>
        <w:t>132.26</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_GB2312" w:cs="Times New Roman"/>
          <w:kern w:val="0"/>
          <w:sz w:val="32"/>
          <w:szCs w:val="32"/>
          <w:lang w:val="en-US" w:eastAsia="zh-CN" w:bidi="ar-SA"/>
        </w:rPr>
        <w:t>、</w:t>
      </w:r>
      <w:r>
        <w:rPr>
          <w:rFonts w:hint="eastAsia" w:eastAsia="仿宋_GB2312" w:cs="Times New Roman"/>
          <w:kern w:val="0"/>
          <w:sz w:val="32"/>
          <w:szCs w:val="32"/>
          <w:lang w:val="en-US" w:eastAsia="zh-CN" w:bidi="ar-SA"/>
        </w:rPr>
        <w:t>绩效工资110.</w:t>
      </w:r>
      <w:r>
        <w:rPr>
          <w:rFonts w:hint="eastAsia" w:eastAsia="仿宋_GB2312" w:cs="Times New Roman"/>
          <w:kern w:val="0"/>
          <w:sz w:val="32"/>
          <w:szCs w:val="32"/>
          <w:lang w:val="en-US" w:eastAsia="zh-CN" w:bidi="ar-SA"/>
        </w:rPr>
        <w:tab/>
      </w:r>
      <w:r>
        <w:rPr>
          <w:rFonts w:hint="eastAsia" w:eastAsia="仿宋_GB2312" w:cs="Times New Roman"/>
          <w:kern w:val="0"/>
          <w:sz w:val="32"/>
          <w:szCs w:val="32"/>
          <w:lang w:val="en-US" w:eastAsia="zh-CN" w:bidi="ar-SA"/>
        </w:rPr>
        <w:t>84</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_GB2312" w:cs="Times New Roman"/>
          <w:kern w:val="0"/>
          <w:sz w:val="32"/>
          <w:szCs w:val="32"/>
          <w:lang w:val="en-US" w:eastAsia="zh-CN" w:bidi="ar-SA"/>
        </w:rPr>
        <w:t>、机关事业单位基本养老保险缴费</w:t>
      </w:r>
      <w:r>
        <w:rPr>
          <w:rFonts w:hint="eastAsia" w:eastAsia="仿宋_GB2312" w:cs="Times New Roman"/>
          <w:kern w:val="0"/>
          <w:sz w:val="32"/>
          <w:szCs w:val="32"/>
          <w:lang w:val="en-US" w:eastAsia="zh-CN" w:bidi="ar-SA"/>
        </w:rPr>
        <w:t>48.23</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_GB2312" w:cs="Times New Roman"/>
          <w:kern w:val="0"/>
          <w:sz w:val="32"/>
          <w:szCs w:val="32"/>
          <w:lang w:val="en-US" w:eastAsia="zh-CN" w:bidi="ar-SA"/>
        </w:rPr>
        <w:t>、</w:t>
      </w:r>
      <w:r>
        <w:rPr>
          <w:rFonts w:hint="eastAsia" w:eastAsia="仿宋_GB2312" w:cs="Times New Roman"/>
          <w:kern w:val="0"/>
          <w:sz w:val="32"/>
          <w:szCs w:val="32"/>
          <w:lang w:val="en-US" w:eastAsia="zh-CN" w:bidi="ar-SA"/>
        </w:rPr>
        <w:t>职业年金5.78万元、</w:t>
      </w:r>
      <w:r>
        <w:rPr>
          <w:rFonts w:hint="default" w:ascii="Times New Roman" w:hAnsi="Times New Roman" w:eastAsia="仿宋_GB2312" w:cs="Times New Roman"/>
          <w:kern w:val="0"/>
          <w:sz w:val="32"/>
          <w:szCs w:val="32"/>
          <w:lang w:val="en-US" w:eastAsia="zh-CN" w:bidi="ar-SA"/>
        </w:rPr>
        <w:t>职工基本医疗保险缴费</w:t>
      </w:r>
      <w:r>
        <w:rPr>
          <w:rFonts w:hint="eastAsia" w:eastAsia="仿宋_GB2312" w:cs="Times New Roman"/>
          <w:kern w:val="0"/>
          <w:sz w:val="32"/>
          <w:szCs w:val="32"/>
          <w:lang w:val="en-US" w:eastAsia="zh-CN" w:bidi="ar-SA"/>
        </w:rPr>
        <w:t>31.52万元、</w:t>
      </w:r>
      <w:r>
        <w:rPr>
          <w:rFonts w:hint="default" w:ascii="Times New Roman" w:hAnsi="Times New Roman" w:eastAsia="仿宋_GB2312" w:cs="Times New Roman"/>
          <w:kern w:val="0"/>
          <w:sz w:val="32"/>
          <w:szCs w:val="32"/>
          <w:lang w:val="en-US" w:eastAsia="zh-CN" w:bidi="ar-SA"/>
        </w:rPr>
        <w:t>公务员医疗补助缴费6.64</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_GB2312" w:cs="Times New Roman"/>
          <w:kern w:val="0"/>
          <w:sz w:val="32"/>
          <w:szCs w:val="32"/>
          <w:lang w:val="en-US" w:eastAsia="zh-CN" w:bidi="ar-SA"/>
        </w:rPr>
        <w:t>、</w:t>
      </w:r>
      <w:r>
        <w:rPr>
          <w:rFonts w:hint="eastAsia" w:eastAsia="仿宋_GB2312" w:cs="Times New Roman"/>
          <w:kern w:val="0"/>
          <w:sz w:val="32"/>
          <w:szCs w:val="32"/>
          <w:lang w:val="en-US" w:eastAsia="zh-CN" w:bidi="ar-SA"/>
        </w:rPr>
        <w:t>其他社会保障缴费5.31、</w:t>
      </w:r>
      <w:r>
        <w:rPr>
          <w:rFonts w:hint="default" w:ascii="Times New Roman" w:hAnsi="Times New Roman" w:eastAsia="仿宋_GB2312" w:cs="Times New Roman"/>
          <w:kern w:val="0"/>
          <w:sz w:val="32"/>
          <w:szCs w:val="32"/>
          <w:lang w:val="en-US" w:eastAsia="zh-CN" w:bidi="ar-SA"/>
        </w:rPr>
        <w:t>其他工资福利支出24.9</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_GB2312" w:cs="Times New Roman"/>
          <w:kern w:val="0"/>
          <w:sz w:val="32"/>
          <w:szCs w:val="32"/>
          <w:lang w:val="en-US" w:eastAsia="zh-CN" w:bidi="ar-SA"/>
        </w:rPr>
        <w:t>、住房公积金52.04</w:t>
      </w:r>
      <w:r>
        <w:rPr>
          <w:rStyle w:val="16"/>
          <w:rFonts w:hint="default" w:ascii="Times New Roman" w:hAnsi="Times New Roman" w:eastAsia="仿宋" w:cs="Times New Roman"/>
          <w:b w:val="0"/>
          <w:bCs/>
          <w:color w:val="000000"/>
          <w:sz w:val="32"/>
          <w:szCs w:val="32"/>
          <w:lang w:val="en-US" w:eastAsia="zh-CN"/>
        </w:rPr>
        <w:t>万元</w:t>
      </w:r>
      <w:r>
        <w:rPr>
          <w:rStyle w:val="16"/>
          <w:rFonts w:hint="eastAsia" w:eastAsia="仿宋" w:cs="Times New Roman"/>
          <w:b w:val="0"/>
          <w:bCs/>
          <w:color w:val="000000"/>
          <w:sz w:val="32"/>
          <w:szCs w:val="32"/>
          <w:lang w:val="en-US" w:eastAsia="zh-CN"/>
        </w:rPr>
        <w:t>、抚恤金4.23万元、生活补助99.59万元、奖励金0.05万元、其他个人和家庭的补助支出13.00万元。</w:t>
      </w:r>
    </w:p>
    <w:p>
      <w:pPr>
        <w:spacing w:line="600" w:lineRule="exact"/>
        <w:ind w:firstLine="645"/>
        <w:rPr>
          <w:rFonts w:ascii="仿宋" w:hAnsi="仿宋" w:eastAsia="仿宋"/>
          <w:b/>
          <w:sz w:val="32"/>
          <w:szCs w:val="32"/>
        </w:rPr>
      </w:pPr>
      <w:r>
        <w:rPr>
          <w:rFonts w:hint="default" w:ascii="Times New Roman" w:hAnsi="Times New Roman" w:eastAsia="仿宋_GB2312" w:cs="Times New Roman"/>
          <w:kern w:val="0"/>
          <w:sz w:val="32"/>
          <w:szCs w:val="32"/>
          <w:lang w:val="en-US" w:eastAsia="zh-CN" w:bidi="ar-SA"/>
        </w:rPr>
        <w:t>公用经费</w:t>
      </w:r>
      <w:r>
        <w:rPr>
          <w:rFonts w:hint="eastAsia" w:eastAsia="仿宋_GB2312" w:cs="Times New Roman"/>
          <w:kern w:val="0"/>
          <w:sz w:val="32"/>
          <w:szCs w:val="32"/>
          <w:lang w:val="en-US" w:eastAsia="zh-CN" w:bidi="ar-SA"/>
        </w:rPr>
        <w:t>38.62</w:t>
      </w:r>
      <w:r>
        <w:rPr>
          <w:rFonts w:hint="default" w:ascii="Times New Roman" w:hAnsi="Times New Roman" w:eastAsia="仿宋_GB2312" w:cs="Times New Roman"/>
          <w:kern w:val="0"/>
          <w:sz w:val="32"/>
          <w:szCs w:val="32"/>
          <w:lang w:val="en-US" w:eastAsia="zh-CN" w:bidi="ar-SA"/>
        </w:rPr>
        <w:t>万元，主要包括：办公费2.1</w:t>
      </w:r>
      <w:r>
        <w:rPr>
          <w:rFonts w:hint="eastAsia" w:eastAsia="仿宋_GB2312" w:cs="Times New Roman"/>
          <w:kern w:val="0"/>
          <w:sz w:val="32"/>
          <w:szCs w:val="32"/>
          <w:lang w:val="en-US" w:eastAsia="zh-CN" w:bidi="ar-SA"/>
        </w:rPr>
        <w:t>8</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 w:cs="Times New Roman"/>
          <w:sz w:val="32"/>
          <w:szCs w:val="32"/>
        </w:rPr>
        <w:t>水费</w:t>
      </w:r>
      <w:r>
        <w:rPr>
          <w:rFonts w:hint="default" w:ascii="Times New Roman" w:hAnsi="Times New Roman" w:eastAsia="仿宋" w:cs="Times New Roman"/>
          <w:sz w:val="32"/>
          <w:szCs w:val="32"/>
          <w:lang w:val="en-US" w:eastAsia="zh-CN"/>
        </w:rPr>
        <w:t>0.</w:t>
      </w:r>
      <w:r>
        <w:rPr>
          <w:rFonts w:hint="eastAsia" w:eastAsia="仿宋" w:cs="Times New Roman"/>
          <w:sz w:val="32"/>
          <w:szCs w:val="32"/>
          <w:lang w:val="en-US" w:eastAsia="zh-CN"/>
        </w:rPr>
        <w:t>46</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、电费</w:t>
      </w:r>
      <w:r>
        <w:rPr>
          <w:rFonts w:hint="eastAsia" w:eastAsia="仿宋" w:cs="Times New Roman"/>
          <w:sz w:val="32"/>
          <w:szCs w:val="32"/>
          <w:lang w:val="en-US" w:eastAsia="zh-CN"/>
        </w:rPr>
        <w:t>1.62</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、邮电费</w:t>
      </w:r>
      <w:r>
        <w:rPr>
          <w:rFonts w:hint="eastAsia" w:eastAsia="仿宋" w:cs="Times New Roman"/>
          <w:sz w:val="32"/>
          <w:szCs w:val="32"/>
          <w:lang w:val="en-US" w:eastAsia="zh-CN"/>
        </w:rPr>
        <w:t>2.39</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、差旅费</w:t>
      </w:r>
      <w:r>
        <w:rPr>
          <w:rFonts w:hint="eastAsia" w:eastAsia="仿宋" w:cs="Times New Roman"/>
          <w:sz w:val="32"/>
          <w:szCs w:val="32"/>
          <w:lang w:val="en-US" w:eastAsia="zh-CN"/>
        </w:rPr>
        <w:t>8.40</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、维修（护）费</w:t>
      </w:r>
      <w:r>
        <w:rPr>
          <w:rFonts w:hint="eastAsia" w:eastAsia="仿宋" w:cs="Times New Roman"/>
          <w:sz w:val="32"/>
          <w:szCs w:val="32"/>
          <w:lang w:val="en-US" w:eastAsia="zh-CN"/>
        </w:rPr>
        <w:t>0.71</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w:t>
      </w:r>
      <w:r>
        <w:rPr>
          <w:rFonts w:hint="eastAsia" w:eastAsia="仿宋" w:cs="Times New Roman"/>
          <w:sz w:val="32"/>
          <w:szCs w:val="32"/>
          <w:lang w:val="en-US" w:eastAsia="zh-CN"/>
        </w:rPr>
        <w:t>培训费0.23万元、</w:t>
      </w:r>
      <w:r>
        <w:rPr>
          <w:rFonts w:hint="default" w:ascii="Times New Roman" w:hAnsi="Times New Roman" w:eastAsia="仿宋" w:cs="Times New Roman"/>
          <w:sz w:val="32"/>
          <w:szCs w:val="32"/>
        </w:rPr>
        <w:t>公务接待费</w:t>
      </w:r>
      <w:r>
        <w:rPr>
          <w:rFonts w:hint="eastAsia" w:eastAsia="仿宋" w:cs="Times New Roman"/>
          <w:sz w:val="32"/>
          <w:szCs w:val="32"/>
          <w:lang w:val="en-US" w:eastAsia="zh-CN"/>
        </w:rPr>
        <w:t>0.03</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w:t>
      </w:r>
      <w:r>
        <w:rPr>
          <w:rFonts w:hint="eastAsia" w:eastAsia="仿宋" w:cs="Times New Roman"/>
          <w:sz w:val="32"/>
          <w:szCs w:val="32"/>
          <w:lang w:val="en-US" w:eastAsia="zh-CN"/>
        </w:rPr>
        <w:t>专用材料费0.41万元、劳务费2.33万元、</w:t>
      </w:r>
      <w:r>
        <w:rPr>
          <w:rFonts w:hint="default" w:ascii="Times New Roman" w:hAnsi="Times New Roman" w:eastAsia="仿宋" w:cs="Times New Roman"/>
          <w:sz w:val="32"/>
          <w:szCs w:val="32"/>
        </w:rPr>
        <w:t>工会经费</w:t>
      </w:r>
      <w:r>
        <w:rPr>
          <w:rFonts w:hint="eastAsia" w:eastAsia="仿宋" w:cs="Times New Roman"/>
          <w:sz w:val="32"/>
          <w:szCs w:val="32"/>
          <w:lang w:val="en-US" w:eastAsia="zh-CN"/>
        </w:rPr>
        <w:t>6.04</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、福利费</w:t>
      </w:r>
      <w:r>
        <w:rPr>
          <w:rFonts w:hint="eastAsia" w:eastAsia="仿宋" w:cs="Times New Roman"/>
          <w:sz w:val="32"/>
          <w:szCs w:val="32"/>
          <w:lang w:val="en-US" w:eastAsia="zh-CN"/>
        </w:rPr>
        <w:t>8.82</w:t>
      </w:r>
      <w:r>
        <w:rPr>
          <w:rStyle w:val="16"/>
          <w:rFonts w:hint="default" w:ascii="Times New Roman" w:hAnsi="Times New Roman" w:eastAsia="仿宋" w:cs="Times New Roman"/>
          <w:b w:val="0"/>
          <w:bCs/>
          <w:color w:val="000000"/>
          <w:sz w:val="32"/>
          <w:szCs w:val="32"/>
          <w:lang w:val="en-US" w:eastAsia="zh-CN"/>
        </w:rPr>
        <w:t>万元</w:t>
      </w:r>
      <w:r>
        <w:rPr>
          <w:rFonts w:hint="default" w:ascii="Times New Roman" w:hAnsi="Times New Roman" w:eastAsia="仿宋" w:cs="Times New Roman"/>
          <w:sz w:val="32"/>
          <w:szCs w:val="32"/>
        </w:rPr>
        <w:t>、其他交通费</w:t>
      </w:r>
      <w:r>
        <w:rPr>
          <w:rFonts w:hint="eastAsia" w:eastAsia="仿宋" w:cs="Times New Roman"/>
          <w:sz w:val="32"/>
          <w:szCs w:val="32"/>
          <w:lang w:val="en-US" w:eastAsia="zh-CN"/>
        </w:rPr>
        <w:t>1.19</w:t>
      </w:r>
      <w:r>
        <w:rPr>
          <w:rStyle w:val="16"/>
          <w:rFonts w:hint="default" w:ascii="Times New Roman" w:hAnsi="Times New Roman" w:eastAsia="仿宋" w:cs="Times New Roman"/>
          <w:b w:val="0"/>
          <w:bCs/>
          <w:color w:val="000000"/>
          <w:sz w:val="32"/>
          <w:szCs w:val="32"/>
          <w:lang w:val="en-US" w:eastAsia="zh-CN"/>
        </w:rPr>
        <w:t>万元</w:t>
      </w:r>
      <w:r>
        <w:rPr>
          <w:rStyle w:val="16"/>
          <w:rFonts w:hint="eastAsia" w:eastAsia="仿宋" w:cs="Times New Roman"/>
          <w:b w:val="0"/>
          <w:bCs/>
          <w:color w:val="000000"/>
          <w:sz w:val="32"/>
          <w:szCs w:val="32"/>
          <w:lang w:val="en-US" w:eastAsia="zh-CN"/>
        </w:rPr>
        <w:t>、公务车运行费0.06、其他商品和服务支出3.75万元、办公设备购置2.27万元</w:t>
      </w:r>
      <w:r>
        <w:rPr>
          <w:rFonts w:hint="eastAsia" w:ascii="仿宋" w:hAnsi="仿宋" w:eastAsia="仿宋"/>
          <w:sz w:val="32"/>
          <w:szCs w:val="32"/>
        </w:rPr>
        <w:t>。</w:t>
      </w:r>
    </w:p>
    <w:p>
      <w:pPr>
        <w:spacing w:line="600" w:lineRule="exact"/>
        <w:ind w:firstLine="640"/>
        <w:outlineLvl w:val="1"/>
        <w:rPr>
          <w:rStyle w:val="27"/>
          <w:rFonts w:ascii="黑体" w:hAnsi="黑体" w:eastAsia="黑体"/>
          <w:b w:val="0"/>
        </w:rPr>
      </w:pPr>
      <w:bookmarkStart w:id="38" w:name="_Toc15396609"/>
      <w:bookmarkStart w:id="39" w:name="_Toc15377215"/>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 w:cs="Times New Roman"/>
          <w:sz w:val="32"/>
          <w:szCs w:val="32"/>
        </w:rPr>
        <w:t>2021年“三公”经费财政拨款支出决算为</w:t>
      </w:r>
      <w:r>
        <w:rPr>
          <w:rFonts w:hint="eastAsia" w:eastAsia="仿宋" w:cs="Times New Roman"/>
          <w:sz w:val="32"/>
          <w:szCs w:val="32"/>
          <w:lang w:val="en-US" w:eastAsia="zh-CN"/>
        </w:rPr>
        <w:t>4.09</w:t>
      </w:r>
      <w:r>
        <w:rPr>
          <w:rFonts w:hint="default" w:ascii="Times New Roman" w:hAnsi="Times New Roman" w:eastAsia="仿宋" w:cs="Times New Roman"/>
          <w:sz w:val="32"/>
          <w:szCs w:val="32"/>
        </w:rPr>
        <w:t>万元，完成预算</w:t>
      </w:r>
      <w:r>
        <w:rPr>
          <w:rFonts w:hint="eastAsia" w:eastAsia="仿宋" w:cs="Times New Roman"/>
          <w:sz w:val="32"/>
          <w:szCs w:val="32"/>
          <w:lang w:val="en-US" w:eastAsia="zh-CN"/>
        </w:rPr>
        <w:t>87.21</w:t>
      </w:r>
      <w:r>
        <w:rPr>
          <w:rFonts w:hint="default" w:ascii="Times New Roman" w:hAnsi="Times New Roman" w:eastAsia="仿宋" w:cs="Times New Roman"/>
          <w:sz w:val="32"/>
          <w:szCs w:val="32"/>
        </w:rPr>
        <w:t>%，决算数小于预算数的主要原因是</w:t>
      </w:r>
      <w:r>
        <w:rPr>
          <w:rFonts w:hint="default" w:ascii="Times New Roman" w:hAnsi="Times New Roman" w:eastAsia="仿宋" w:cs="Times New Roman"/>
          <w:color w:val="000000"/>
          <w:sz w:val="32"/>
          <w:szCs w:val="32"/>
        </w:rPr>
        <w:t>上级部门考虑到</w:t>
      </w:r>
      <w:r>
        <w:rPr>
          <w:rFonts w:hint="default" w:ascii="Times New Roman" w:hAnsi="Times New Roman" w:eastAsia="仿宋" w:cs="Times New Roman"/>
          <w:color w:val="000000"/>
          <w:sz w:val="32"/>
          <w:szCs w:val="32"/>
          <w:lang w:eastAsia="zh-CN"/>
        </w:rPr>
        <w:t>本单位</w:t>
      </w:r>
      <w:r>
        <w:rPr>
          <w:rFonts w:hint="default" w:ascii="Times New Roman" w:hAnsi="Times New Roman" w:eastAsia="仿宋" w:cs="Times New Roman"/>
          <w:color w:val="000000"/>
          <w:sz w:val="32"/>
          <w:szCs w:val="32"/>
        </w:rPr>
        <w:t>工作经费紧张，自行</w:t>
      </w:r>
      <w:r>
        <w:rPr>
          <w:rFonts w:hint="default" w:ascii="Times New Roman" w:hAnsi="Times New Roman" w:eastAsia="仿宋" w:cs="Times New Roman"/>
          <w:color w:val="000000"/>
          <w:sz w:val="32"/>
          <w:szCs w:val="32"/>
          <w:lang w:eastAsia="zh-CN"/>
        </w:rPr>
        <w:t>解决用</w:t>
      </w:r>
      <w:r>
        <w:rPr>
          <w:rFonts w:hint="default" w:ascii="Times New Roman" w:hAnsi="Times New Roman" w:eastAsia="仿宋" w:cs="Times New Roman"/>
          <w:color w:val="000000"/>
          <w:sz w:val="32"/>
          <w:szCs w:val="32"/>
        </w:rPr>
        <w:t>餐</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2021年</w:t>
      </w:r>
      <w:r>
        <w:rPr>
          <w:rFonts w:hint="default" w:ascii="Times New Roman" w:hAnsi="Times New Roman" w:eastAsia="仿宋" w:cs="Times New Roman"/>
          <w:color w:val="000000"/>
          <w:sz w:val="32"/>
          <w:szCs w:val="32"/>
        </w:rPr>
        <w:t>接待批次为</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批，接待人数为</w:t>
      </w:r>
      <w:r>
        <w:rPr>
          <w:rFonts w:hint="eastAsia" w:eastAsia="仿宋" w:cs="Times New Roman"/>
          <w:color w:val="000000"/>
          <w:sz w:val="32"/>
          <w:szCs w:val="32"/>
          <w:lang w:val="en-US" w:eastAsia="zh-CN"/>
        </w:rPr>
        <w:t>7</w:t>
      </w:r>
      <w:r>
        <w:rPr>
          <w:rFonts w:hint="default" w:ascii="Times New Roman" w:hAnsi="Times New Roman" w:eastAsia="仿宋" w:cs="Times New Roman"/>
          <w:color w:val="000000"/>
          <w:sz w:val="32"/>
          <w:szCs w:val="32"/>
        </w:rPr>
        <w:t>人,接待事由</w:t>
      </w:r>
      <w:r>
        <w:rPr>
          <w:rFonts w:hint="eastAsia" w:eastAsia="仿宋" w:cs="Times New Roman"/>
          <w:color w:val="000000"/>
          <w:sz w:val="32"/>
          <w:szCs w:val="32"/>
          <w:lang w:val="en-US" w:eastAsia="zh-CN"/>
        </w:rPr>
        <w:t>是由省疾控带头，省疾控、市疾控到我县开展监测工作</w:t>
      </w:r>
      <w:r>
        <w:rPr>
          <w:rFonts w:hint="default" w:ascii="Times New Roman" w:hAnsi="Times New Roman" w:eastAsia="仿宋" w:cs="Times New Roman"/>
          <w:color w:val="000000"/>
          <w:sz w:val="32"/>
          <w:szCs w:val="32"/>
        </w:rPr>
        <w:t>。</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2021年“三公”经费财政拨款支出决算中，因公出国（境）费支出决算</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%；公务用车购置及运行维护费支出决算</w:t>
      </w:r>
      <w:r>
        <w:rPr>
          <w:rFonts w:hint="eastAsia" w:eastAsia="仿宋" w:cs="Times New Roman"/>
          <w:sz w:val="32"/>
          <w:szCs w:val="32"/>
          <w:lang w:val="en-US" w:eastAsia="zh-CN"/>
        </w:rPr>
        <w:t>4.06</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99.27</w:t>
      </w:r>
      <w:r>
        <w:rPr>
          <w:rFonts w:hint="default" w:ascii="Times New Roman" w:hAnsi="Times New Roman" w:eastAsia="仿宋" w:cs="Times New Roman"/>
          <w:sz w:val="32"/>
          <w:szCs w:val="32"/>
        </w:rPr>
        <w:t>%；公务接待费支出决算</w:t>
      </w:r>
      <w:r>
        <w:rPr>
          <w:rFonts w:hint="eastAsia" w:eastAsia="仿宋" w:cs="Times New Roman"/>
          <w:sz w:val="32"/>
          <w:szCs w:val="32"/>
          <w:lang w:val="en-US" w:eastAsia="zh-CN"/>
        </w:rPr>
        <w:t>0.03</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0.73</w:t>
      </w:r>
      <w:r>
        <w:rPr>
          <w:rFonts w:hint="default" w:ascii="Times New Roman" w:hAnsi="Times New Roman" w:eastAsia="仿宋" w:cs="Times New Roman"/>
          <w:sz w:val="32"/>
          <w:szCs w:val="32"/>
        </w:rPr>
        <w:t>%。具体情况如下：</w:t>
      </w:r>
    </w:p>
    <w:p>
      <w:pPr>
        <w:pStyle w:val="2"/>
        <w:rPr>
          <w:rFonts w:hint="default"/>
        </w:rPr>
      </w:pPr>
      <w:r>
        <w:drawing>
          <wp:inline distT="0" distB="0" distL="114300" distR="114300">
            <wp:extent cx="4572000" cy="2743200"/>
            <wp:effectExtent l="4445" t="4445" r="14605" b="14605"/>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rPr>
          <w:rFonts w:ascii="仿宋" w:hAnsi="仿宋" w:eastAsia="仿宋"/>
          <w:sz w:val="32"/>
          <w:szCs w:val="32"/>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Style w:val="16"/>
          <w:rFonts w:hint="eastAsia" w:ascii="Times New Roman" w:hAnsi="Times New Roman" w:eastAsia="仿宋" w:cs="Times New Roman"/>
          <w:b w:val="0"/>
          <w:bCs/>
          <w:color w:val="000000"/>
          <w:sz w:val="32"/>
          <w:szCs w:val="32"/>
          <w:lang w:val="en-US" w:eastAsia="zh-CN"/>
        </w:rPr>
        <w:t>因公出国（境）支出决算和20</w:t>
      </w:r>
      <w:r>
        <w:rPr>
          <w:rStyle w:val="16"/>
          <w:rFonts w:hint="eastAsia" w:eastAsia="仿宋" w:cs="Times New Roman"/>
          <w:b w:val="0"/>
          <w:bCs/>
          <w:color w:val="000000"/>
          <w:sz w:val="32"/>
          <w:szCs w:val="32"/>
          <w:lang w:val="en-US" w:eastAsia="zh-CN"/>
        </w:rPr>
        <w:t>20</w:t>
      </w:r>
      <w:r>
        <w:rPr>
          <w:rStyle w:val="16"/>
          <w:rFonts w:hint="eastAsia" w:ascii="Times New Roman" w:hAnsi="Times New Roman" w:eastAsia="仿宋" w:cs="Times New Roman"/>
          <w:b w:val="0"/>
          <w:bCs/>
          <w:color w:val="000000"/>
          <w:sz w:val="32"/>
          <w:szCs w:val="32"/>
          <w:lang w:val="en-US" w:eastAsia="zh-CN"/>
        </w:rPr>
        <w:t>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4.06</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Times New Roman" w:hAnsi="Times New Roman" w:eastAsia="仿宋" w:cs="Times New Roman"/>
          <w:b w:val="0"/>
          <w:bCs/>
          <w:color w:val="000000"/>
          <w:sz w:val="32"/>
          <w:szCs w:val="32"/>
          <w:lang w:val="en-US" w:eastAsia="zh-CN"/>
        </w:rPr>
        <w:t>公务用车购置及运行维护费支出决算</w:t>
      </w:r>
      <w:r>
        <w:rPr>
          <w:rStyle w:val="16"/>
          <w:rFonts w:hint="eastAsia" w:eastAsia="仿宋" w:cs="Times New Roman"/>
          <w:b w:val="0"/>
          <w:bCs/>
          <w:color w:val="000000"/>
          <w:sz w:val="32"/>
          <w:szCs w:val="32"/>
          <w:lang w:val="en-US" w:eastAsia="zh-CN"/>
        </w:rPr>
        <w:t>较</w:t>
      </w:r>
      <w:r>
        <w:rPr>
          <w:rStyle w:val="16"/>
          <w:rFonts w:hint="eastAsia" w:ascii="Times New Roman" w:hAnsi="Times New Roman" w:eastAsia="仿宋" w:cs="Times New Roman"/>
          <w:b w:val="0"/>
          <w:bCs/>
          <w:color w:val="000000"/>
          <w:sz w:val="32"/>
          <w:szCs w:val="32"/>
          <w:lang w:val="en-US" w:eastAsia="zh-CN"/>
        </w:rPr>
        <w:t>20</w:t>
      </w:r>
      <w:r>
        <w:rPr>
          <w:rStyle w:val="16"/>
          <w:rFonts w:hint="eastAsia" w:eastAsia="仿宋" w:cs="Times New Roman"/>
          <w:b w:val="0"/>
          <w:bCs/>
          <w:color w:val="000000"/>
          <w:sz w:val="32"/>
          <w:szCs w:val="32"/>
          <w:lang w:val="en-US" w:eastAsia="zh-CN"/>
        </w:rPr>
        <w:t>20</w:t>
      </w:r>
      <w:r>
        <w:rPr>
          <w:rStyle w:val="16"/>
          <w:rFonts w:hint="eastAsia" w:ascii="Times New Roman" w:hAnsi="Times New Roman" w:eastAsia="仿宋" w:cs="Times New Roman"/>
          <w:b w:val="0"/>
          <w:bCs/>
          <w:color w:val="000000"/>
          <w:sz w:val="32"/>
          <w:szCs w:val="32"/>
          <w:lang w:val="en-US" w:eastAsia="zh-CN"/>
        </w:rPr>
        <w:t>年</w:t>
      </w:r>
      <w:r>
        <w:rPr>
          <w:rStyle w:val="16"/>
          <w:rFonts w:hint="eastAsia" w:eastAsia="仿宋" w:cs="Times New Roman"/>
          <w:b w:val="0"/>
          <w:bCs/>
          <w:color w:val="000000"/>
          <w:sz w:val="32"/>
          <w:szCs w:val="32"/>
          <w:lang w:val="en-US" w:eastAsia="zh-CN"/>
        </w:rPr>
        <w:t>增长4.06万元</w:t>
      </w:r>
      <w:r>
        <w:rPr>
          <w:rStyle w:val="16"/>
          <w:rFonts w:hint="eastAsia" w:ascii="Times New Roman" w:hAnsi="Times New Roman" w:eastAsia="仿宋" w:cs="Times New Roman"/>
          <w:b w:val="0"/>
          <w:bCs/>
          <w:color w:val="000000"/>
          <w:sz w:val="32"/>
          <w:szCs w:val="32"/>
          <w:lang w:val="en-US" w:eastAsia="zh-CN"/>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4.06</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0.03</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Fonts w:hint="eastAsia" w:eastAsia="仿宋" w:cs="Times New Roman"/>
          <w:sz w:val="32"/>
          <w:szCs w:val="32"/>
          <w:lang w:val="en-US" w:eastAsia="zh-CN"/>
        </w:rPr>
        <w:t>0.73</w:t>
      </w:r>
      <w:r>
        <w:rPr>
          <w:rFonts w:hint="default" w:ascii="Times New Roman" w:hAnsi="Times New Roman" w:eastAsia="仿宋" w:cs="Times New Roman"/>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减少0.18</w:t>
      </w:r>
      <w:r>
        <w:rPr>
          <w:rFonts w:hint="eastAsia" w:ascii="仿宋_GB2312" w:eastAsia="仿宋_GB2312"/>
          <w:sz w:val="32"/>
          <w:szCs w:val="32"/>
        </w:rPr>
        <w:t>万元。主要原因是</w:t>
      </w:r>
      <w:r>
        <w:rPr>
          <w:rFonts w:hint="default" w:ascii="Times New Roman" w:hAnsi="Times New Roman" w:eastAsia="仿宋" w:cs="Times New Roman"/>
          <w:color w:val="000000"/>
          <w:sz w:val="32"/>
          <w:szCs w:val="32"/>
          <w:lang w:val="en-US" w:eastAsia="zh-CN"/>
        </w:rPr>
        <w:t>2021年</w:t>
      </w:r>
      <w:r>
        <w:rPr>
          <w:rFonts w:hint="default" w:ascii="Times New Roman" w:hAnsi="Times New Roman" w:eastAsia="仿宋" w:cs="Times New Roman"/>
          <w:color w:val="000000"/>
          <w:sz w:val="32"/>
          <w:szCs w:val="32"/>
        </w:rPr>
        <w:t>接待批次为</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批，</w:t>
      </w:r>
      <w:r>
        <w:rPr>
          <w:rFonts w:hint="eastAsia" w:ascii="仿宋_GB2312" w:eastAsia="仿宋_GB2312"/>
          <w:sz w:val="32"/>
          <w:szCs w:val="32"/>
          <w:lang w:val="en-US" w:eastAsia="zh-CN"/>
        </w:rPr>
        <w:t>2020年接待批次为4批</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default" w:ascii="Times New Roman" w:hAnsi="Times New Roman" w:eastAsia="仿宋_GB2312" w:cs="Times New Roman"/>
          <w:color w:val="FF0000"/>
          <w:sz w:val="32"/>
          <w:szCs w:val="32"/>
        </w:rPr>
      </w:pPr>
      <w:r>
        <w:rPr>
          <w:rFonts w:hint="eastAsia" w:ascii="仿宋" w:hAnsi="仿宋" w:eastAsia="仿宋"/>
          <w:b/>
          <w:sz w:val="32"/>
          <w:szCs w:val="32"/>
        </w:rPr>
        <w:t>国内公务接待支出</w:t>
      </w:r>
      <w:r>
        <w:rPr>
          <w:rFonts w:hint="default" w:ascii="Times New Roman" w:hAnsi="Times New Roman" w:eastAsia="仿宋" w:cs="Times New Roman"/>
          <w:sz w:val="32"/>
          <w:szCs w:val="32"/>
          <w:lang w:val="en-US" w:eastAsia="zh-CN"/>
        </w:rPr>
        <w:t>0.0</w:t>
      </w:r>
      <w:r>
        <w:rPr>
          <w:rFonts w:hint="eastAsia" w:eastAsia="仿宋" w:cs="Times New Roman"/>
          <w:sz w:val="32"/>
          <w:szCs w:val="32"/>
          <w:lang w:val="en-US" w:eastAsia="zh-CN"/>
        </w:rPr>
        <w:t>3</w:t>
      </w:r>
      <w:r>
        <w:rPr>
          <w:rFonts w:hint="default" w:ascii="Times New Roman" w:hAnsi="Times New Roman" w:eastAsia="仿宋_GB2312" w:cs="Times New Roman"/>
          <w:sz w:val="32"/>
          <w:szCs w:val="32"/>
        </w:rPr>
        <w:t>万元，主要用于执行公务开展业务活动开支的用餐费。国内公务接待</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批次，</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0.0</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万元，具体内容包括：</w:t>
      </w:r>
      <w:r>
        <w:rPr>
          <w:rFonts w:hint="default" w:ascii="Times New Roman" w:hAnsi="Times New Roman" w:eastAsia="仿宋" w:cs="Times New Roman"/>
          <w:color w:val="000000"/>
          <w:sz w:val="32"/>
          <w:szCs w:val="32"/>
          <w:lang w:val="en-US" w:eastAsia="zh-CN"/>
        </w:rPr>
        <w:t>2021年</w:t>
      </w:r>
      <w:r>
        <w:rPr>
          <w:rFonts w:hint="default" w:ascii="Times New Roman" w:hAnsi="Times New Roman" w:eastAsia="仿宋" w:cs="Times New Roman"/>
          <w:color w:val="000000"/>
          <w:sz w:val="32"/>
          <w:szCs w:val="32"/>
        </w:rPr>
        <w:t>接待批次为</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批，接待人数为</w:t>
      </w:r>
      <w:r>
        <w:rPr>
          <w:rFonts w:hint="eastAsia" w:eastAsia="仿宋" w:cs="Times New Roman"/>
          <w:color w:val="000000"/>
          <w:sz w:val="32"/>
          <w:szCs w:val="32"/>
          <w:lang w:val="en-US" w:eastAsia="zh-CN"/>
        </w:rPr>
        <w:t>8</w:t>
      </w:r>
      <w:r>
        <w:rPr>
          <w:rFonts w:hint="default" w:ascii="Times New Roman" w:hAnsi="Times New Roman" w:eastAsia="仿宋" w:cs="Times New Roman"/>
          <w:color w:val="000000"/>
          <w:sz w:val="32"/>
          <w:szCs w:val="32"/>
        </w:rPr>
        <w:t>人,接待事由</w:t>
      </w:r>
      <w:r>
        <w:rPr>
          <w:rFonts w:hint="eastAsia" w:eastAsia="仿宋" w:cs="Times New Roman"/>
          <w:color w:val="000000"/>
          <w:sz w:val="32"/>
          <w:szCs w:val="32"/>
          <w:lang w:val="en-US" w:eastAsia="zh-CN"/>
        </w:rPr>
        <w:t>是由省疾控带头，省疾控、市疾控到我县开展监测工作</w:t>
      </w:r>
      <w:r>
        <w:rPr>
          <w:rFonts w:hint="default" w:ascii="Times New Roman" w:hAnsi="Times New Roman" w:eastAsia="仿宋" w:cs="Times New Roman"/>
          <w:color w:val="000000"/>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2" w:name="_Toc15396610"/>
      <w:bookmarkStart w:id="43" w:name="_Toc15377218"/>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4" w:name="_Toc15377219"/>
      <w:bookmarkStart w:id="45" w:name="_Toc15396611"/>
      <w:r>
        <w:rPr>
          <w:rStyle w:val="27"/>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6" w:name="_Toc15377221"/>
      <w:bookmarkStart w:id="47" w:name="_Toc15396612"/>
      <w:r>
        <w:rPr>
          <w:rStyle w:val="27"/>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hint="default" w:ascii="仿宋_GB2312" w:eastAsia="仿宋_GB2312"/>
          <w:sz w:val="32"/>
          <w:szCs w:val="32"/>
          <w:highlight w:val="none"/>
          <w:lang w:val="en-US" w:eastAsia="zh-CN"/>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疾病预防控制中心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ascii="仿宋_GB2312" w:eastAsia="仿宋_GB2312"/>
          <w:sz w:val="32"/>
          <w:szCs w:val="32"/>
          <w:highlight w:val="none"/>
        </w:rPr>
        <w:t>20</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年持平</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49" w:name="_Toc15377223"/>
      <w:r>
        <w:rPr>
          <w:rFonts w:hint="eastAsia" w:ascii="仿宋" w:hAnsi="仿宋" w:eastAsia="仿宋"/>
          <w:b/>
          <w:sz w:val="32"/>
          <w:szCs w:val="32"/>
          <w:highlight w:val="none"/>
        </w:rPr>
        <w:t>（二）政府采购支出情况</w:t>
      </w:r>
      <w:bookmarkEnd w:id="49"/>
    </w:p>
    <w:p>
      <w:pPr>
        <w:spacing w:line="360" w:lineRule="auto"/>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21年，</w:t>
      </w:r>
      <w:r>
        <w:rPr>
          <w:rFonts w:hint="eastAsia" w:ascii="仿宋_GB2312" w:eastAsia="仿宋_GB2312"/>
          <w:sz w:val="32"/>
          <w:szCs w:val="32"/>
          <w:highlight w:val="none"/>
          <w:lang w:val="en-US" w:eastAsia="zh-CN"/>
        </w:rPr>
        <w:t>盐边县</w:t>
      </w:r>
      <w:r>
        <w:rPr>
          <w:rStyle w:val="16"/>
          <w:rFonts w:hint="eastAsia" w:eastAsia="仿宋" w:cs="Times New Roman"/>
          <w:b w:val="0"/>
          <w:bCs/>
          <w:color w:val="000000"/>
          <w:sz w:val="32"/>
          <w:szCs w:val="32"/>
          <w:highlight w:val="none"/>
          <w:lang w:val="en-US" w:eastAsia="zh-CN"/>
        </w:rPr>
        <w:t>疾病预防控制中心</w:t>
      </w:r>
      <w:r>
        <w:rPr>
          <w:rFonts w:hint="eastAsia" w:ascii="仿宋_GB2312" w:eastAsia="仿宋_GB2312"/>
          <w:sz w:val="32"/>
          <w:szCs w:val="32"/>
          <w:highlight w:val="none"/>
        </w:rPr>
        <w:t>政府采购支出总额</w:t>
      </w:r>
      <w:r>
        <w:rPr>
          <w:rFonts w:hint="eastAsia" w:ascii="仿宋_GB2312" w:eastAsia="仿宋_GB2312"/>
          <w:sz w:val="32"/>
          <w:szCs w:val="32"/>
          <w:highlight w:val="none"/>
          <w:lang w:val="en-US" w:eastAsia="zh-CN"/>
        </w:rPr>
        <w:t>255.36</w:t>
      </w:r>
      <w:r>
        <w:rPr>
          <w:rFonts w:hint="eastAsia" w:ascii="仿宋_GB2312" w:eastAsia="仿宋_GB2312"/>
          <w:sz w:val="32"/>
          <w:szCs w:val="32"/>
          <w:highlight w:val="none"/>
        </w:rPr>
        <w:t>万元，其中：政府采购货物支出</w:t>
      </w:r>
      <w:r>
        <w:rPr>
          <w:rFonts w:hint="eastAsia" w:ascii="仿宋_GB2312" w:eastAsia="仿宋_GB2312"/>
          <w:sz w:val="32"/>
          <w:szCs w:val="32"/>
          <w:highlight w:val="none"/>
          <w:lang w:val="en-US" w:eastAsia="zh-CN"/>
        </w:rPr>
        <w:t>255.36</w:t>
      </w:r>
      <w:r>
        <w:rPr>
          <w:rFonts w:hint="eastAsia" w:ascii="仿宋_GB2312" w:eastAsia="仿宋_GB2312"/>
          <w:sz w:val="32"/>
          <w:szCs w:val="32"/>
          <w:highlight w:val="none"/>
        </w:rPr>
        <w:t>万元、政府采购工程支出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万元、政府采购服务支出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万元。主要用于疫苗冷链运输及储存，实验室</w:t>
      </w:r>
      <w:r>
        <w:rPr>
          <w:rFonts w:hint="eastAsia" w:ascii="仿宋_GB2312" w:eastAsia="仿宋_GB2312"/>
          <w:sz w:val="32"/>
          <w:szCs w:val="32"/>
          <w:highlight w:val="none"/>
          <w:lang w:val="en-US" w:eastAsia="zh-CN"/>
        </w:rPr>
        <w:t>新冠检测、</w:t>
      </w:r>
      <w:r>
        <w:rPr>
          <w:rFonts w:hint="eastAsia" w:ascii="仿宋_GB2312" w:eastAsia="仿宋_GB2312"/>
          <w:sz w:val="32"/>
          <w:szCs w:val="32"/>
          <w:highlight w:val="none"/>
        </w:rPr>
        <w:t>艾滋病检测、结核病检测</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实验室信息系统建设</w:t>
      </w:r>
      <w:r>
        <w:rPr>
          <w:rFonts w:hint="eastAsia" w:ascii="仿宋_GB2312" w:eastAsia="仿宋_GB2312"/>
          <w:sz w:val="32"/>
          <w:szCs w:val="32"/>
          <w:highlight w:val="none"/>
        </w:rPr>
        <w:t>。授予中小企业合同金额</w:t>
      </w:r>
      <w:r>
        <w:rPr>
          <w:rFonts w:hint="eastAsia" w:ascii="仿宋_GB2312" w:eastAsia="仿宋_GB2312"/>
          <w:sz w:val="32"/>
          <w:szCs w:val="32"/>
          <w:highlight w:val="none"/>
          <w:lang w:val="en-US" w:eastAsia="zh-CN"/>
        </w:rPr>
        <w:t>255.36</w:t>
      </w:r>
      <w:r>
        <w:rPr>
          <w:rFonts w:hint="eastAsia" w:ascii="仿宋_GB2312" w:eastAsia="仿宋_GB2312"/>
          <w:sz w:val="32"/>
          <w:szCs w:val="32"/>
          <w:highlight w:val="none"/>
        </w:rPr>
        <w:t>万元，占政府采购支出总额的100</w:t>
      </w:r>
      <w:r>
        <w:rPr>
          <w:rFonts w:ascii="仿宋_GB2312" w:eastAsia="仿宋_GB2312"/>
          <w:sz w:val="32"/>
          <w:szCs w:val="32"/>
          <w:highlight w:val="none"/>
        </w:rPr>
        <w:t>%</w:t>
      </w:r>
      <w:r>
        <w:rPr>
          <w:rFonts w:hint="eastAsia" w:ascii="仿宋_GB2312" w:eastAsia="仿宋_GB2312"/>
          <w:sz w:val="32"/>
          <w:szCs w:val="32"/>
          <w:highlight w:val="none"/>
        </w:rPr>
        <w:t>，其中：授予小微企业合同金额0万元。</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50" w:name="_Toc15377224"/>
      <w:r>
        <w:rPr>
          <w:rFonts w:hint="eastAsia" w:ascii="仿宋" w:hAnsi="仿宋" w:eastAsia="仿宋"/>
          <w:b/>
          <w:sz w:val="32"/>
          <w:szCs w:val="32"/>
          <w:highlight w:val="none"/>
        </w:rPr>
        <w:t>（三）国有资产占有使用情况</w:t>
      </w:r>
      <w:bookmarkEnd w:id="50"/>
    </w:p>
    <w:p>
      <w:pPr>
        <w:autoSpaceDE w:val="0"/>
        <w:autoSpaceDN w:val="0"/>
        <w:adjustRightInd w:val="0"/>
        <w:spacing w:line="360" w:lineRule="auto"/>
        <w:ind w:firstLine="640" w:firstLineChars="200"/>
        <w:jc w:val="left"/>
        <w:rPr>
          <w:rFonts w:ascii="仿宋" w:hAnsi="仿宋" w:eastAsia="仿宋"/>
          <w:b/>
          <w:sz w:val="32"/>
          <w:szCs w:val="32"/>
          <w:highlight w:val="none"/>
        </w:rPr>
      </w:pPr>
      <w:r>
        <w:rPr>
          <w:rFonts w:hint="eastAsia" w:ascii="仿宋_GB2312" w:eastAsia="仿宋_GB2312"/>
          <w:sz w:val="32"/>
          <w:szCs w:val="32"/>
          <w:highlight w:val="none"/>
        </w:rPr>
        <w:t>截至</w:t>
      </w:r>
      <w:r>
        <w:rPr>
          <w:rFonts w:ascii="仿宋_GB2312" w:eastAsia="仿宋_GB2312"/>
          <w:sz w:val="32"/>
          <w:szCs w:val="32"/>
          <w:highlight w:val="none"/>
        </w:rPr>
        <w:t>20</w:t>
      </w:r>
      <w:r>
        <w:rPr>
          <w:rFonts w:hint="eastAsia" w:ascii="仿宋_GB2312" w:eastAsia="仿宋_GB2312"/>
          <w:sz w:val="32"/>
          <w:szCs w:val="32"/>
          <w:highlight w:val="none"/>
        </w:rPr>
        <w:t>21年</w:t>
      </w:r>
      <w:r>
        <w:rPr>
          <w:rFonts w:ascii="仿宋_GB2312" w:eastAsia="仿宋_GB2312"/>
          <w:sz w:val="32"/>
          <w:szCs w:val="32"/>
          <w:highlight w:val="none"/>
        </w:rPr>
        <w:t>12</w:t>
      </w:r>
      <w:r>
        <w:rPr>
          <w:rFonts w:hint="eastAsia" w:ascii="仿宋_GB2312" w:eastAsia="仿宋_GB2312"/>
          <w:sz w:val="32"/>
          <w:szCs w:val="32"/>
          <w:highlight w:val="none"/>
        </w:rPr>
        <w:t>月</w:t>
      </w:r>
      <w:r>
        <w:rPr>
          <w:rFonts w:ascii="仿宋_GB2312" w:eastAsia="仿宋_GB2312"/>
          <w:sz w:val="32"/>
          <w:szCs w:val="32"/>
          <w:highlight w:val="none"/>
        </w:rPr>
        <w:t>31</w:t>
      </w:r>
      <w:r>
        <w:rPr>
          <w:rFonts w:hint="eastAsia" w:ascii="仿宋_GB2312" w:eastAsia="仿宋_GB2312"/>
          <w:sz w:val="32"/>
          <w:szCs w:val="32"/>
          <w:highlight w:val="none"/>
        </w:rPr>
        <w:t>日，，盐边县疾病预防控制中心共有车辆4辆，其中：主要领导干部用车0辆、机要通信用车0辆、应急保障用车0辆、特种专业技术用车2辆、其他用车2辆，其他用车主要是用于突发公共卫生事件的应急处理，单价</w:t>
      </w:r>
      <w:r>
        <w:rPr>
          <w:rFonts w:ascii="仿宋_GB2312" w:eastAsia="仿宋_GB2312"/>
          <w:sz w:val="32"/>
          <w:szCs w:val="32"/>
          <w:highlight w:val="none"/>
        </w:rPr>
        <w:t>50</w:t>
      </w:r>
      <w:r>
        <w:rPr>
          <w:rFonts w:hint="eastAsia" w:ascii="仿宋_GB2312" w:eastAsia="仿宋_GB2312"/>
          <w:sz w:val="32"/>
          <w:szCs w:val="32"/>
          <w:highlight w:val="none"/>
        </w:rPr>
        <w:t>万元以上通用设备0台（套），单价</w:t>
      </w:r>
      <w:r>
        <w:rPr>
          <w:rFonts w:ascii="仿宋_GB2312" w:eastAsia="仿宋_GB2312"/>
          <w:sz w:val="32"/>
          <w:szCs w:val="32"/>
          <w:highlight w:val="none"/>
        </w:rPr>
        <w:t>100</w:t>
      </w:r>
      <w:r>
        <w:rPr>
          <w:rFonts w:hint="eastAsia" w:ascii="仿宋_GB2312" w:eastAsia="仿宋_GB2312"/>
          <w:sz w:val="32"/>
          <w:szCs w:val="32"/>
          <w:highlight w:val="none"/>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根据预算绩效管理要求，本单位在2021年度预算编制阶段，组织对</w:t>
      </w:r>
      <w:r>
        <w:rPr>
          <w:rFonts w:hint="eastAsia" w:ascii="仿宋_GB2312" w:hAnsi="仿宋_GB2312" w:eastAsia="仿宋_GB2312" w:cs="仿宋_GB2312"/>
          <w:sz w:val="32"/>
          <w:szCs w:val="32"/>
          <w:highlight w:val="none"/>
          <w:lang w:val="en-US" w:eastAsia="zh-CN"/>
        </w:rPr>
        <w:t>疾病预防控制机构能力提升1</w:t>
      </w:r>
      <w:r>
        <w:rPr>
          <w:rFonts w:hint="eastAsia" w:ascii="仿宋_GB2312" w:hAnsi="仿宋_GB2312" w:eastAsia="仿宋_GB2312" w:cs="仿宋_GB2312"/>
          <w:sz w:val="32"/>
          <w:szCs w:val="32"/>
          <w:highlight w:val="none"/>
        </w:rPr>
        <w:t>个项目开展了预算事前绩效评估，对</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个项目开展了绩效自评，2021年特定目标类部门预算项目绩效目标自评表见附件（第四部分）。</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6"/>
          <w:rFonts w:hint="eastAsia" w:ascii="黑体" w:hAnsi="黑体" w:eastAsia="黑体"/>
          <w:b w:val="0"/>
        </w:rPr>
        <w:t>词解释</w:t>
      </w:r>
      <w:bookmarkEnd w:id="51"/>
      <w:bookmarkEnd w:id="52"/>
    </w:p>
    <w:p>
      <w:pPr>
        <w:spacing w:line="600" w:lineRule="exact"/>
        <w:jc w:val="left"/>
        <w:rPr>
          <w:rFonts w:ascii="宋体"/>
          <w:b/>
          <w:sz w:val="44"/>
          <w:szCs w:val="44"/>
        </w:rPr>
      </w:pPr>
    </w:p>
    <w:p>
      <w:pPr>
        <w:spacing w:line="560" w:lineRule="exact"/>
        <w:ind w:firstLine="643" w:firstLineChars="200"/>
        <w:rPr>
          <w:rFonts w:eastAsia="仿宋_GB2312"/>
          <w:sz w:val="32"/>
          <w:szCs w:val="32"/>
        </w:rPr>
      </w:pPr>
      <w:r>
        <w:rPr>
          <w:rFonts w:eastAsia="仿宋_GB2312"/>
          <w:b/>
          <w:sz w:val="32"/>
          <w:szCs w:val="32"/>
        </w:rPr>
        <w:t>1.财政拨款收入：</w:t>
      </w:r>
      <w:r>
        <w:rPr>
          <w:rFonts w:eastAsia="仿宋_GB2312"/>
          <w:sz w:val="32"/>
          <w:szCs w:val="32"/>
        </w:rPr>
        <w:t>指单位从同级财政部门取得的财政预算资金。</w:t>
      </w:r>
    </w:p>
    <w:p>
      <w:pPr>
        <w:spacing w:line="560" w:lineRule="exact"/>
        <w:ind w:firstLine="643" w:firstLineChars="200"/>
        <w:rPr>
          <w:rFonts w:eastAsia="仿宋_GB2312"/>
          <w:sz w:val="32"/>
          <w:szCs w:val="32"/>
        </w:rPr>
      </w:pPr>
      <w:r>
        <w:rPr>
          <w:rFonts w:hint="eastAsia" w:eastAsia="仿宋_GB2312"/>
          <w:b/>
          <w:sz w:val="32"/>
          <w:szCs w:val="32"/>
          <w:lang w:val="en-US" w:eastAsia="zh-CN"/>
        </w:rPr>
        <w:t>2</w:t>
      </w:r>
      <w:r>
        <w:rPr>
          <w:rFonts w:eastAsia="仿宋_GB2312"/>
          <w:b/>
          <w:sz w:val="32"/>
          <w:szCs w:val="32"/>
        </w:rPr>
        <w:t>.年初结转和结余：</w:t>
      </w:r>
      <w:r>
        <w:rPr>
          <w:rFonts w:eastAsia="仿宋_GB2312"/>
          <w:sz w:val="32"/>
          <w:szCs w:val="32"/>
        </w:rPr>
        <w:t xml:space="preserve">指以前年度尚未完成、结转到本年按有关规定继续使用的资金。 </w:t>
      </w:r>
    </w:p>
    <w:p>
      <w:pPr>
        <w:ind w:firstLine="643" w:firstLineChars="200"/>
        <w:rPr>
          <w:rFonts w:ascii="仿宋_GB2312" w:eastAsia="仿宋_GB2312"/>
          <w:color w:val="auto"/>
          <w:sz w:val="32"/>
          <w:szCs w:val="32"/>
        </w:rPr>
      </w:pPr>
      <w:r>
        <w:rPr>
          <w:rFonts w:hint="eastAsia" w:eastAsia="仿宋_GB2312" w:cs="Times New Roman"/>
          <w:b/>
          <w:color w:val="auto"/>
          <w:sz w:val="32"/>
          <w:szCs w:val="32"/>
          <w:lang w:val="en-US" w:eastAsia="zh-CN"/>
        </w:rPr>
        <w:t>3</w:t>
      </w:r>
      <w:r>
        <w:rPr>
          <w:rFonts w:eastAsia="仿宋_GB2312" w:cs="Times New Roman"/>
          <w:b/>
          <w:color w:val="auto"/>
          <w:sz w:val="32"/>
          <w:szCs w:val="32"/>
        </w:rPr>
        <w:t>.</w:t>
      </w:r>
      <w:r>
        <w:rPr>
          <w:rFonts w:hint="eastAsia" w:eastAsia="仿宋_GB2312" w:cs="Times New Roman"/>
          <w:b/>
          <w:color w:val="auto"/>
          <w:sz w:val="32"/>
          <w:szCs w:val="32"/>
        </w:rPr>
        <w:t>社会保障和就业</w:t>
      </w:r>
      <w:r>
        <w:rPr>
          <w:rFonts w:hint="eastAsia" w:eastAsia="仿宋_GB2312" w:cs="Times New Roman"/>
          <w:b/>
          <w:color w:val="auto"/>
          <w:sz w:val="32"/>
          <w:szCs w:val="32"/>
          <w:lang w:eastAsia="zh-CN"/>
        </w:rPr>
        <w:t>支出</w:t>
      </w:r>
      <w:r>
        <w:rPr>
          <w:rFonts w:hint="eastAsia" w:eastAsia="仿宋_GB2312" w:cs="Times New Roman"/>
          <w:b/>
          <w:color w:val="auto"/>
          <w:sz w:val="32"/>
          <w:szCs w:val="32"/>
        </w:rPr>
        <w:t>（类）</w:t>
      </w:r>
      <w:r>
        <w:rPr>
          <w:rFonts w:hint="eastAsia" w:eastAsia="仿宋_GB2312" w:cs="Times New Roman"/>
          <w:b/>
          <w:color w:val="auto"/>
          <w:sz w:val="32"/>
          <w:szCs w:val="32"/>
          <w:lang w:eastAsia="zh-CN"/>
        </w:rPr>
        <w:t>行政事业单位养老支出</w:t>
      </w:r>
      <w:r>
        <w:rPr>
          <w:rFonts w:hint="eastAsia" w:eastAsia="仿宋_GB2312" w:cs="Times New Roman"/>
          <w:b/>
          <w:color w:val="auto"/>
          <w:sz w:val="32"/>
          <w:szCs w:val="32"/>
        </w:rPr>
        <w:t>（款）</w:t>
      </w:r>
      <w:r>
        <w:rPr>
          <w:rFonts w:hint="eastAsia" w:eastAsia="仿宋_GB2312" w:cs="Times New Roman"/>
          <w:b/>
          <w:color w:val="auto"/>
          <w:sz w:val="32"/>
          <w:szCs w:val="32"/>
          <w:lang w:eastAsia="zh-CN"/>
        </w:rPr>
        <w:t>行政单位离退休</w:t>
      </w:r>
      <w:r>
        <w:rPr>
          <w:rFonts w:hint="eastAsia" w:eastAsia="仿宋_GB2312" w:cs="Times New Roman"/>
          <w:b/>
          <w:color w:val="auto"/>
          <w:sz w:val="32"/>
          <w:szCs w:val="32"/>
        </w:rPr>
        <w:t>（项）：</w:t>
      </w:r>
      <w:r>
        <w:rPr>
          <w:rFonts w:hint="eastAsia" w:ascii="仿宋_GB2312" w:eastAsia="仿宋_GB2312"/>
          <w:color w:val="auto"/>
          <w:sz w:val="32"/>
          <w:szCs w:val="32"/>
        </w:rPr>
        <w:t>指</w:t>
      </w:r>
      <w:r>
        <w:rPr>
          <w:rFonts w:hint="eastAsia" w:ascii="仿宋_GB2312" w:eastAsia="仿宋_GB2312"/>
          <w:color w:val="auto"/>
          <w:sz w:val="32"/>
          <w:szCs w:val="32"/>
          <w:lang w:val="en-US" w:eastAsia="zh-CN"/>
        </w:rPr>
        <w:t>反映行政单位（包括实行公务员管理的事业单位）开支的离退休经费</w:t>
      </w:r>
      <w:r>
        <w:rPr>
          <w:rFonts w:hint="eastAsia" w:ascii="仿宋_GB2312" w:eastAsia="仿宋_GB2312"/>
          <w:color w:val="auto"/>
          <w:sz w:val="32"/>
          <w:szCs w:val="32"/>
        </w:rPr>
        <w:t>。</w:t>
      </w:r>
    </w:p>
    <w:p>
      <w:pPr>
        <w:ind w:firstLine="643" w:firstLineChars="200"/>
        <w:rPr>
          <w:rFonts w:ascii="仿宋_GB2312" w:eastAsia="仿宋_GB2312"/>
          <w:color w:val="000000"/>
          <w:sz w:val="32"/>
          <w:szCs w:val="32"/>
        </w:rPr>
      </w:pPr>
      <w:r>
        <w:rPr>
          <w:rFonts w:hint="eastAsia" w:eastAsia="仿宋_GB2312" w:cs="Times New Roman"/>
          <w:b/>
          <w:sz w:val="32"/>
          <w:szCs w:val="32"/>
          <w:lang w:val="en-US" w:eastAsia="zh-CN"/>
        </w:rPr>
        <w:t>4</w:t>
      </w:r>
      <w:r>
        <w:rPr>
          <w:rFonts w:eastAsia="仿宋_GB2312" w:cs="Times New Roman"/>
          <w:b/>
          <w:sz w:val="32"/>
          <w:szCs w:val="32"/>
        </w:rPr>
        <w:t>.</w:t>
      </w:r>
      <w:r>
        <w:rPr>
          <w:rFonts w:hint="eastAsia" w:eastAsia="仿宋_GB2312" w:cs="Times New Roman"/>
          <w:b/>
          <w:sz w:val="32"/>
          <w:szCs w:val="32"/>
        </w:rPr>
        <w:t>社会保障和就业</w:t>
      </w:r>
      <w:r>
        <w:rPr>
          <w:rFonts w:hint="eastAsia" w:eastAsia="仿宋_GB2312" w:cs="Times New Roman"/>
          <w:b/>
          <w:sz w:val="32"/>
          <w:szCs w:val="32"/>
          <w:lang w:eastAsia="zh-CN"/>
        </w:rPr>
        <w:t>支出</w:t>
      </w:r>
      <w:r>
        <w:rPr>
          <w:rFonts w:hint="eastAsia" w:eastAsia="仿宋_GB2312" w:cs="Times New Roman"/>
          <w:b/>
          <w:sz w:val="32"/>
          <w:szCs w:val="32"/>
        </w:rPr>
        <w:t>（类）</w:t>
      </w:r>
      <w:r>
        <w:rPr>
          <w:rFonts w:hint="eastAsia" w:eastAsia="仿宋_GB2312" w:cs="Times New Roman"/>
          <w:b/>
          <w:sz w:val="32"/>
          <w:szCs w:val="32"/>
          <w:lang w:eastAsia="zh-CN"/>
        </w:rPr>
        <w:t>行政事业单位养老支出</w:t>
      </w:r>
      <w:r>
        <w:rPr>
          <w:rFonts w:hint="eastAsia" w:eastAsia="仿宋_GB2312" w:cs="Times New Roman"/>
          <w:b/>
          <w:sz w:val="32"/>
          <w:szCs w:val="32"/>
        </w:rPr>
        <w:t>（款）</w:t>
      </w:r>
      <w:r>
        <w:rPr>
          <w:rFonts w:hint="eastAsia" w:eastAsia="仿宋_GB2312" w:cs="Times New Roman"/>
          <w:b/>
          <w:sz w:val="32"/>
          <w:szCs w:val="32"/>
          <w:lang w:eastAsia="zh-CN"/>
        </w:rPr>
        <w:t>机关事业单位基本养老保险缴费支出</w:t>
      </w:r>
      <w:r>
        <w:rPr>
          <w:rFonts w:hint="eastAsia" w:eastAsia="仿宋_GB2312" w:cs="Times New Roman"/>
          <w:b/>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反映机关事业单位实施养老保险制度由单位缴纳的基本养老保险支出</w:t>
      </w:r>
      <w:r>
        <w:rPr>
          <w:rFonts w:hint="eastAsia" w:ascii="仿宋_GB2312" w:eastAsia="仿宋_GB2312"/>
          <w:color w:val="000000"/>
          <w:sz w:val="32"/>
          <w:szCs w:val="32"/>
        </w:rPr>
        <w:t>。</w:t>
      </w:r>
    </w:p>
    <w:p>
      <w:pPr>
        <w:ind w:firstLine="643" w:firstLineChars="200"/>
        <w:rPr>
          <w:rFonts w:hint="eastAsia" w:ascii="仿宋_GB2312" w:hAnsi="仿宋_GB2312" w:eastAsia="仿宋_GB2312" w:cs="仿宋_GB2312"/>
          <w:sz w:val="32"/>
          <w:szCs w:val="32"/>
          <w:lang w:val="en-US" w:eastAsia="zh-CN"/>
        </w:rPr>
      </w:pPr>
      <w:r>
        <w:rPr>
          <w:rFonts w:hint="eastAsia" w:eastAsia="仿宋_GB2312" w:cs="Times New Roman"/>
          <w:b/>
          <w:sz w:val="32"/>
          <w:szCs w:val="32"/>
          <w:lang w:val="en-US" w:eastAsia="zh-CN"/>
        </w:rPr>
        <w:t>5.卫生健康支出（类）卫生健康管理事务（款）行政运行（项）：</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eastAsia="仿宋_GB2312" w:cs="Times New Roman"/>
          <w:b/>
          <w:sz w:val="32"/>
          <w:szCs w:val="32"/>
          <w:lang w:val="en-US" w:eastAsia="zh-CN"/>
        </w:rPr>
        <w:t>6</w:t>
      </w:r>
      <w:r>
        <w:rPr>
          <w:rFonts w:hint="eastAsia" w:eastAsia="仿宋_GB2312" w:cs="Times New Roman"/>
          <w:b/>
          <w:sz w:val="32"/>
          <w:szCs w:val="32"/>
        </w:rPr>
        <w:t>.</w:t>
      </w:r>
      <w:r>
        <w:rPr>
          <w:rFonts w:hint="eastAsia" w:eastAsia="仿宋_GB2312" w:cs="Times New Roman"/>
          <w:b/>
          <w:sz w:val="32"/>
          <w:szCs w:val="32"/>
          <w:lang w:val="en-US" w:eastAsia="zh-CN"/>
        </w:rPr>
        <w:t>卫生健康支出</w:t>
      </w:r>
      <w:r>
        <w:rPr>
          <w:rFonts w:hint="eastAsia" w:eastAsia="仿宋_GB2312" w:cs="Times New Roman"/>
          <w:b/>
          <w:sz w:val="32"/>
          <w:szCs w:val="32"/>
        </w:rPr>
        <w:t>（类）</w:t>
      </w:r>
      <w:r>
        <w:rPr>
          <w:rFonts w:hint="eastAsia" w:eastAsia="仿宋_GB2312" w:cs="Times New Roman"/>
          <w:b/>
          <w:sz w:val="32"/>
          <w:szCs w:val="32"/>
          <w:lang w:val="en-US" w:eastAsia="zh-CN"/>
        </w:rPr>
        <w:t>公共卫生</w:t>
      </w:r>
      <w:r>
        <w:rPr>
          <w:rFonts w:hint="eastAsia" w:eastAsia="仿宋_GB2312" w:cs="Times New Roman"/>
          <w:b/>
          <w:sz w:val="32"/>
          <w:szCs w:val="32"/>
        </w:rPr>
        <w:t>（款） 卫生监督机构（项）:</w:t>
      </w:r>
      <w:r>
        <w:rPr>
          <w:rFonts w:hint="eastAsia" w:eastAsia="仿宋_GB2312" w:cs="Times New Roman"/>
          <w:sz w:val="32"/>
          <w:szCs w:val="32"/>
          <w:lang w:val="en-US" w:eastAsia="zh-CN"/>
        </w:rPr>
        <w:t>反映卫生健康部门所属卫生监督机构的支出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eastAsia="仿宋_GB2312" w:cs="Times New Roman"/>
          <w:b/>
          <w:sz w:val="32"/>
          <w:szCs w:val="32"/>
          <w:lang w:val="en-US" w:eastAsia="zh-CN"/>
        </w:rPr>
        <w:t>7.卫生健康支出</w:t>
      </w:r>
      <w:r>
        <w:rPr>
          <w:rFonts w:hint="eastAsia" w:eastAsia="仿宋_GB2312" w:cs="Times New Roman"/>
          <w:b/>
          <w:sz w:val="32"/>
          <w:szCs w:val="32"/>
        </w:rPr>
        <w:t>（类）</w:t>
      </w:r>
      <w:r>
        <w:rPr>
          <w:rFonts w:hint="eastAsia" w:eastAsia="仿宋_GB2312" w:cs="Times New Roman"/>
          <w:b/>
          <w:sz w:val="32"/>
          <w:szCs w:val="32"/>
          <w:lang w:val="en-US" w:eastAsia="zh-CN"/>
        </w:rPr>
        <w:t>公共卫生</w:t>
      </w:r>
      <w:r>
        <w:rPr>
          <w:rFonts w:hint="eastAsia" w:eastAsia="仿宋_GB2312" w:cs="Times New Roman"/>
          <w:b/>
          <w:sz w:val="32"/>
          <w:szCs w:val="32"/>
        </w:rPr>
        <w:t>（款） 基本公共卫生服务（项）:</w:t>
      </w:r>
      <w:r>
        <w:rPr>
          <w:rFonts w:hint="eastAsia" w:ascii="仿宋_GB2312" w:hAnsi="仿宋_GB2312" w:eastAsia="仿宋_GB2312" w:cs="仿宋_GB2312"/>
          <w:sz w:val="32"/>
          <w:szCs w:val="32"/>
          <w:lang w:val="en-US" w:eastAsia="zh-CN"/>
        </w:rPr>
        <w:t>反映基本公共卫生服务支出。</w:t>
      </w:r>
    </w:p>
    <w:p>
      <w:pPr>
        <w:pStyle w:val="2"/>
        <w:rPr>
          <w:rFonts w:hint="default" w:ascii="Times New Roman" w:hAnsi="Times New Roman" w:eastAsia="仿宋_GB2312" w:cs="Times New Roman"/>
          <w:sz w:val="32"/>
          <w:szCs w:val="32"/>
          <w:lang w:val="en-US" w:eastAsia="zh-CN"/>
        </w:rPr>
      </w:pPr>
      <w:r>
        <w:rPr>
          <w:rFonts w:hint="eastAsia" w:hAnsi="仿宋_GB2312" w:cs="仿宋_GB2312"/>
          <w:sz w:val="32"/>
          <w:szCs w:val="32"/>
          <w:lang w:val="en-US" w:eastAsia="zh-CN"/>
        </w:rPr>
        <w:t xml:space="preserve">  </w:t>
      </w:r>
      <w:r>
        <w:rPr>
          <w:rFonts w:hint="eastAsia" w:eastAsia="仿宋_GB2312" w:cs="Times New Roman"/>
          <w:b/>
          <w:sz w:val="32"/>
          <w:szCs w:val="32"/>
          <w:lang w:val="en-US" w:eastAsia="zh-CN"/>
        </w:rPr>
        <w:t xml:space="preserve">  </w:t>
      </w:r>
      <w:r>
        <w:rPr>
          <w:rFonts w:hint="eastAsia" w:cs="Times New Roman"/>
          <w:b/>
          <w:sz w:val="32"/>
          <w:szCs w:val="32"/>
          <w:lang w:val="en-US" w:eastAsia="zh-CN"/>
        </w:rPr>
        <w:t>8</w:t>
      </w:r>
      <w:r>
        <w:rPr>
          <w:rFonts w:hint="eastAsia" w:eastAsia="仿宋_GB2312" w:cs="Times New Roman"/>
          <w:b/>
          <w:sz w:val="32"/>
          <w:szCs w:val="32"/>
          <w:lang w:val="en-US" w:eastAsia="zh-CN"/>
        </w:rPr>
        <w:t>.卫生健康支出</w:t>
      </w:r>
      <w:r>
        <w:rPr>
          <w:rFonts w:hint="eastAsia" w:eastAsia="仿宋_GB2312" w:cs="Times New Roman"/>
          <w:b/>
          <w:sz w:val="32"/>
          <w:szCs w:val="32"/>
        </w:rPr>
        <w:t>（类）</w:t>
      </w:r>
      <w:r>
        <w:rPr>
          <w:rFonts w:hint="eastAsia" w:eastAsia="仿宋_GB2312" w:cs="Times New Roman"/>
          <w:b/>
          <w:sz w:val="32"/>
          <w:szCs w:val="32"/>
          <w:lang w:val="en-US" w:eastAsia="zh-CN"/>
        </w:rPr>
        <w:t>行政事业单位医疗</w:t>
      </w:r>
      <w:r>
        <w:rPr>
          <w:rFonts w:hint="eastAsia" w:eastAsia="仿宋_GB2312" w:cs="Times New Roman"/>
          <w:b/>
          <w:sz w:val="32"/>
          <w:szCs w:val="32"/>
        </w:rPr>
        <w:t>（款） 行政单位医疗（项）:</w:t>
      </w:r>
      <w:r>
        <w:rPr>
          <w:rFonts w:hint="eastAsia" w:hAnsi="仿宋_GB2312" w:cs="仿宋_GB2312"/>
          <w:sz w:val="32"/>
          <w:szCs w:val="32"/>
          <w:lang w:val="en-US" w:eastAsia="zh-CN"/>
        </w:rPr>
        <w:t>反映财政部门安排的行政单位（包括实行公务员管理的事业单位）基本医疗保险缴费经费</w:t>
      </w:r>
      <w:r>
        <w:rPr>
          <w:rFonts w:hint="default" w:ascii="Times New Roman" w:hAnsi="Times New Roman" w:eastAsia="仿宋_GB2312" w:cs="Times New Roman"/>
          <w:sz w:val="32"/>
          <w:szCs w:val="32"/>
          <w:lang w:val="en-US" w:eastAsia="zh-CN"/>
        </w:rPr>
        <w:t>。</w:t>
      </w:r>
      <w:r>
        <w:rPr>
          <w:rFonts w:hint="eastAsia" w:ascii="Times New Roman" w:cs="Times New Roman"/>
          <w:sz w:val="32"/>
          <w:szCs w:val="32"/>
          <w:lang w:val="en-US" w:eastAsia="zh-CN"/>
        </w:rPr>
        <w:t>未参加医疗保险的行政单位的公费医疗经费，按国家规定享受离休人员、红军老战士待遇人员的医疗经费。</w:t>
      </w:r>
    </w:p>
    <w:p>
      <w:pPr>
        <w:pStyle w:val="2"/>
        <w:ind w:firstLine="643" w:firstLineChars="200"/>
        <w:rPr>
          <w:rFonts w:hint="default" w:ascii="Times New Roman" w:hAnsi="Times New Roman" w:cs="Times New Roman"/>
          <w:lang w:val="en-US" w:eastAsia="zh-CN"/>
        </w:rPr>
      </w:pPr>
      <w:r>
        <w:rPr>
          <w:rFonts w:hint="eastAsia" w:cs="Times New Roman"/>
          <w:b/>
          <w:sz w:val="32"/>
          <w:szCs w:val="32"/>
          <w:lang w:val="en-US" w:eastAsia="zh-CN"/>
        </w:rPr>
        <w:t>10</w:t>
      </w:r>
      <w:r>
        <w:rPr>
          <w:rFonts w:hint="eastAsia" w:eastAsia="仿宋_GB2312" w:cs="Times New Roman"/>
          <w:b/>
          <w:sz w:val="32"/>
          <w:szCs w:val="32"/>
          <w:lang w:val="en-US" w:eastAsia="zh-CN"/>
        </w:rPr>
        <w:t>.卫生健康支出</w:t>
      </w:r>
      <w:r>
        <w:rPr>
          <w:rFonts w:hint="eastAsia" w:eastAsia="仿宋_GB2312" w:cs="Times New Roman"/>
          <w:b/>
          <w:sz w:val="32"/>
          <w:szCs w:val="32"/>
        </w:rPr>
        <w:t>（类）</w:t>
      </w:r>
      <w:r>
        <w:rPr>
          <w:rFonts w:hint="eastAsia" w:eastAsia="仿宋_GB2312" w:cs="Times New Roman"/>
          <w:b/>
          <w:sz w:val="32"/>
          <w:szCs w:val="32"/>
          <w:lang w:val="en-US" w:eastAsia="zh-CN"/>
        </w:rPr>
        <w:t>行政事业单位医疗</w:t>
      </w:r>
      <w:r>
        <w:rPr>
          <w:rFonts w:hint="eastAsia" w:eastAsia="仿宋_GB2312" w:cs="Times New Roman"/>
          <w:b/>
          <w:sz w:val="32"/>
          <w:szCs w:val="32"/>
        </w:rPr>
        <w:t>（款） 公务员医疗补助（项）:</w:t>
      </w:r>
      <w:r>
        <w:rPr>
          <w:rFonts w:hint="eastAsia" w:hAnsi="仿宋_GB2312" w:cs="仿宋_GB2312"/>
          <w:sz w:val="32"/>
          <w:szCs w:val="32"/>
          <w:lang w:val="en-US" w:eastAsia="zh-CN"/>
        </w:rPr>
        <w:t>反映财政部门安排的公务员医疗补助经费</w:t>
      </w:r>
      <w:r>
        <w:rPr>
          <w:rFonts w:hint="default" w:ascii="Times New Roman" w:hAnsi="Times New Roman" w:eastAsia="仿宋_GB2312" w:cs="Times New Roman"/>
          <w:sz w:val="32"/>
          <w:szCs w:val="32"/>
          <w:lang w:val="en-US" w:eastAsia="zh-CN"/>
        </w:rPr>
        <w:t>。</w:t>
      </w:r>
    </w:p>
    <w:p>
      <w:pPr>
        <w:ind w:firstLine="643" w:firstLineChars="200"/>
        <w:rPr>
          <w:rFonts w:ascii="仿宋_GB2312" w:eastAsia="仿宋_GB2312"/>
          <w:color w:val="000000"/>
          <w:sz w:val="32"/>
          <w:szCs w:val="32"/>
        </w:rPr>
      </w:pPr>
      <w:r>
        <w:rPr>
          <w:rFonts w:hint="eastAsia" w:eastAsia="仿宋_GB2312" w:cs="Times New Roman"/>
          <w:b/>
          <w:sz w:val="32"/>
          <w:szCs w:val="32"/>
          <w:lang w:val="en-US" w:eastAsia="zh-CN"/>
        </w:rPr>
        <w:t>11.住房保障支出（类）住房改革支出（款）住房公积金（项）：</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spacing w:line="560" w:lineRule="exact"/>
        <w:ind w:firstLine="643" w:firstLineChars="200"/>
        <w:rPr>
          <w:rFonts w:eastAsia="仿宋_GB2312"/>
          <w:sz w:val="32"/>
          <w:szCs w:val="32"/>
        </w:rPr>
      </w:pPr>
      <w:r>
        <w:rPr>
          <w:rFonts w:hint="eastAsia" w:eastAsia="仿宋_GB2312"/>
          <w:b/>
          <w:sz w:val="32"/>
          <w:szCs w:val="32"/>
          <w:lang w:val="en-US" w:eastAsia="zh-CN"/>
        </w:rPr>
        <w:t>12</w:t>
      </w:r>
      <w:r>
        <w:rPr>
          <w:rFonts w:eastAsia="仿宋_GB2312"/>
          <w:b/>
          <w:sz w:val="32"/>
          <w:szCs w:val="32"/>
        </w:rPr>
        <w:t>.基本支出：</w:t>
      </w:r>
      <w:r>
        <w:rPr>
          <w:rFonts w:eastAsia="仿宋_GB2312"/>
          <w:sz w:val="32"/>
          <w:szCs w:val="32"/>
        </w:rPr>
        <w:t>指为保障机构正常运转、完成日常工作任务而发生的人员支出和公用支出。</w:t>
      </w:r>
    </w:p>
    <w:p>
      <w:pPr>
        <w:spacing w:line="560" w:lineRule="exact"/>
        <w:ind w:firstLine="643" w:firstLineChars="200"/>
        <w:rPr>
          <w:rFonts w:eastAsia="仿宋_GB2312"/>
          <w:sz w:val="32"/>
          <w:szCs w:val="32"/>
        </w:rPr>
      </w:pPr>
      <w:r>
        <w:rPr>
          <w:rFonts w:hint="eastAsia" w:eastAsia="仿宋_GB2312"/>
          <w:b/>
          <w:sz w:val="32"/>
          <w:szCs w:val="32"/>
          <w:lang w:val="en-US" w:eastAsia="zh-CN"/>
        </w:rPr>
        <w:t>13</w:t>
      </w:r>
      <w:r>
        <w:rPr>
          <w:rFonts w:eastAsia="仿宋_GB2312"/>
          <w:b/>
          <w:sz w:val="32"/>
          <w:szCs w:val="32"/>
        </w:rPr>
        <w:t>.项目支出：</w:t>
      </w:r>
      <w:r>
        <w:rPr>
          <w:rFonts w:eastAsia="仿宋_GB2312"/>
          <w:sz w:val="32"/>
          <w:szCs w:val="32"/>
        </w:rPr>
        <w:t xml:space="preserve">指在基本支出之外为完成特定行政任务和事业发展目标所发生的支出。 </w:t>
      </w:r>
    </w:p>
    <w:p>
      <w:pPr>
        <w:spacing w:line="560" w:lineRule="exact"/>
        <w:ind w:firstLine="643" w:firstLineChars="200"/>
        <w:rPr>
          <w:rFonts w:eastAsia="仿宋_GB2312"/>
          <w:sz w:val="32"/>
          <w:szCs w:val="32"/>
        </w:rPr>
      </w:pPr>
      <w:r>
        <w:rPr>
          <w:rFonts w:hint="eastAsia" w:eastAsia="仿宋_GB2312"/>
          <w:b/>
          <w:sz w:val="32"/>
          <w:szCs w:val="32"/>
          <w:lang w:val="en-US" w:eastAsia="zh-CN"/>
        </w:rPr>
        <w:t>14</w:t>
      </w:r>
      <w:r>
        <w:rPr>
          <w:rFonts w:eastAsia="仿宋_GB2312"/>
          <w:b/>
          <w:sz w:val="32"/>
          <w:szCs w:val="32"/>
        </w:rPr>
        <w:t>.“三公”经费：</w:t>
      </w:r>
      <w:r>
        <w:rPr>
          <w:rFonts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3" w:firstLineChars="200"/>
        <w:rPr>
          <w:rFonts w:eastAsia="仿宋_GB2312"/>
          <w:sz w:val="32"/>
          <w:szCs w:val="32"/>
        </w:rPr>
      </w:pPr>
      <w:r>
        <w:rPr>
          <w:rFonts w:hint="eastAsia" w:eastAsia="仿宋_GB2312"/>
          <w:b/>
          <w:sz w:val="32"/>
          <w:szCs w:val="32"/>
          <w:lang w:val="en-US" w:eastAsia="zh-CN"/>
        </w:rPr>
        <w:t>15</w:t>
      </w:r>
      <w:r>
        <w:rPr>
          <w:rFonts w:eastAsia="仿宋_GB2312"/>
          <w:b/>
          <w:sz w:val="32"/>
          <w:szCs w:val="32"/>
        </w:rPr>
        <w:t>.机关运行经费：</w:t>
      </w:r>
      <w:r>
        <w:rPr>
          <w:rFonts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40" w:lineRule="exact"/>
        <w:jc w:val="center"/>
        <w:rPr>
          <w:rFonts w:hint="eastAsia" w:ascii="仿宋_GB2312" w:hAnsi="Times New Roman" w:eastAsia="仿宋_GB2312"/>
          <w:sz w:val="32"/>
          <w:szCs w:val="32"/>
        </w:rPr>
      </w:pPr>
      <w:bookmarkStart w:id="53" w:name="_Toc15377226"/>
      <w:r>
        <w:rPr>
          <w:rFonts w:ascii="宋体"/>
          <w:b/>
          <w:sz w:val="44"/>
          <w:szCs w:val="44"/>
        </w:rPr>
        <w:br w:type="page"/>
      </w:r>
      <w:r>
        <w:rPr>
          <w:rFonts w:hint="eastAsia" w:eastAsia="方正小标宋_GBK"/>
          <w:sz w:val="44"/>
          <w:szCs w:val="44"/>
          <w:lang w:val="en-US" w:eastAsia="zh-CN"/>
        </w:rPr>
        <w:t>第四部分附件</w:t>
      </w:r>
    </w:p>
    <w:p>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6"/>
        <w:gridCol w:w="659"/>
        <w:gridCol w:w="549"/>
        <w:gridCol w:w="2163"/>
        <w:gridCol w:w="944"/>
        <w:gridCol w:w="957"/>
        <w:gridCol w:w="761"/>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29"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54" w:name="_Toc15396618"/>
            <w:r>
              <w:rPr>
                <w:rFonts w:hint="eastAsia" w:ascii="宋体" w:hAnsi="宋体" w:eastAsia="宋体" w:cs="宋体"/>
                <w:i w:val="0"/>
                <w:iCs w:val="0"/>
                <w:color w:val="000000"/>
                <w:kern w:val="0"/>
                <w:sz w:val="16"/>
                <w:szCs w:val="16"/>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429"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16"/>
                <w:szCs w:val="16"/>
                <w:u w:val="none"/>
                <w:lang w:val="en-US" w:eastAsia="zh-CN" w:bidi="ar"/>
              </w:rPr>
              <w:t>专项（项目）资金绩效自评表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29"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w:t>
            </w:r>
            <w:r>
              <w:rPr>
                <w:rStyle w:val="34"/>
                <w:rFonts w:eastAsia="宋体"/>
                <w:lang w:val="en-US" w:eastAsia="zh-CN" w:bidi="ar"/>
              </w:rPr>
              <w:t>2021</w:t>
            </w:r>
            <w:r>
              <w:rPr>
                <w:rStyle w:val="35"/>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5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nil"/>
              <w:left w:val="nil"/>
              <w:bottom w:val="nil"/>
              <w:right w:val="nil"/>
            </w:tcBorders>
            <w:shd w:val="clear" w:color="auto" w:fill="auto"/>
            <w:vAlign w:val="center"/>
          </w:tcPr>
          <w:p/>
        </w:tc>
        <w:tc>
          <w:tcPr>
            <w:tcW w:w="9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专项（项目）名称</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疾病预防控制机构能力提升项目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项目主管单位</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盐边县卫生健康局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盐边县疾病预防控制中心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（万元）</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全年预算数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实际完成数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 xml:space="preserve"> 年度资金总额：</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200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200</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 xml:space="preserve">       其中：上级财政资金</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200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200</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 xml:space="preserve">             本级财政资金</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标</w:t>
            </w:r>
          </w:p>
        </w:tc>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年度设定目标</w:t>
            </w:r>
          </w:p>
        </w:tc>
        <w:tc>
          <w:tcPr>
            <w:tcW w:w="46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为不断提高县疾控中心履职能力，提升中心信息化建设及网络信息安全建设的要求，使中心信息化办公在安全、高效的环境下运行，对整个中心的终端设备进行必要的防护和监控，对中心工作人员上网行为进行管理。购买核酸检测仪器，水质检测仪器，消毒设备，提高检验检测能力</w:t>
            </w:r>
          </w:p>
        </w:tc>
        <w:tc>
          <w:tcPr>
            <w:tcW w:w="46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按照相关规定，在2021年底100%完成了相关工作任务。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标</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二级指标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三级指标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年度指标值</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实际完成数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完成率（%）</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项目完成</w:t>
            </w:r>
          </w:p>
        </w:tc>
        <w:tc>
          <w:tcPr>
            <w:tcW w:w="54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数量指标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指标1：上网行为管理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指标2：防毒墙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指标3：入侵防疫系统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指标4：防火墙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指标5：终端威胁防御系统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指标6：实验室检测设备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质量指标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指标1：上网行为管理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符合国家相关规定</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指标2：防毒墙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符合国家相关规定</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指标3：入侵防疫系统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符合国家相关规定</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指标4：防火墙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符合国家相关规定</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指标5：终端威胁防御系统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符合国家相关规定</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指标6：高质量完成实验室设备采购</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符合国家相关规定</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时效指标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指标1：上网行为管理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12月前完成安装</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指标2：防毒墙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12月前完成安装</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指标3：入侵防疫系统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12月前完成安装</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指标4：防火墙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12月前完成安装</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指标5：终端威胁防御系统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12月前完成安装</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指标6：实验室设备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12月前完成安装</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成本指标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指标1：上网行为管理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指标2：防毒墙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指标3：入侵防疫系统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指标4：防火墙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指标5：终端威胁防御系统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指标6：实验室设备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项目效益</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指标1：上网行为管理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已进行全面管理</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指标2：防毒墙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能防毒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指标3：入侵防疫系统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达到防疫效果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指标4：防火墙</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到达预期效果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指标5：终端威胁防御系统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达到预期效果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指标6：实验室设备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达到预期效果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服务对象满意率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96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职工满意率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96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100%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6"/>
                <w:szCs w:val="16"/>
                <w:u w:val="none"/>
                <w:lang w:val="en-US" w:eastAsia="zh-CN" w:bidi="ar"/>
              </w:rPr>
              <w:t>……</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3"/>
      <w:bookmarkEnd w:id="54"/>
      <w:bookmarkStart w:id="55" w:name="_Toc15396619"/>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7"/>
          <w:rFonts w:hint="eastAsia" w:ascii="仿宋" w:hAnsi="仿宋" w:eastAsia="仿宋"/>
          <w:b w:val="0"/>
          <w:bCs w:val="0"/>
        </w:rPr>
        <w:t>入决算表</w:t>
      </w:r>
      <w:bookmarkEnd w:id="56"/>
    </w:p>
    <w:p>
      <w:pPr>
        <w:pStyle w:val="4"/>
        <w:rPr>
          <w:rFonts w:ascii="仿宋" w:hAnsi="仿宋" w:eastAsia="仿宋"/>
        </w:rPr>
      </w:pPr>
      <w:bookmarkStart w:id="57"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8"/>
    </w:p>
    <w:p>
      <w:pPr>
        <w:pStyle w:val="4"/>
        <w:rPr>
          <w:rStyle w:val="27"/>
          <w:rFonts w:ascii="仿宋" w:hAnsi="仿宋" w:eastAsia="仿宋"/>
          <w:b w:val="0"/>
          <w:bCs w:val="0"/>
        </w:rPr>
      </w:pPr>
      <w:bookmarkStart w:id="59"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64"/>
    </w:p>
    <w:p>
      <w:pPr>
        <w:pStyle w:val="4"/>
        <w:rPr>
          <w:rFonts w:ascii="仿宋" w:hAnsi="仿宋" w:eastAsia="仿宋"/>
        </w:rPr>
      </w:pPr>
      <w:bookmarkStart w:id="65"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65"/>
    </w:p>
    <w:p>
      <w:pPr>
        <w:pStyle w:val="4"/>
        <w:rPr>
          <w:rFonts w:ascii="仿宋" w:hAnsi="仿宋" w:eastAsia="仿宋"/>
        </w:rPr>
      </w:pPr>
      <w:bookmarkStart w:id="66"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66"/>
    </w:p>
    <w:p>
      <w:pPr>
        <w:pStyle w:val="4"/>
        <w:rPr>
          <w:rStyle w:val="27"/>
          <w:rFonts w:ascii="仿宋" w:hAnsi="仿宋" w:eastAsia="仿宋"/>
          <w:b w:val="0"/>
          <w:bCs w:val="0"/>
        </w:rPr>
      </w:pPr>
      <w:bookmarkStart w:id="67"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67"/>
    </w:p>
    <w:p>
      <w:pPr>
        <w:rPr>
          <w:rFonts w:eastAsia="仿宋"/>
        </w:rPr>
      </w:pPr>
      <w:r>
        <w:rPr>
          <w:rStyle w:val="27"/>
          <w:rFonts w:hint="eastAsia" w:ascii="仿宋" w:hAnsi="仿宋" w:eastAsia="仿宋"/>
          <w:b w:val="0"/>
          <w:bCs w:val="0"/>
        </w:rPr>
        <w:t>十四、国有资本经营预算财政拨款支出决算表</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4101C52"/>
    <w:multiLevelType w:val="singleLevel"/>
    <w:tmpl w:val="14101C52"/>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mIxZjcxZjUyZjY5YWE2MzE1NDBlZDZkMTEwY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0F08"/>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02ED"/>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4C9B"/>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E1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0BB"/>
    <w:rsid w:val="00F36D8F"/>
    <w:rsid w:val="00F417B1"/>
    <w:rsid w:val="00F45853"/>
    <w:rsid w:val="00F602DF"/>
    <w:rsid w:val="00F754A1"/>
    <w:rsid w:val="00F81FD9"/>
    <w:rsid w:val="00F841AA"/>
    <w:rsid w:val="00F84A94"/>
    <w:rsid w:val="00F87E96"/>
    <w:rsid w:val="00FA23E8"/>
    <w:rsid w:val="00FC22E2"/>
    <w:rsid w:val="00FD3CC1"/>
    <w:rsid w:val="00FF1E02"/>
    <w:rsid w:val="00FF30B4"/>
    <w:rsid w:val="02726DDD"/>
    <w:rsid w:val="08DF6E8A"/>
    <w:rsid w:val="09E84329"/>
    <w:rsid w:val="0A2032A3"/>
    <w:rsid w:val="0B8A37D8"/>
    <w:rsid w:val="0BF5068F"/>
    <w:rsid w:val="0F535353"/>
    <w:rsid w:val="10C055FF"/>
    <w:rsid w:val="118107EC"/>
    <w:rsid w:val="11DD6519"/>
    <w:rsid w:val="13A946F0"/>
    <w:rsid w:val="16BB723D"/>
    <w:rsid w:val="16C17146"/>
    <w:rsid w:val="18015F3F"/>
    <w:rsid w:val="19832405"/>
    <w:rsid w:val="1BE8440E"/>
    <w:rsid w:val="1D155CEE"/>
    <w:rsid w:val="20B84F6F"/>
    <w:rsid w:val="20F57F95"/>
    <w:rsid w:val="22966468"/>
    <w:rsid w:val="22B1635E"/>
    <w:rsid w:val="240371BF"/>
    <w:rsid w:val="25C741E6"/>
    <w:rsid w:val="27842671"/>
    <w:rsid w:val="294218D6"/>
    <w:rsid w:val="29FD04D3"/>
    <w:rsid w:val="2ABE7A3E"/>
    <w:rsid w:val="2EFA178C"/>
    <w:rsid w:val="2F2331F8"/>
    <w:rsid w:val="2F3740ED"/>
    <w:rsid w:val="30B46D73"/>
    <w:rsid w:val="319F7F4E"/>
    <w:rsid w:val="3559782E"/>
    <w:rsid w:val="36B30F92"/>
    <w:rsid w:val="39AE70AB"/>
    <w:rsid w:val="39C80640"/>
    <w:rsid w:val="3C0C0783"/>
    <w:rsid w:val="3F9F3A96"/>
    <w:rsid w:val="44316F05"/>
    <w:rsid w:val="454714BF"/>
    <w:rsid w:val="493C27E9"/>
    <w:rsid w:val="496F39ED"/>
    <w:rsid w:val="49FF41D3"/>
    <w:rsid w:val="4BC537EF"/>
    <w:rsid w:val="4BE068DB"/>
    <w:rsid w:val="4BF6002B"/>
    <w:rsid w:val="4ECE2238"/>
    <w:rsid w:val="51DB4B86"/>
    <w:rsid w:val="53B10062"/>
    <w:rsid w:val="540208BE"/>
    <w:rsid w:val="541A646C"/>
    <w:rsid w:val="54C362A1"/>
    <w:rsid w:val="55333C3E"/>
    <w:rsid w:val="5CD801FC"/>
    <w:rsid w:val="63B864F0"/>
    <w:rsid w:val="64255BEF"/>
    <w:rsid w:val="64CA39A1"/>
    <w:rsid w:val="66B2360F"/>
    <w:rsid w:val="67D4039D"/>
    <w:rsid w:val="6AE4546E"/>
    <w:rsid w:val="6B1308FF"/>
    <w:rsid w:val="6B2C2051"/>
    <w:rsid w:val="6C4A05C8"/>
    <w:rsid w:val="6CF5239E"/>
    <w:rsid w:val="71E11F2A"/>
    <w:rsid w:val="72734D90"/>
    <w:rsid w:val="75054233"/>
    <w:rsid w:val="752F4558"/>
    <w:rsid w:val="79E7B28D"/>
    <w:rsid w:val="7EA464E3"/>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qFormat/>
    <w:uiPriority w:val="0"/>
    <w:rPr>
      <w:rFonts w:ascii="宋体" w:hAnsi="Courier New"/>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31"/>
    <w:basedOn w:val="15"/>
    <w:qFormat/>
    <w:uiPriority w:val="0"/>
    <w:rPr>
      <w:rFonts w:hint="default" w:ascii="Times New Roman" w:hAnsi="Times New Roman" w:cs="Times New Roman"/>
      <w:color w:val="000000"/>
      <w:sz w:val="24"/>
      <w:szCs w:val="24"/>
      <w:u w:val="none"/>
    </w:rPr>
  </w:style>
  <w:style w:type="character" w:customStyle="1" w:styleId="33">
    <w:name w:val="font11"/>
    <w:basedOn w:val="15"/>
    <w:qFormat/>
    <w:uiPriority w:val="0"/>
    <w:rPr>
      <w:rFonts w:hint="eastAsia" w:ascii="宋体" w:hAnsi="宋体" w:eastAsia="宋体" w:cs="宋体"/>
      <w:color w:val="000000"/>
      <w:sz w:val="24"/>
      <w:szCs w:val="24"/>
      <w:u w:val="none"/>
    </w:rPr>
  </w:style>
  <w:style w:type="character" w:customStyle="1" w:styleId="34">
    <w:name w:val="font41"/>
    <w:basedOn w:val="15"/>
    <w:qFormat/>
    <w:uiPriority w:val="0"/>
    <w:rPr>
      <w:rFonts w:hint="default" w:ascii="Times New Roman" w:hAnsi="Times New Roman" w:cs="Times New Roman"/>
      <w:color w:val="000000"/>
      <w:sz w:val="16"/>
      <w:szCs w:val="16"/>
      <w:u w:val="none"/>
    </w:rPr>
  </w:style>
  <w:style w:type="character" w:customStyle="1" w:styleId="35">
    <w:name w:val="font21"/>
    <w:basedOn w:val="1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2270;&#34920;%20&#22312;%20&#30416;&#36793;&#21355;&#35745;&#30417;&#30563;&#25191;&#27861;&#22823;&#38431;%202020&#24180;&#37096;&#38376;&#20915;&#31639;&#32534;&#21046;&#30340;&#35828;&#26126;.doc"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收、支决算总计变动情况 </a:t>
            </a:r>
            <a:r>
              <a:rPr lang="en-US" altLang="zh-CN"/>
              <a:t>     </a:t>
            </a:r>
            <a:r>
              <a:rPr sz="800"/>
              <a:t>单位（万元）</a:t>
            </a:r>
            <a:endParaRPr sz="800"/>
          </a:p>
        </c:rich>
      </c:tx>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[工作簿1]Sheet1!$I$15:$J$15</c:f>
              <c:strCache>
                <c:ptCount val="2"/>
                <c:pt idx="0">
                  <c:v>2020年</c:v>
                </c:pt>
                <c:pt idx="1">
                  <c:v>2021年</c:v>
                </c:pt>
              </c:strCache>
            </c:strRef>
          </c:cat>
          <c:val>
            <c:numRef>
              <c:f>[工作簿1]Sheet1!$I$16:$J$16</c:f>
              <c:numCache>
                <c:formatCode>General</c:formatCode>
                <c:ptCount val="2"/>
                <c:pt idx="0">
                  <c:v>1033.78</c:v>
                </c:pt>
                <c:pt idx="1">
                  <c:v>1515.33</c:v>
                </c:pt>
              </c:numCache>
            </c:numRef>
          </c:val>
        </c:ser>
        <c:dLbls>
          <c:showLegendKey val="0"/>
          <c:showVal val="1"/>
          <c:showCatName val="0"/>
          <c:showSerName val="0"/>
          <c:showPercent val="0"/>
          <c:showBubbleSize val="0"/>
        </c:dLbls>
        <c:gapWidth val="65"/>
        <c:overlap val="0"/>
        <c:axId val="471395419"/>
        <c:axId val="48031832"/>
      </c:barChart>
      <c:catAx>
        <c:axId val="471395419"/>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8031832"/>
        <c:crosses val="autoZero"/>
        <c:auto val="1"/>
        <c:lblAlgn val="ctr"/>
        <c:lblOffset val="100"/>
        <c:noMultiLvlLbl val="0"/>
      </c:catAx>
      <c:valAx>
        <c:axId val="480318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7139541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333333"/>
                </a:solidFill>
                <a:latin typeface="微软雅黑" panose="020B0503020204020204" charset="-122"/>
                <a:ea typeface="微软雅黑" panose="020B0503020204020204" charset="-122"/>
                <a:cs typeface="微软雅黑" panose="020B0503020204020204" charset="-122"/>
              </a:rPr>
              <a:t>收</a:t>
            </a:r>
            <a:r>
              <a:rPr lang="en-US" altLang="zh-CN" sz="1400" b="0" i="0" u="none" strike="noStrike" baseline="0">
                <a:solidFill>
                  <a:srgbClr val="333333"/>
                </a:solidFill>
                <a:latin typeface="微软雅黑" panose="020B0503020204020204" charset="-122"/>
                <a:ea typeface="微软雅黑" panose="020B0503020204020204" charset="-122"/>
                <a:cs typeface="微软雅黑" panose="020B0503020204020204" charset="-122"/>
              </a:rPr>
              <a:t>   </a:t>
            </a:r>
            <a:r>
              <a:rPr sz="1400" b="0" i="0" u="none" strike="noStrike" baseline="0">
                <a:solidFill>
                  <a:srgbClr val="333333"/>
                </a:solidFill>
                <a:latin typeface="微软雅黑" panose="020B0503020204020204" charset="-122"/>
                <a:ea typeface="微软雅黑" panose="020B0503020204020204" charset="-122"/>
                <a:cs typeface="微软雅黑" panose="020B0503020204020204" charset="-122"/>
              </a:rPr>
              <a:t>入</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416678239133454"/>
          <c:y val="0.0203131612357173"/>
        </c:manualLayout>
      </c:layout>
      <c:overlay val="0"/>
      <c:spPr>
        <a:noFill/>
        <a:ln>
          <a:noFill/>
        </a:ln>
        <a:effectLst/>
      </c:spPr>
    </c:title>
    <c:autoTitleDeleted val="0"/>
    <c:view3D>
      <c:rotX val="30"/>
      <c:rotY val="28"/>
      <c:depthPercent val="100"/>
      <c:rAngAx val="0"/>
      <c:perspective val="30"/>
    </c:view3D>
    <c:floor>
      <c:thickness val="0"/>
    </c:floor>
    <c:sideWall>
      <c:thickness val="0"/>
    </c:sideWall>
    <c:backWall>
      <c:thickness val="0"/>
    </c:backWall>
    <c:plotArea>
      <c:layout>
        <c:manualLayout>
          <c:layoutTarget val="inner"/>
          <c:xMode val="edge"/>
          <c:yMode val="edge"/>
          <c:x val="0.0852222222222222"/>
          <c:y val="0.213375661375661"/>
          <c:w val="0.826222222222222"/>
          <c:h val="0.692825396825397"/>
        </c:manualLayout>
      </c:layout>
      <c:pie3DChart>
        <c:varyColors val="1"/>
        <c:ser>
          <c:idx val="0"/>
          <c:order val="0"/>
          <c:tx>
            <c:strRef>
              <c:f>'[图表 在 盐边卫计监督执法大队 2020年部门决算编制的说明.doc]Sheet1'!$B$3</c:f>
              <c:strCache>
                <c:ptCount val="1"/>
                <c:pt idx="0">
                  <c:v>收入</c:v>
                </c:pt>
              </c:strCache>
            </c:strRef>
          </c:tx>
          <c:spPr>
            <a:ln w="9525">
              <a:solidFill>
                <a:schemeClr val="bg1"/>
              </a:solidFill>
            </a:ln>
            <a:scene3d>
              <a:camera prst="orthographicFront"/>
              <a:lightRig rig="threePt" dir="t"/>
            </a:scene3d>
            <a:sp3d contourW="9525"/>
          </c:spPr>
          <c:explosion val="0"/>
          <c:dPt>
            <c:idx val="0"/>
            <c:bubble3D val="0"/>
            <c:explosion val="0"/>
            <c:spPr>
              <a:solidFill>
                <a:srgbClr val="5B9BD5"/>
              </a:solidFill>
              <a:ln w="9525">
                <a:solidFill>
                  <a:schemeClr val="bg1"/>
                </a:solidFill>
              </a:ln>
              <a:effectLst/>
              <a:scene3d>
                <a:camera prst="orthographicFront"/>
                <a:lightRig rig="threePt" dir="t"/>
              </a:scene3d>
              <a:sp3d contourW="9525">
                <a:contourClr>
                  <a:schemeClr val="lt1"/>
                </a:contourClr>
              </a:sp3d>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 在 盐边卫计监督执法大队 2020年部门决算编制的说明.doc]Sheet1'!$C$2</c:f>
              <c:strCache>
                <c:ptCount val="1"/>
                <c:pt idx="0">
                  <c:v>一般公共预算财政拨款收入</c:v>
                </c:pt>
              </c:strCache>
            </c:strRef>
          </c:cat>
          <c:val>
            <c:numRef>
              <c:f>'[图表 在 盐边卫计监督执法大队 2020年部门决算编制的说明.doc]Sheet1'!$C$3</c:f>
              <c:numCache>
                <c:formatCode>General</c:formatCode>
                <c:ptCount val="1"/>
                <c:pt idx="0">
                  <c:v>167.71</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800" cap="none" spc="0" normalizeH="0" baseline="0">
                <a:solidFill>
                  <a:schemeClr val="tx1"/>
                </a:solidFill>
                <a:uFill>
                  <a:solidFill>
                    <a:schemeClr val="tx1"/>
                  </a:solidFill>
                </a:uFill>
                <a:latin typeface="宋体" panose="02010600030101010101" charset="-122"/>
                <a:ea typeface="宋体" panose="02010600030101010101" charset="-122"/>
                <a:cs typeface="微软雅黑" panose="020B0503020204020204" charset="-122"/>
                <a:sym typeface="微软雅黑" panose="020B0503020204020204" charset="-122"/>
              </a:defRPr>
            </a:pPr>
          </a:p>
        </c:txPr>
      </c:legendEntry>
      <c:layout>
        <c:manualLayout>
          <c:xMode val="edge"/>
          <c:yMode val="edge"/>
          <c:x val="0.0541422935655013"/>
          <c:y val="0.912465263993648"/>
          <c:w val="0.917290164603455"/>
          <c:h val="0.0815799920603414"/>
        </c:manualLayout>
      </c:layout>
      <c:overlay val="0"/>
      <c:txPr>
        <a:bodyPr rot="0" spcFirstLastPara="0" vertOverflow="ellipsis" vert="horz" wrap="square" anchor="ctr" anchorCtr="1"/>
        <a:lstStyle/>
        <a:p>
          <a:pPr>
            <a:defRPr lang="zh-CN" sz="800" b="0" i="0" u="none" strike="noStrike" kern="800" cap="none" spc="0" normalizeH="0" baseline="0">
              <a:solidFill>
                <a:schemeClr val="tx1"/>
              </a:solidFill>
              <a:uFill>
                <a:solidFill>
                  <a:schemeClr val="tx1"/>
                </a:solidFill>
              </a:uFill>
              <a:latin typeface="宋体" panose="02010600030101010101" charset="-122"/>
              <a:ea typeface="宋体" panose="02010600030101010101" charset="-122"/>
              <a:cs typeface="微软雅黑" panose="020B0503020204020204" charset="-122"/>
              <a:sym typeface="微软雅黑" panose="020B0503020204020204" charset="-122"/>
            </a:defRPr>
          </a:pPr>
        </a:p>
      </c:txPr>
    </c:legend>
    <c:plotVisOnly val="1"/>
    <c:dispBlanksAs val="gap"/>
    <c:showDLblsOverMax val="0"/>
  </c:chart>
  <c:spPr>
    <a:noFill/>
    <a:ln w="9525" cap="flat" cmpd="sng" algn="ctr">
      <a:solidFill>
        <a:sysClr val="windowText" lastClr="000000"/>
      </a:solidFill>
      <a:prstDash val="solid"/>
      <a:round/>
    </a:ln>
    <a:effectLst>
      <a:outerShdw blurRad="63500" dist="37357" dir="2700000" sx="0" sy="0" rotWithShape="0">
        <a:scrgbClr r="0" g="0" b="0"/>
      </a:outerShdw>
    </a:effectLst>
  </c:spPr>
  <c:txPr>
    <a:bodyPr wrap="square"/>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[工作簿1]Sheet1!$C$12:$D$12</c:f>
              <c:strCache>
                <c:ptCount val="2"/>
                <c:pt idx="0">
                  <c:v>基本支出</c:v>
                </c:pt>
                <c:pt idx="1">
                  <c:v>项目支出</c:v>
                </c:pt>
              </c:strCache>
            </c:strRef>
          </c:cat>
          <c:val>
            <c:numRef>
              <c:f>[工作簿1]Sheet1!$C$13:$D$13</c:f>
              <c:numCache>
                <c:formatCode>General</c:formatCode>
                <c:ptCount val="2"/>
                <c:pt idx="0">
                  <c:v>717.27</c:v>
                </c:pt>
                <c:pt idx="1">
                  <c:v>798.06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收、支决算总计变动情况 </a:t>
            </a:r>
            <a:r>
              <a:rPr lang="en-US" altLang="zh-CN"/>
              <a:t>     </a:t>
            </a:r>
            <a:r>
              <a:rPr sz="800"/>
              <a:t>单位（万元）</a:t>
            </a:r>
            <a:endParaRPr sz="800"/>
          </a:p>
        </c:rich>
      </c:tx>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[工作簿1]Sheet1!$I$15:$J$15</c:f>
              <c:strCache>
                <c:ptCount val="2"/>
                <c:pt idx="0">
                  <c:v>2020年</c:v>
                </c:pt>
                <c:pt idx="1">
                  <c:v>2021年</c:v>
                </c:pt>
              </c:strCache>
            </c:strRef>
          </c:cat>
          <c:val>
            <c:numRef>
              <c:f>[工作簿1]Sheet1!$I$16:$J$16</c:f>
              <c:numCache>
                <c:formatCode>General</c:formatCode>
                <c:ptCount val="2"/>
                <c:pt idx="0">
                  <c:v>1033.78</c:v>
                </c:pt>
                <c:pt idx="1">
                  <c:v>1515.33</c:v>
                </c:pt>
              </c:numCache>
            </c:numRef>
          </c:val>
        </c:ser>
        <c:dLbls>
          <c:showLegendKey val="0"/>
          <c:showVal val="1"/>
          <c:showCatName val="0"/>
          <c:showSerName val="0"/>
          <c:showPercent val="0"/>
          <c:showBubbleSize val="0"/>
        </c:dLbls>
        <c:gapWidth val="65"/>
        <c:overlap val="0"/>
        <c:axId val="471395419"/>
        <c:axId val="48031832"/>
      </c:barChart>
      <c:catAx>
        <c:axId val="471395419"/>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8031832"/>
        <c:crosses val="autoZero"/>
        <c:auto val="1"/>
        <c:lblAlgn val="ctr"/>
        <c:lblOffset val="100"/>
        <c:noMultiLvlLbl val="0"/>
      </c:catAx>
      <c:valAx>
        <c:axId val="480318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7139541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收、支决算总计变动情况 </a:t>
            </a:r>
            <a:r>
              <a:rPr lang="en-US" altLang="zh-CN"/>
              <a:t>     </a:t>
            </a:r>
            <a:r>
              <a:rPr sz="800"/>
              <a:t>单位（万元）</a:t>
            </a:r>
            <a:endParaRPr sz="800"/>
          </a:p>
        </c:rich>
      </c:tx>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[工作簿1]Sheet1!$I$15:$J$15</c:f>
              <c:strCache>
                <c:ptCount val="2"/>
                <c:pt idx="0">
                  <c:v>2020年</c:v>
                </c:pt>
                <c:pt idx="1">
                  <c:v>2021年</c:v>
                </c:pt>
              </c:strCache>
            </c:strRef>
          </c:cat>
          <c:val>
            <c:numRef>
              <c:f>[工作簿1]Sheet1!$I$16:$J$16</c:f>
              <c:numCache>
                <c:formatCode>General</c:formatCode>
                <c:ptCount val="2"/>
                <c:pt idx="0">
                  <c:v>1033.78</c:v>
                </c:pt>
                <c:pt idx="1">
                  <c:v>1515.33</c:v>
                </c:pt>
              </c:numCache>
            </c:numRef>
          </c:val>
        </c:ser>
        <c:dLbls>
          <c:showLegendKey val="0"/>
          <c:showVal val="1"/>
          <c:showCatName val="0"/>
          <c:showSerName val="0"/>
          <c:showPercent val="0"/>
          <c:showBubbleSize val="0"/>
        </c:dLbls>
        <c:gapWidth val="65"/>
        <c:overlap val="0"/>
        <c:axId val="471395419"/>
        <c:axId val="48031832"/>
      </c:barChart>
      <c:catAx>
        <c:axId val="471395419"/>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8031832"/>
        <c:crosses val="autoZero"/>
        <c:auto val="1"/>
        <c:lblAlgn val="ctr"/>
        <c:lblOffset val="100"/>
        <c:noMultiLvlLbl val="0"/>
      </c:catAx>
      <c:valAx>
        <c:axId val="480318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7139541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756276680404147"/>
                  <c:y val="0.060756490883052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3.84</a:t>
                    </a:r>
                    <a:r>
                      <a:rPr altLang="en-US"/>
                      <a:t>％</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a:t>
                    </a:r>
                    <a:r>
                      <a:rPr lang="en-US" altLang="zh-CN"/>
                      <a:t>2.72</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0233410012166918"/>
                  <c:y val="0.02291059826667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a:t>
                    </a:r>
                    <a:r>
                      <a:rPr lang="en-US" altLang="zh-CN"/>
                      <a:t>.44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[工作簿1]Sheet1!$J$67:$L$67</c:f>
              <c:strCache>
                <c:ptCount val="3"/>
                <c:pt idx="0">
                  <c:v>社会保障和就业（类）</c:v>
                </c:pt>
                <c:pt idx="1">
                  <c:v>卫生健康支出</c:v>
                </c:pt>
                <c:pt idx="2">
                  <c:v>住房保障支出</c:v>
                </c:pt>
              </c:strCache>
            </c:strRef>
          </c:cat>
          <c:val>
            <c:numRef>
              <c:f>[工作簿1]Sheet1!$J$68:$L$68</c:f>
              <c:numCache>
                <c:formatCode>0.00%</c:formatCode>
                <c:ptCount val="3"/>
                <c:pt idx="0">
                  <c:v>0.0384</c:v>
                </c:pt>
                <c:pt idx="1">
                  <c:v>0.9272</c:v>
                </c:pt>
                <c:pt idx="2">
                  <c:v>0.0344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[工作簿1]Sheet1!$I$97:$K$97</c:f>
              <c:strCache>
                <c:ptCount val="3"/>
                <c:pt idx="0">
                  <c:v>因公出国（境）费支出</c:v>
                </c:pt>
                <c:pt idx="1">
                  <c:v>公务用车购置及运行维护费支出</c:v>
                </c:pt>
                <c:pt idx="2">
                  <c:v>公务接待费支出</c:v>
                </c:pt>
              </c:strCache>
            </c:strRef>
          </c:cat>
          <c:val>
            <c:numRef>
              <c:f>[工作簿1]Sheet1!$I$98:$K$98</c:f>
              <c:numCache>
                <c:formatCode>0.00%</c:formatCode>
                <c:ptCount val="3"/>
                <c:pt idx="0">
                  <c:v>0</c:v>
                </c:pt>
                <c:pt idx="1">
                  <c:v>0.9927</c:v>
                </c:pt>
                <c:pt idx="2">
                  <c:v>0.0073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13168</Words>
  <Characters>16108</Characters>
  <Lines>44</Lines>
  <Paragraphs>12</Paragraphs>
  <TotalTime>2</TotalTime>
  <ScaleCrop>false</ScaleCrop>
  <LinksUpToDate>false</LinksUpToDate>
  <CharactersWithSpaces>16246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2022-10-07T01:09:00Z</dcterms:created>
  <dc:creator>曹颖</dc:creator>
  <cp:lastModifiedBy>Administrator</cp:lastModifiedBy>
  <cp:lastPrinted>2022-08-06T02:23:00Z</cp:lastPrinted>
  <dcterms:modified xsi:type="dcterms:W3CDTF">2023-04-11T01:07:35Z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778F1E65C2D1424F9E0F9E77930E69B1_13</vt:lpwstr>
  </property>
</Properties>
</file>