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B13" w:rsidRDefault="00721B13" w:rsidP="00721B13">
      <w:pPr>
        <w:pStyle w:val="a8"/>
        <w:shd w:val="clear" w:color="auto" w:fill="FFFFFF"/>
        <w:spacing w:before="0" w:beforeAutospacing="0" w:after="0" w:afterAutospacing="0"/>
        <w:jc w:val="center"/>
        <w:rPr>
          <w:rFonts w:ascii="微软雅黑" w:eastAsia="微软雅黑" w:hAnsi="微软雅黑"/>
          <w:color w:val="333333"/>
          <w:sz w:val="27"/>
          <w:szCs w:val="27"/>
        </w:rPr>
      </w:pPr>
      <w:r>
        <w:rPr>
          <w:rStyle w:val="a9"/>
          <w:rFonts w:ascii="新宋体" w:eastAsia="新宋体" w:hAnsi="新宋体" w:hint="eastAsia"/>
          <w:color w:val="333333"/>
          <w:sz w:val="36"/>
          <w:szCs w:val="36"/>
        </w:rPr>
        <w:t>盐边县人民政府</w:t>
      </w:r>
    </w:p>
    <w:p w:rsidR="00721B13" w:rsidRDefault="00721B13" w:rsidP="00721B13">
      <w:pPr>
        <w:pStyle w:val="a8"/>
        <w:shd w:val="clear" w:color="auto" w:fill="FFFFFF"/>
        <w:spacing w:before="0" w:beforeAutospacing="0" w:after="0" w:afterAutospacing="0"/>
        <w:jc w:val="center"/>
        <w:rPr>
          <w:rFonts w:ascii="微软雅黑" w:eastAsia="微软雅黑" w:hAnsi="微软雅黑" w:hint="eastAsia"/>
          <w:color w:val="333333"/>
          <w:sz w:val="27"/>
          <w:szCs w:val="27"/>
        </w:rPr>
      </w:pPr>
      <w:r>
        <w:rPr>
          <w:rStyle w:val="a9"/>
          <w:rFonts w:ascii="新宋体" w:eastAsia="新宋体" w:hAnsi="新宋体" w:hint="eastAsia"/>
          <w:color w:val="333333"/>
          <w:sz w:val="36"/>
          <w:szCs w:val="36"/>
        </w:rPr>
        <w:t>2022年度法治政府建设工作报告</w:t>
      </w:r>
    </w:p>
    <w:p w:rsidR="00721B13" w:rsidRDefault="00721B13" w:rsidP="00721B13">
      <w:pPr>
        <w:pStyle w:val="a8"/>
        <w:shd w:val="clear" w:color="auto" w:fill="FFFFFF"/>
        <w:spacing w:before="255" w:beforeAutospacing="0" w:after="255" w:afterAutospacing="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w:t>
      </w:r>
    </w:p>
    <w:p w:rsidR="00721B13" w:rsidRDefault="00721B13" w:rsidP="00721B13">
      <w:pPr>
        <w:pStyle w:val="a8"/>
        <w:shd w:val="clear" w:color="auto" w:fill="FFFFFF"/>
        <w:spacing w:before="0" w:beforeAutospacing="0" w:after="0" w:afterAutospacing="0" w:line="600" w:lineRule="atLeast"/>
        <w:ind w:firstLine="640"/>
        <w:rPr>
          <w:rFonts w:ascii="微软雅黑" w:eastAsia="微软雅黑" w:hAnsi="微软雅黑" w:hint="eastAsia"/>
          <w:color w:val="333333"/>
          <w:sz w:val="27"/>
          <w:szCs w:val="27"/>
        </w:rPr>
      </w:pPr>
      <w:r>
        <w:rPr>
          <w:rFonts w:ascii="Times New Roman" w:eastAsia="微软雅黑" w:hAnsi="Times New Roman" w:cs="Times New Roman"/>
          <w:color w:val="333333"/>
          <w:sz w:val="32"/>
          <w:szCs w:val="32"/>
        </w:rPr>
        <w:t>2022</w:t>
      </w:r>
      <w:r>
        <w:rPr>
          <w:rFonts w:ascii="仿宋_GB2312" w:eastAsia="仿宋_GB2312" w:hAnsi="微软雅黑" w:hint="eastAsia"/>
          <w:color w:val="333333"/>
          <w:sz w:val="32"/>
          <w:szCs w:val="32"/>
        </w:rPr>
        <w:t>年，</w:t>
      </w:r>
      <w:r>
        <w:rPr>
          <w:rFonts w:ascii="仿宋_GB2312" w:eastAsia="仿宋_GB2312" w:hAnsi="微软雅黑" w:hint="eastAsia"/>
          <w:color w:val="000000"/>
          <w:sz w:val="32"/>
          <w:szCs w:val="32"/>
        </w:rPr>
        <w:t>盐边县坚持以习近平新时代中国特色社会主义思想为指导，</w:t>
      </w:r>
      <w:r>
        <w:rPr>
          <w:rFonts w:ascii="仿宋_GB2312" w:eastAsia="仿宋_GB2312" w:hAnsi="微软雅黑" w:hint="eastAsia"/>
          <w:color w:val="333333"/>
          <w:sz w:val="32"/>
          <w:szCs w:val="32"/>
        </w:rPr>
        <w:t>全面贯彻党的十九大和十九届历次全会精神，深入学习贯彻党的二十大精神和习近平法治思想，</w:t>
      </w:r>
      <w:r>
        <w:rPr>
          <w:rFonts w:ascii="仿宋_GB2312" w:eastAsia="仿宋_GB2312" w:hAnsi="微软雅黑" w:hint="eastAsia"/>
          <w:color w:val="000000"/>
          <w:sz w:val="32"/>
          <w:szCs w:val="32"/>
        </w:rPr>
        <w:t>紧紧围绕中央、省、市法治政府建设决策部署和要求，把全县各项事业全面纳入法治化轨道，为推动盐边高质量发展提供坚实法治保障。</w:t>
      </w:r>
    </w:p>
    <w:p w:rsidR="00721B13" w:rsidRDefault="00721B13" w:rsidP="00721B13">
      <w:pPr>
        <w:pStyle w:val="a8"/>
        <w:shd w:val="clear" w:color="auto" w:fill="FFFFFF"/>
        <w:spacing w:before="0" w:beforeAutospacing="0" w:after="0" w:afterAutospacing="0" w:line="560" w:lineRule="atLeast"/>
        <w:ind w:firstLine="640"/>
        <w:rPr>
          <w:rFonts w:ascii="微软雅黑" w:eastAsia="微软雅黑" w:hAnsi="微软雅黑" w:hint="eastAsia"/>
          <w:color w:val="333333"/>
          <w:sz w:val="27"/>
          <w:szCs w:val="27"/>
        </w:rPr>
      </w:pPr>
      <w:r>
        <w:rPr>
          <w:rFonts w:ascii="黑体" w:eastAsia="黑体" w:hAnsi="黑体" w:hint="eastAsia"/>
          <w:color w:val="333333"/>
          <w:sz w:val="32"/>
          <w:szCs w:val="32"/>
        </w:rPr>
        <w:t>一、</w:t>
      </w:r>
      <w:r>
        <w:rPr>
          <w:rFonts w:ascii="黑体" w:eastAsia="黑体" w:hAnsi="黑体" w:hint="eastAsia"/>
          <w:color w:val="000000"/>
          <w:sz w:val="32"/>
          <w:szCs w:val="32"/>
        </w:rPr>
        <w:t>2022年度推进法治政府建设的主要举措和成效</w:t>
      </w:r>
    </w:p>
    <w:p w:rsidR="00721B13" w:rsidRDefault="00721B13" w:rsidP="00721B13">
      <w:pPr>
        <w:pStyle w:val="a8"/>
        <w:shd w:val="clear" w:color="auto" w:fill="FFFFFF"/>
        <w:spacing w:before="0" w:beforeAutospacing="0" w:after="0" w:afterAutospacing="0" w:line="560" w:lineRule="atLeast"/>
        <w:ind w:firstLine="643"/>
        <w:rPr>
          <w:rFonts w:ascii="微软雅黑" w:eastAsia="微软雅黑" w:hAnsi="微软雅黑" w:hint="eastAsia"/>
          <w:color w:val="333333"/>
          <w:sz w:val="27"/>
          <w:szCs w:val="27"/>
        </w:rPr>
      </w:pPr>
      <w:r>
        <w:rPr>
          <w:rStyle w:val="a9"/>
          <w:rFonts w:ascii="楷体_GB2312" w:eastAsia="楷体_GB2312" w:hAnsi="微软雅黑" w:hint="eastAsia"/>
          <w:color w:val="333333"/>
          <w:sz w:val="32"/>
          <w:szCs w:val="32"/>
        </w:rPr>
        <w:t>（一）统筹谋划“十四五”时期法治盐边建设。</w:t>
      </w:r>
      <w:r>
        <w:rPr>
          <w:rFonts w:ascii="仿宋_GB2312" w:eastAsia="仿宋_GB2312" w:hAnsi="微软雅黑" w:hint="eastAsia"/>
          <w:color w:val="333333"/>
          <w:sz w:val="32"/>
          <w:szCs w:val="32"/>
        </w:rPr>
        <w:t>印发《盐边县法治社会建设实施方案（2021—2025年）》《盐边县法治宣传教育第八个五年规划（2021—2025年）》和《盐边县法治政府建设工作方案（2021—2025年）》等规划和方案，统筹做好全县法治建设总体谋篇布局，对当前和今后一个时期的重点工作和努力方向进行全面安排部署。</w:t>
      </w:r>
    </w:p>
    <w:p w:rsidR="00721B13" w:rsidRDefault="00721B13" w:rsidP="00721B13">
      <w:pPr>
        <w:pStyle w:val="a8"/>
        <w:shd w:val="clear" w:color="auto" w:fill="FFFFFF"/>
        <w:spacing w:before="0" w:beforeAutospacing="0" w:after="0" w:afterAutospacing="0" w:line="560" w:lineRule="atLeast"/>
        <w:ind w:firstLine="643"/>
        <w:rPr>
          <w:rFonts w:ascii="微软雅黑" w:eastAsia="微软雅黑" w:hAnsi="微软雅黑" w:hint="eastAsia"/>
          <w:color w:val="333333"/>
          <w:sz w:val="27"/>
          <w:szCs w:val="27"/>
        </w:rPr>
      </w:pPr>
      <w:r>
        <w:rPr>
          <w:rStyle w:val="a9"/>
          <w:rFonts w:ascii="楷体_GB2312" w:eastAsia="楷体_GB2312" w:hAnsi="微软雅黑" w:hint="eastAsia"/>
          <w:color w:val="333333"/>
          <w:sz w:val="32"/>
          <w:szCs w:val="32"/>
        </w:rPr>
        <w:t>（二）深入学习贯彻习近平法治思想。</w:t>
      </w:r>
      <w:r>
        <w:rPr>
          <w:rFonts w:ascii="仿宋_GB2312" w:eastAsia="仿宋_GB2312" w:hAnsi="微软雅黑" w:hint="eastAsia"/>
          <w:color w:val="333333"/>
          <w:sz w:val="32"/>
          <w:szCs w:val="32"/>
        </w:rPr>
        <w:t>全县各乡（镇）、县级各部门认真学习领会习近平法治思想的重大意义和丰富内涵，切实把习近平法治思想贯彻落实到法治政府建设的全过程和各方面。坚持把习近平法治思想纳入县政府常务会学法内容，印发</w:t>
      </w:r>
      <w:r>
        <w:rPr>
          <w:rFonts w:ascii="Times New Roman" w:eastAsia="微软雅黑" w:hAnsi="Times New Roman" w:cs="Times New Roman"/>
          <w:color w:val="333333"/>
          <w:sz w:val="32"/>
          <w:szCs w:val="32"/>
        </w:rPr>
        <w:lastRenderedPageBreak/>
        <w:t>2022</w:t>
      </w:r>
      <w:r>
        <w:rPr>
          <w:rFonts w:ascii="仿宋_GB2312" w:eastAsia="仿宋_GB2312" w:hAnsi="微软雅黑" w:hint="eastAsia"/>
          <w:color w:val="333333"/>
          <w:sz w:val="32"/>
          <w:szCs w:val="32"/>
        </w:rPr>
        <w:t>年度县政府常务会议学法目录清单。线上与线下相结合，乡（镇）、县级各部门通过学习会、报告会、研讨会、培训班等多种形式，实现学习培训全覆盖。以习近平法治思想引领全民普法工作，充分发挥各类普法阵地作用，组织新闻媒体通过专题专栏、权威访谈等形式进行阐释解读，深入基层开展有特色、接地气的宣讲活动，推动习近平法治思想入脑入心、</w:t>
      </w:r>
      <w:proofErr w:type="gramStart"/>
      <w:r>
        <w:rPr>
          <w:rFonts w:ascii="仿宋_GB2312" w:eastAsia="仿宋_GB2312" w:hAnsi="微软雅黑" w:hint="eastAsia"/>
          <w:color w:val="333333"/>
          <w:sz w:val="32"/>
          <w:szCs w:val="32"/>
        </w:rPr>
        <w:t>走深走实</w:t>
      </w:r>
      <w:proofErr w:type="gramEnd"/>
      <w:r>
        <w:rPr>
          <w:rFonts w:ascii="仿宋_GB2312" w:eastAsia="仿宋_GB2312" w:hAnsi="微软雅黑" w:hint="eastAsia"/>
          <w:color w:val="333333"/>
          <w:sz w:val="32"/>
          <w:szCs w:val="32"/>
        </w:rPr>
        <w:t>。组织全县</w:t>
      </w:r>
      <w:r>
        <w:rPr>
          <w:rFonts w:ascii="Times New Roman" w:eastAsia="微软雅黑" w:hAnsi="Times New Roman" w:cs="Times New Roman"/>
          <w:color w:val="333333"/>
          <w:sz w:val="32"/>
          <w:szCs w:val="32"/>
        </w:rPr>
        <w:t>2673</w:t>
      </w:r>
      <w:r>
        <w:rPr>
          <w:rFonts w:ascii="仿宋_GB2312" w:eastAsia="仿宋_GB2312" w:hAnsi="微软雅黑" w:hint="eastAsia"/>
          <w:color w:val="333333"/>
          <w:sz w:val="32"/>
          <w:szCs w:val="32"/>
        </w:rPr>
        <w:t>名工作人员运用四川省国家工作人员学法考法平台开展学法考试，参考及格率</w:t>
      </w:r>
      <w:r>
        <w:rPr>
          <w:rFonts w:ascii="Times New Roman" w:eastAsia="微软雅黑" w:hAnsi="Times New Roman" w:cs="Times New Roman"/>
          <w:color w:val="333333"/>
          <w:sz w:val="32"/>
          <w:szCs w:val="32"/>
        </w:rPr>
        <w:t>100%</w:t>
      </w:r>
      <w:r>
        <w:rPr>
          <w:rFonts w:ascii="仿宋_GB2312" w:eastAsia="仿宋_GB2312" w:hAnsi="微软雅黑" w:hint="eastAsia"/>
          <w:color w:val="333333"/>
          <w:sz w:val="32"/>
          <w:szCs w:val="32"/>
        </w:rPr>
        <w:t>。</w:t>
      </w:r>
    </w:p>
    <w:p w:rsidR="00721B13" w:rsidRDefault="00721B13" w:rsidP="00721B13">
      <w:pPr>
        <w:pStyle w:val="a8"/>
        <w:shd w:val="clear" w:color="auto" w:fill="FFFFFF"/>
        <w:spacing w:before="0" w:beforeAutospacing="0" w:after="0" w:afterAutospacing="0" w:line="560" w:lineRule="atLeast"/>
        <w:ind w:firstLine="643"/>
        <w:rPr>
          <w:rFonts w:ascii="微软雅黑" w:eastAsia="微软雅黑" w:hAnsi="微软雅黑" w:hint="eastAsia"/>
          <w:color w:val="333333"/>
          <w:sz w:val="27"/>
          <w:szCs w:val="27"/>
        </w:rPr>
      </w:pPr>
      <w:r>
        <w:rPr>
          <w:rStyle w:val="a9"/>
          <w:rFonts w:ascii="楷体_GB2312" w:eastAsia="楷体_GB2312" w:hAnsi="微软雅黑" w:hint="eastAsia"/>
          <w:color w:val="000000"/>
          <w:sz w:val="32"/>
          <w:szCs w:val="32"/>
        </w:rPr>
        <w:t>（三）持续提升行政决策科学化民主化法治化水平。</w:t>
      </w:r>
      <w:r>
        <w:rPr>
          <w:rFonts w:ascii="仿宋_GB2312" w:eastAsia="仿宋_GB2312" w:hAnsi="微软雅黑" w:hint="eastAsia"/>
          <w:color w:val="333333"/>
          <w:sz w:val="32"/>
          <w:szCs w:val="32"/>
        </w:rPr>
        <w:t>积极贯彻落实“三重一大”事项决策制度，严格遵循法定权限和程序</w:t>
      </w:r>
      <w:proofErr w:type="gramStart"/>
      <w:r>
        <w:rPr>
          <w:rFonts w:ascii="仿宋_GB2312" w:eastAsia="仿宋_GB2312" w:hAnsi="微软雅黑" w:hint="eastAsia"/>
          <w:color w:val="333333"/>
          <w:sz w:val="32"/>
          <w:szCs w:val="32"/>
        </w:rPr>
        <w:t>作出</w:t>
      </w:r>
      <w:proofErr w:type="gramEnd"/>
      <w:r>
        <w:rPr>
          <w:rFonts w:ascii="仿宋_GB2312" w:eastAsia="仿宋_GB2312" w:hAnsi="微软雅黑" w:hint="eastAsia"/>
          <w:color w:val="333333"/>
          <w:sz w:val="32"/>
          <w:szCs w:val="32"/>
        </w:rPr>
        <w:t>决策，确保决策内容符合法律法规规定，做到行政机关主要负责人</w:t>
      </w:r>
      <w:proofErr w:type="gramStart"/>
      <w:r>
        <w:rPr>
          <w:rFonts w:ascii="仿宋_GB2312" w:eastAsia="仿宋_GB2312" w:hAnsi="微软雅黑" w:hint="eastAsia"/>
          <w:color w:val="333333"/>
          <w:sz w:val="32"/>
          <w:szCs w:val="32"/>
        </w:rPr>
        <w:t>作出</w:t>
      </w:r>
      <w:proofErr w:type="gramEnd"/>
      <w:r>
        <w:rPr>
          <w:rFonts w:ascii="仿宋_GB2312" w:eastAsia="仿宋_GB2312" w:hAnsi="微软雅黑" w:hint="eastAsia"/>
          <w:color w:val="333333"/>
          <w:sz w:val="32"/>
          <w:szCs w:val="32"/>
        </w:rPr>
        <w:t>重大决策前，听取合法性审核机构的意见，把是否遵守决策程序制度、做到依法决策作为对全县各单位开展巡察和对行政机关主要负责人开展考核督察、经济责任审计的重要内容，防止个人专断、搞“一言堂”，全年开展合法性审核</w:t>
      </w:r>
      <w:r>
        <w:rPr>
          <w:rFonts w:ascii="Times New Roman" w:eastAsia="微软雅黑" w:hAnsi="Times New Roman" w:cs="Times New Roman"/>
          <w:color w:val="333333"/>
          <w:sz w:val="32"/>
          <w:szCs w:val="32"/>
        </w:rPr>
        <w:t>67</w:t>
      </w:r>
      <w:r>
        <w:rPr>
          <w:rFonts w:ascii="仿宋_GB2312" w:eastAsia="仿宋_GB2312" w:hAnsi="微软雅黑" w:hint="eastAsia"/>
          <w:color w:val="333333"/>
          <w:sz w:val="32"/>
          <w:szCs w:val="32"/>
        </w:rPr>
        <w:t>件。全面落实“一村（社区）</w:t>
      </w:r>
      <w:proofErr w:type="gramStart"/>
      <w:r>
        <w:rPr>
          <w:rFonts w:ascii="仿宋_GB2312" w:eastAsia="仿宋_GB2312" w:hAnsi="微软雅黑" w:hint="eastAsia"/>
          <w:color w:val="333333"/>
          <w:sz w:val="32"/>
          <w:szCs w:val="32"/>
        </w:rPr>
        <w:t>一</w:t>
      </w:r>
      <w:proofErr w:type="gramEnd"/>
      <w:r>
        <w:rPr>
          <w:rFonts w:ascii="仿宋_GB2312" w:eastAsia="仿宋_GB2312" w:hAnsi="微软雅黑" w:hint="eastAsia"/>
          <w:color w:val="333333"/>
          <w:sz w:val="32"/>
          <w:szCs w:val="32"/>
        </w:rPr>
        <w:t>法律顾问”制度，进一步加快推进党政机关法律顾问和公职律师工作。</w:t>
      </w:r>
    </w:p>
    <w:p w:rsidR="00721B13" w:rsidRDefault="00721B13" w:rsidP="00721B13">
      <w:pPr>
        <w:pStyle w:val="a8"/>
        <w:shd w:val="clear" w:color="auto" w:fill="FFFFFF"/>
        <w:spacing w:before="0" w:beforeAutospacing="0" w:after="0" w:afterAutospacing="0" w:line="560" w:lineRule="atLeast"/>
        <w:ind w:firstLine="643"/>
        <w:rPr>
          <w:rFonts w:ascii="微软雅黑" w:eastAsia="微软雅黑" w:hAnsi="微软雅黑" w:hint="eastAsia"/>
          <w:color w:val="333333"/>
          <w:sz w:val="27"/>
          <w:szCs w:val="27"/>
        </w:rPr>
      </w:pPr>
      <w:r>
        <w:rPr>
          <w:rStyle w:val="a9"/>
          <w:rFonts w:ascii="楷体_GB2312" w:eastAsia="楷体_GB2312" w:hAnsi="微软雅黑" w:hint="eastAsia"/>
          <w:color w:val="000000"/>
          <w:sz w:val="32"/>
          <w:szCs w:val="32"/>
        </w:rPr>
        <w:t>（四）加快推进政府治理规范化程序化法治化。</w:t>
      </w:r>
      <w:r>
        <w:rPr>
          <w:rFonts w:ascii="仿宋_GB2312" w:eastAsia="仿宋_GB2312" w:hAnsi="微软雅黑" w:hint="eastAsia"/>
          <w:color w:val="333333"/>
          <w:sz w:val="32"/>
          <w:szCs w:val="32"/>
        </w:rPr>
        <w:t>严格管理行政规范性文件，开展行政规范性文件合法性审核</w:t>
      </w:r>
      <w:r>
        <w:rPr>
          <w:rFonts w:ascii="Times New Roman" w:eastAsia="微软雅黑" w:hAnsi="Times New Roman" w:cs="Times New Roman"/>
          <w:color w:val="333333"/>
          <w:sz w:val="32"/>
          <w:szCs w:val="32"/>
        </w:rPr>
        <w:t>5</w:t>
      </w:r>
      <w:r>
        <w:rPr>
          <w:rFonts w:ascii="仿宋_GB2312" w:eastAsia="仿宋_GB2312" w:hAnsi="微软雅黑" w:hint="eastAsia"/>
          <w:color w:val="333333"/>
          <w:sz w:val="32"/>
          <w:szCs w:val="32"/>
        </w:rPr>
        <w:t>件，备案</w:t>
      </w:r>
      <w:r>
        <w:rPr>
          <w:rFonts w:ascii="Times New Roman" w:eastAsia="微软雅黑" w:hAnsi="Times New Roman" w:cs="Times New Roman"/>
          <w:color w:val="333333"/>
          <w:sz w:val="32"/>
          <w:szCs w:val="32"/>
        </w:rPr>
        <w:t>5</w:t>
      </w:r>
      <w:r>
        <w:rPr>
          <w:rFonts w:ascii="仿宋_GB2312" w:eastAsia="仿宋_GB2312" w:hAnsi="微软雅黑" w:hint="eastAsia"/>
          <w:color w:val="333333"/>
          <w:sz w:val="32"/>
          <w:szCs w:val="32"/>
        </w:rPr>
        <w:t>件，开展</w:t>
      </w:r>
      <w:proofErr w:type="gramStart"/>
      <w:r>
        <w:rPr>
          <w:rFonts w:ascii="仿宋_GB2312" w:eastAsia="仿宋_GB2312" w:hAnsi="微软雅黑" w:hint="eastAsia"/>
          <w:color w:val="333333"/>
          <w:sz w:val="32"/>
          <w:szCs w:val="32"/>
        </w:rPr>
        <w:t>专题网约车</w:t>
      </w:r>
      <w:proofErr w:type="gramEnd"/>
      <w:r>
        <w:rPr>
          <w:rFonts w:ascii="仿宋_GB2312" w:eastAsia="仿宋_GB2312" w:hAnsi="微软雅黑" w:hint="eastAsia"/>
          <w:color w:val="333333"/>
          <w:sz w:val="32"/>
          <w:szCs w:val="32"/>
        </w:rPr>
        <w:t>驾驶员户籍限制相关文件清理工作。推进重点民</w:t>
      </w:r>
      <w:r>
        <w:rPr>
          <w:rFonts w:ascii="仿宋_GB2312" w:eastAsia="仿宋_GB2312" w:hAnsi="微软雅黑" w:hint="eastAsia"/>
          <w:color w:val="333333"/>
          <w:sz w:val="32"/>
          <w:szCs w:val="32"/>
        </w:rPr>
        <w:lastRenderedPageBreak/>
        <w:t>生工作信息公开，印发《关于做好</w:t>
      </w:r>
      <w:r>
        <w:rPr>
          <w:rFonts w:ascii="Times New Roman" w:eastAsia="微软雅黑" w:hAnsi="Times New Roman" w:cs="Times New Roman"/>
          <w:color w:val="333333"/>
          <w:sz w:val="32"/>
          <w:szCs w:val="32"/>
        </w:rPr>
        <w:t>2022</w:t>
      </w:r>
      <w:r>
        <w:rPr>
          <w:rFonts w:ascii="仿宋_GB2312" w:eastAsia="仿宋_GB2312" w:hAnsi="微软雅黑" w:hint="eastAsia"/>
          <w:color w:val="333333"/>
          <w:sz w:val="32"/>
          <w:szCs w:val="32"/>
        </w:rPr>
        <w:t>年全县政务公开、政府网站暨政府系统政务新媒体工作的通知》《盐边县</w:t>
      </w:r>
      <w:r>
        <w:rPr>
          <w:rFonts w:ascii="Times New Roman" w:eastAsia="微软雅黑" w:hAnsi="Times New Roman" w:cs="Times New Roman"/>
          <w:color w:val="333333"/>
          <w:sz w:val="32"/>
          <w:szCs w:val="32"/>
        </w:rPr>
        <w:t>2022</w:t>
      </w:r>
      <w:r>
        <w:rPr>
          <w:rFonts w:ascii="仿宋_GB2312" w:eastAsia="仿宋_GB2312" w:hAnsi="微软雅黑" w:hint="eastAsia"/>
          <w:color w:val="333333"/>
          <w:sz w:val="32"/>
          <w:szCs w:val="32"/>
        </w:rPr>
        <w:t>年度政务公开要点》，规范我县有序开展政府公报公开公正，</w:t>
      </w:r>
      <w:r>
        <w:rPr>
          <w:rFonts w:ascii="Times New Roman" w:eastAsia="微软雅黑" w:hAnsi="Times New Roman" w:cs="Times New Roman"/>
          <w:color w:val="333333"/>
          <w:sz w:val="32"/>
          <w:szCs w:val="32"/>
        </w:rPr>
        <w:t>2020</w:t>
      </w:r>
      <w:r>
        <w:rPr>
          <w:rFonts w:ascii="仿宋_GB2312" w:eastAsia="仿宋_GB2312" w:hAnsi="微软雅黑" w:hint="eastAsia"/>
          <w:color w:val="333333"/>
          <w:sz w:val="32"/>
          <w:szCs w:val="32"/>
        </w:rPr>
        <w:t>年主动公开发布信息共计</w:t>
      </w:r>
      <w:r>
        <w:rPr>
          <w:rFonts w:ascii="Times New Roman" w:eastAsia="微软雅黑" w:hAnsi="Times New Roman" w:cs="Times New Roman"/>
          <w:color w:val="333333"/>
          <w:sz w:val="32"/>
          <w:szCs w:val="32"/>
        </w:rPr>
        <w:t>31000</w:t>
      </w:r>
      <w:r>
        <w:rPr>
          <w:rFonts w:ascii="仿宋_GB2312" w:eastAsia="仿宋_GB2312" w:hAnsi="微软雅黑" w:hint="eastAsia"/>
          <w:color w:val="333333"/>
          <w:sz w:val="32"/>
          <w:szCs w:val="32"/>
        </w:rPr>
        <w:t>条。</w:t>
      </w:r>
    </w:p>
    <w:p w:rsidR="00721B13" w:rsidRDefault="00721B13" w:rsidP="00721B13">
      <w:pPr>
        <w:pStyle w:val="a8"/>
        <w:shd w:val="clear" w:color="auto" w:fill="FFFFFF"/>
        <w:spacing w:before="0" w:beforeAutospacing="0" w:after="0" w:afterAutospacing="0" w:line="560" w:lineRule="atLeast"/>
        <w:ind w:firstLine="643"/>
        <w:rPr>
          <w:rFonts w:ascii="微软雅黑" w:eastAsia="微软雅黑" w:hAnsi="微软雅黑" w:hint="eastAsia"/>
          <w:color w:val="333333"/>
          <w:sz w:val="27"/>
          <w:szCs w:val="27"/>
        </w:rPr>
      </w:pPr>
      <w:r>
        <w:rPr>
          <w:rStyle w:val="a9"/>
          <w:rFonts w:ascii="楷体_GB2312" w:eastAsia="楷体_GB2312" w:hAnsi="微软雅黑" w:hint="eastAsia"/>
          <w:color w:val="000000"/>
          <w:sz w:val="32"/>
          <w:szCs w:val="32"/>
        </w:rPr>
        <w:t>（五）严格规范公正文明执法。</w:t>
      </w:r>
      <w:r>
        <w:rPr>
          <w:rFonts w:ascii="仿宋_GB2312" w:eastAsia="仿宋_GB2312" w:hAnsi="微软雅黑" w:hint="eastAsia"/>
          <w:color w:val="333333"/>
          <w:sz w:val="32"/>
          <w:szCs w:val="32"/>
        </w:rPr>
        <w:t>深化行政执法体制改革，稳步推进应急管理、自然资源等领域综合行政执法体制改革，进一步整合综合行政执法队伍。印发《关于建立县乡综合行政执法协调配合工作机制的实施意见》，打造高效顺畅的县乡两级行政执法联动机制，明确权责分工，强化县乡联动，规范行政执法行为。全面落实行政执法“三项制度”，持续深入开展人民群众最不满意行政执法突出问题承诺整改活动。推进多领域依法治理，以开展“昆仑</w:t>
      </w:r>
      <w:r>
        <w:rPr>
          <w:rFonts w:ascii="Times New Roman" w:eastAsia="微软雅黑" w:hAnsi="Times New Roman" w:cs="Times New Roman"/>
          <w:color w:val="333333"/>
          <w:sz w:val="32"/>
          <w:szCs w:val="32"/>
        </w:rPr>
        <w:t>2022</w:t>
      </w:r>
      <w:r>
        <w:rPr>
          <w:rFonts w:ascii="仿宋_GB2312" w:eastAsia="仿宋_GB2312" w:hAnsi="微软雅黑" w:hint="eastAsia"/>
          <w:color w:val="333333"/>
          <w:sz w:val="32"/>
          <w:szCs w:val="32"/>
        </w:rPr>
        <w:t>”“净网</w:t>
      </w:r>
      <w:r>
        <w:rPr>
          <w:rFonts w:ascii="Times New Roman" w:eastAsia="微软雅黑" w:hAnsi="Times New Roman" w:cs="Times New Roman"/>
          <w:color w:val="333333"/>
          <w:sz w:val="32"/>
          <w:szCs w:val="32"/>
        </w:rPr>
        <w:t>2022</w:t>
      </w:r>
      <w:r>
        <w:rPr>
          <w:rFonts w:ascii="仿宋_GB2312" w:eastAsia="仿宋_GB2312" w:hAnsi="微软雅黑" w:hint="eastAsia"/>
          <w:color w:val="333333"/>
          <w:sz w:val="32"/>
          <w:szCs w:val="32"/>
        </w:rPr>
        <w:t>”、打击整治养老诈骗等专项行动为抓手，落实“打防管控治”，破案打击质效明显提升，每月绩效评估位于全市前列。开展</w:t>
      </w:r>
      <w:r>
        <w:rPr>
          <w:rFonts w:ascii="Times New Roman" w:eastAsia="微软雅黑" w:hAnsi="Times New Roman" w:cs="Times New Roman"/>
          <w:color w:val="333333"/>
          <w:sz w:val="32"/>
          <w:szCs w:val="32"/>
        </w:rPr>
        <w:t>2022</w:t>
      </w:r>
      <w:r>
        <w:rPr>
          <w:rFonts w:ascii="仿宋_GB2312" w:eastAsia="仿宋_GB2312" w:hAnsi="微软雅黑" w:hint="eastAsia"/>
          <w:color w:val="333333"/>
          <w:sz w:val="32"/>
          <w:szCs w:val="32"/>
        </w:rPr>
        <w:t>年度行政执法案卷评查工作，自查一般程序行政处罚案卷</w:t>
      </w:r>
      <w:r>
        <w:rPr>
          <w:rFonts w:ascii="Times New Roman" w:eastAsia="微软雅黑" w:hAnsi="Times New Roman" w:cs="Times New Roman"/>
          <w:color w:val="333333"/>
          <w:sz w:val="32"/>
          <w:szCs w:val="32"/>
        </w:rPr>
        <w:t>590</w:t>
      </w:r>
      <w:r>
        <w:rPr>
          <w:rFonts w:ascii="仿宋_GB2312" w:eastAsia="仿宋_GB2312" w:hAnsi="微软雅黑" w:hint="eastAsia"/>
          <w:color w:val="333333"/>
          <w:sz w:val="32"/>
          <w:szCs w:val="32"/>
        </w:rPr>
        <w:t>件、行政许可案卷</w:t>
      </w:r>
      <w:r>
        <w:rPr>
          <w:rFonts w:ascii="Times New Roman" w:eastAsia="微软雅黑" w:hAnsi="Times New Roman" w:cs="Times New Roman"/>
          <w:color w:val="333333"/>
          <w:sz w:val="32"/>
          <w:szCs w:val="32"/>
        </w:rPr>
        <w:t>4884</w:t>
      </w:r>
      <w:r>
        <w:rPr>
          <w:rFonts w:ascii="仿宋_GB2312" w:eastAsia="仿宋_GB2312" w:hAnsi="微软雅黑" w:hint="eastAsia"/>
          <w:color w:val="333333"/>
          <w:sz w:val="32"/>
          <w:szCs w:val="32"/>
        </w:rPr>
        <w:t>件，集中评查（抽查）一般程序行政处罚案卷</w:t>
      </w:r>
      <w:r>
        <w:rPr>
          <w:rFonts w:ascii="Times New Roman" w:eastAsia="微软雅黑" w:hAnsi="Times New Roman" w:cs="Times New Roman"/>
          <w:color w:val="333333"/>
          <w:sz w:val="32"/>
          <w:szCs w:val="32"/>
        </w:rPr>
        <w:t>12</w:t>
      </w:r>
      <w:r>
        <w:rPr>
          <w:rFonts w:ascii="仿宋_GB2312" w:eastAsia="仿宋_GB2312" w:hAnsi="微软雅黑" w:hint="eastAsia"/>
          <w:color w:val="333333"/>
          <w:sz w:val="32"/>
          <w:szCs w:val="32"/>
        </w:rPr>
        <w:t>件、行政许可案卷</w:t>
      </w:r>
      <w:r>
        <w:rPr>
          <w:rFonts w:ascii="Times New Roman" w:eastAsia="微软雅黑" w:hAnsi="Times New Roman" w:cs="Times New Roman"/>
          <w:color w:val="333333"/>
          <w:sz w:val="32"/>
          <w:szCs w:val="32"/>
        </w:rPr>
        <w:t>12</w:t>
      </w:r>
      <w:r>
        <w:rPr>
          <w:rFonts w:ascii="仿宋_GB2312" w:eastAsia="仿宋_GB2312" w:hAnsi="微软雅黑" w:hint="eastAsia"/>
          <w:color w:val="333333"/>
          <w:sz w:val="32"/>
          <w:szCs w:val="32"/>
        </w:rPr>
        <w:t>件。赋权乡（镇）行政权力事项126项，扎实开展</w:t>
      </w:r>
      <w:r>
        <w:rPr>
          <w:rFonts w:ascii="Times New Roman" w:eastAsia="微软雅黑" w:hAnsi="Times New Roman" w:cs="Times New Roman"/>
          <w:color w:val="333333"/>
          <w:sz w:val="32"/>
          <w:szCs w:val="32"/>
        </w:rPr>
        <w:t>2022</w:t>
      </w:r>
      <w:r>
        <w:rPr>
          <w:rFonts w:ascii="仿宋_GB2312" w:eastAsia="仿宋_GB2312" w:hAnsi="微软雅黑" w:hint="eastAsia"/>
          <w:color w:val="333333"/>
          <w:sz w:val="32"/>
          <w:szCs w:val="32"/>
        </w:rPr>
        <w:t>年行政执法培训</w:t>
      </w:r>
      <w:proofErr w:type="gramStart"/>
      <w:r>
        <w:rPr>
          <w:rFonts w:ascii="仿宋_GB2312" w:eastAsia="仿宋_GB2312" w:hAnsi="微软雅黑" w:hint="eastAsia"/>
          <w:color w:val="333333"/>
          <w:sz w:val="32"/>
          <w:szCs w:val="32"/>
        </w:rPr>
        <w:t>暨考试</w:t>
      </w:r>
      <w:proofErr w:type="gramEnd"/>
      <w:r>
        <w:rPr>
          <w:rFonts w:ascii="仿宋_GB2312" w:eastAsia="仿宋_GB2312" w:hAnsi="微软雅黑" w:hint="eastAsia"/>
          <w:color w:val="333333"/>
          <w:sz w:val="32"/>
          <w:szCs w:val="32"/>
        </w:rPr>
        <w:t>工作，切实解决各乡（镇）行政执法力量薄弱问题，确保下放行政权力事项落得实、接得住、管得好，截至2022年</w:t>
      </w:r>
      <w:r>
        <w:rPr>
          <w:rFonts w:ascii="Times New Roman" w:eastAsia="微软雅黑" w:hAnsi="Times New Roman" w:cs="Times New Roman"/>
          <w:color w:val="333333"/>
          <w:sz w:val="32"/>
          <w:szCs w:val="32"/>
        </w:rPr>
        <w:t>12</w:t>
      </w:r>
      <w:r>
        <w:rPr>
          <w:rFonts w:ascii="仿宋_GB2312" w:eastAsia="仿宋_GB2312" w:hAnsi="微软雅黑" w:hint="eastAsia"/>
          <w:color w:val="333333"/>
          <w:sz w:val="32"/>
          <w:szCs w:val="32"/>
        </w:rPr>
        <w:t>月，全县共有行政执法人员</w:t>
      </w:r>
      <w:r>
        <w:rPr>
          <w:rFonts w:ascii="Times New Roman" w:eastAsia="微软雅黑" w:hAnsi="Times New Roman" w:cs="Times New Roman"/>
          <w:color w:val="333333"/>
          <w:sz w:val="32"/>
          <w:szCs w:val="32"/>
        </w:rPr>
        <w:t>677</w:t>
      </w:r>
      <w:r>
        <w:rPr>
          <w:rFonts w:ascii="仿宋_GB2312" w:eastAsia="仿宋_GB2312" w:hAnsi="微软雅黑" w:hint="eastAsia"/>
          <w:color w:val="333333"/>
          <w:sz w:val="32"/>
          <w:szCs w:val="32"/>
        </w:rPr>
        <w:t>名。</w:t>
      </w:r>
    </w:p>
    <w:p w:rsidR="00721B13" w:rsidRDefault="00721B13" w:rsidP="00721B13">
      <w:pPr>
        <w:pStyle w:val="a8"/>
        <w:shd w:val="clear" w:color="auto" w:fill="FFFFFF"/>
        <w:spacing w:before="0" w:beforeAutospacing="0" w:after="0" w:afterAutospacing="0" w:line="560" w:lineRule="atLeast"/>
        <w:ind w:firstLine="643"/>
        <w:rPr>
          <w:rFonts w:ascii="微软雅黑" w:eastAsia="微软雅黑" w:hAnsi="微软雅黑" w:hint="eastAsia"/>
          <w:color w:val="333333"/>
          <w:sz w:val="27"/>
          <w:szCs w:val="27"/>
        </w:rPr>
      </w:pPr>
      <w:r>
        <w:rPr>
          <w:rStyle w:val="a9"/>
          <w:rFonts w:ascii="楷体_GB2312" w:eastAsia="楷体_GB2312" w:hAnsi="微软雅黑" w:hint="eastAsia"/>
          <w:color w:val="000000"/>
          <w:sz w:val="32"/>
          <w:szCs w:val="32"/>
        </w:rPr>
        <w:lastRenderedPageBreak/>
        <w:t>（六）健全完善社会矛盾纠纷行政预防调处化解体系。</w:t>
      </w:r>
      <w:r>
        <w:rPr>
          <w:rFonts w:ascii="仿宋_GB2312" w:eastAsia="仿宋_GB2312" w:hAnsi="微软雅黑" w:hint="eastAsia"/>
          <w:color w:val="333333"/>
          <w:sz w:val="32"/>
          <w:szCs w:val="32"/>
        </w:rPr>
        <w:t>深化行政复议体制改革，成立盐边县人民政府行政复议办公室，履行县政府行政复议机构职责，依法办理行政复议事项，配备</w:t>
      </w:r>
      <w:r>
        <w:rPr>
          <w:rFonts w:ascii="Times New Roman" w:eastAsia="微软雅黑" w:hAnsi="Times New Roman" w:cs="Times New Roman"/>
          <w:color w:val="333333"/>
          <w:sz w:val="32"/>
          <w:szCs w:val="32"/>
        </w:rPr>
        <w:t>2</w:t>
      </w:r>
      <w:r>
        <w:rPr>
          <w:rFonts w:ascii="仿宋_GB2312" w:eastAsia="仿宋_GB2312" w:hAnsi="微软雅黑" w:hint="eastAsia"/>
          <w:color w:val="333333"/>
          <w:sz w:val="32"/>
          <w:szCs w:val="32"/>
        </w:rPr>
        <w:t>名行政复议专职工作人员，专门负责行政复议与应诉案件办理，全年共受（审）</w:t>
      </w:r>
      <w:proofErr w:type="gramStart"/>
      <w:r>
        <w:rPr>
          <w:rFonts w:ascii="仿宋_GB2312" w:eastAsia="仿宋_GB2312" w:hAnsi="微软雅黑" w:hint="eastAsia"/>
          <w:color w:val="333333"/>
          <w:sz w:val="32"/>
          <w:szCs w:val="32"/>
        </w:rPr>
        <w:t>理行政</w:t>
      </w:r>
      <w:proofErr w:type="gramEnd"/>
      <w:r>
        <w:rPr>
          <w:rFonts w:ascii="仿宋_GB2312" w:eastAsia="仿宋_GB2312" w:hAnsi="微软雅黑" w:hint="eastAsia"/>
          <w:color w:val="333333"/>
          <w:sz w:val="32"/>
          <w:szCs w:val="32"/>
        </w:rPr>
        <w:t>复议案件</w:t>
      </w:r>
      <w:r>
        <w:rPr>
          <w:rFonts w:ascii="Times New Roman" w:eastAsia="微软雅黑" w:hAnsi="Times New Roman" w:cs="Times New Roman"/>
          <w:color w:val="333333"/>
          <w:sz w:val="32"/>
          <w:szCs w:val="32"/>
        </w:rPr>
        <w:t>18</w:t>
      </w:r>
      <w:r>
        <w:rPr>
          <w:rFonts w:ascii="仿宋_GB2312" w:eastAsia="仿宋_GB2312" w:hAnsi="微软雅黑" w:hint="eastAsia"/>
          <w:color w:val="333333"/>
          <w:sz w:val="32"/>
          <w:szCs w:val="32"/>
        </w:rPr>
        <w:t>件。办理行政诉讼案件</w:t>
      </w:r>
      <w:r>
        <w:rPr>
          <w:rFonts w:ascii="Times New Roman" w:eastAsia="微软雅黑" w:hAnsi="Times New Roman" w:cs="Times New Roman"/>
          <w:color w:val="333333"/>
          <w:sz w:val="32"/>
          <w:szCs w:val="32"/>
        </w:rPr>
        <w:t>47</w:t>
      </w:r>
      <w:r>
        <w:rPr>
          <w:rFonts w:ascii="仿宋_GB2312" w:eastAsia="仿宋_GB2312" w:hAnsi="微软雅黑" w:hint="eastAsia"/>
          <w:color w:val="333333"/>
          <w:sz w:val="32"/>
          <w:szCs w:val="32"/>
        </w:rPr>
        <w:t>件，行政负责人出庭应诉率达</w:t>
      </w:r>
      <w:r>
        <w:rPr>
          <w:rFonts w:ascii="Times New Roman" w:eastAsia="微软雅黑" w:hAnsi="Times New Roman" w:cs="Times New Roman"/>
          <w:color w:val="333333"/>
          <w:sz w:val="32"/>
          <w:szCs w:val="32"/>
        </w:rPr>
        <w:t>100%</w:t>
      </w:r>
      <w:r>
        <w:rPr>
          <w:rFonts w:ascii="仿宋_GB2312" w:eastAsia="仿宋_GB2312" w:hAnsi="微软雅黑" w:hint="eastAsia"/>
          <w:color w:val="333333"/>
          <w:sz w:val="32"/>
          <w:szCs w:val="32"/>
        </w:rPr>
        <w:t>。贯彻落实《四川省纠纷多元化解条例》，构建党委领导、政府负责、民主协商、社会协同、公众参与、法治保障、科技支撑的矛盾多元预防调处化解体系，建立</w:t>
      </w:r>
      <w:r>
        <w:rPr>
          <w:rFonts w:ascii="Times New Roman" w:eastAsia="微软雅黑" w:hAnsi="Times New Roman" w:cs="Times New Roman"/>
          <w:color w:val="333333"/>
          <w:sz w:val="32"/>
          <w:szCs w:val="32"/>
        </w:rPr>
        <w:t>1</w:t>
      </w:r>
      <w:r>
        <w:rPr>
          <w:rFonts w:ascii="仿宋_GB2312" w:eastAsia="仿宋_GB2312" w:hAnsi="微软雅黑" w:hint="eastAsia"/>
          <w:color w:val="333333"/>
          <w:sz w:val="32"/>
          <w:szCs w:val="32"/>
        </w:rPr>
        <w:t>个县级、</w:t>
      </w:r>
      <w:r>
        <w:rPr>
          <w:rFonts w:ascii="Times New Roman" w:eastAsia="微软雅黑" w:hAnsi="Times New Roman" w:cs="Times New Roman"/>
          <w:color w:val="333333"/>
          <w:sz w:val="32"/>
          <w:szCs w:val="32"/>
        </w:rPr>
        <w:t>12</w:t>
      </w:r>
      <w:r>
        <w:rPr>
          <w:rFonts w:ascii="仿宋_GB2312" w:eastAsia="仿宋_GB2312" w:hAnsi="微软雅黑" w:hint="eastAsia"/>
          <w:color w:val="333333"/>
          <w:sz w:val="32"/>
          <w:szCs w:val="32"/>
        </w:rPr>
        <w:t>个乡（镇）矛盾纠纷多元化解中心暨人民调解中心，</w:t>
      </w:r>
      <w:r>
        <w:rPr>
          <w:rFonts w:ascii="Times New Roman" w:eastAsia="微软雅黑" w:hAnsi="Times New Roman" w:cs="Times New Roman"/>
          <w:color w:val="333333"/>
          <w:sz w:val="32"/>
          <w:szCs w:val="32"/>
        </w:rPr>
        <w:t>2022</w:t>
      </w:r>
      <w:r>
        <w:rPr>
          <w:rFonts w:ascii="仿宋_GB2312" w:eastAsia="仿宋_GB2312" w:hAnsi="微软雅黑" w:hint="eastAsia"/>
          <w:color w:val="333333"/>
          <w:sz w:val="32"/>
          <w:szCs w:val="32"/>
        </w:rPr>
        <w:t>年共调解案件</w:t>
      </w:r>
      <w:r>
        <w:rPr>
          <w:rFonts w:ascii="Times New Roman" w:eastAsia="微软雅黑" w:hAnsi="Times New Roman" w:cs="Times New Roman"/>
          <w:color w:val="333333"/>
          <w:sz w:val="32"/>
          <w:szCs w:val="32"/>
        </w:rPr>
        <w:t>1776</w:t>
      </w:r>
      <w:r>
        <w:rPr>
          <w:rFonts w:ascii="仿宋_GB2312" w:eastAsia="仿宋_GB2312" w:hAnsi="微软雅黑" w:hint="eastAsia"/>
          <w:color w:val="333333"/>
          <w:sz w:val="32"/>
          <w:szCs w:val="32"/>
        </w:rPr>
        <w:t>件。</w:t>
      </w:r>
    </w:p>
    <w:p w:rsidR="00721B13" w:rsidRDefault="00721B13" w:rsidP="00721B13">
      <w:pPr>
        <w:pStyle w:val="a8"/>
        <w:shd w:val="clear" w:color="auto" w:fill="FFFFFF"/>
        <w:spacing w:before="0" w:beforeAutospacing="0" w:after="0" w:afterAutospacing="0" w:line="560" w:lineRule="atLeast"/>
        <w:ind w:firstLine="643"/>
        <w:rPr>
          <w:rFonts w:ascii="微软雅黑" w:eastAsia="微软雅黑" w:hAnsi="微软雅黑" w:hint="eastAsia"/>
          <w:color w:val="333333"/>
          <w:sz w:val="27"/>
          <w:szCs w:val="27"/>
        </w:rPr>
      </w:pPr>
      <w:r>
        <w:rPr>
          <w:rStyle w:val="a9"/>
          <w:rFonts w:ascii="楷体_GB2312" w:eastAsia="楷体_GB2312" w:hAnsi="微软雅黑" w:hint="eastAsia"/>
          <w:color w:val="000000"/>
          <w:sz w:val="32"/>
          <w:szCs w:val="32"/>
        </w:rPr>
        <w:t>（七）优化提升法治营商环境。</w:t>
      </w:r>
      <w:r>
        <w:rPr>
          <w:rFonts w:ascii="仿宋_GB2312" w:eastAsia="仿宋_GB2312" w:hAnsi="微软雅黑" w:hint="eastAsia"/>
          <w:color w:val="333333"/>
          <w:sz w:val="32"/>
          <w:szCs w:val="32"/>
        </w:rPr>
        <w:t>贯彻落实《四川省优化营商环境条例》，持续开展营商环境评价，及时调整完善优化营商环境的政策措施，建立健全招投标领域行政监督部门常态化协同机制，积极推进市场主体诚信体系建设，落实涉</w:t>
      </w:r>
      <w:proofErr w:type="gramStart"/>
      <w:r>
        <w:rPr>
          <w:rFonts w:ascii="仿宋_GB2312" w:eastAsia="仿宋_GB2312" w:hAnsi="微软雅黑" w:hint="eastAsia"/>
          <w:color w:val="333333"/>
          <w:sz w:val="32"/>
          <w:szCs w:val="32"/>
        </w:rPr>
        <w:t>企统一</w:t>
      </w:r>
      <w:proofErr w:type="gramEnd"/>
      <w:r>
        <w:rPr>
          <w:rFonts w:ascii="仿宋_GB2312" w:eastAsia="仿宋_GB2312" w:hAnsi="微软雅黑" w:hint="eastAsia"/>
          <w:color w:val="333333"/>
          <w:sz w:val="32"/>
          <w:szCs w:val="32"/>
        </w:rPr>
        <w:t>归集公示工作，推动信用核查和联合奖惩措施作为必要环节嵌入各审批业务流程。持续推进政务服务“川渝通办”，聚焦企业、群众需求，实现第三批川</w:t>
      </w:r>
      <w:proofErr w:type="gramStart"/>
      <w:r>
        <w:rPr>
          <w:rFonts w:ascii="仿宋_GB2312" w:eastAsia="仿宋_GB2312" w:hAnsi="微软雅黑" w:hint="eastAsia"/>
          <w:color w:val="333333"/>
          <w:sz w:val="32"/>
          <w:szCs w:val="32"/>
        </w:rPr>
        <w:t>渝通办事</w:t>
      </w:r>
      <w:proofErr w:type="gramEnd"/>
      <w:r>
        <w:rPr>
          <w:rFonts w:ascii="仿宋_GB2312" w:eastAsia="仿宋_GB2312" w:hAnsi="微软雅黑" w:hint="eastAsia"/>
          <w:color w:val="333333"/>
          <w:sz w:val="32"/>
          <w:szCs w:val="32"/>
        </w:rPr>
        <w:t>项异地可办，推出</w:t>
      </w:r>
      <w:r>
        <w:rPr>
          <w:rFonts w:ascii="仿宋_GB2312" w:eastAsia="仿宋_GB2312" w:hAnsi="微软雅黑" w:hint="eastAsia"/>
          <w:color w:val="000000"/>
          <w:sz w:val="32"/>
          <w:szCs w:val="32"/>
        </w:rPr>
        <w:t>“政务服务+邮政”“政务服务+康养”“政务服务+乡村振兴”等站点建设。建立政务信息资源共享机制，加强与周边地区政务数据交换共享平台对接。探索建立食品药品、交通运输、生态环境保护、文化旅游等领域</w:t>
      </w:r>
      <w:r>
        <w:rPr>
          <w:rFonts w:ascii="仿宋_GB2312" w:eastAsia="仿宋_GB2312" w:hAnsi="微软雅黑" w:hint="eastAsia"/>
          <w:color w:val="000000"/>
          <w:sz w:val="32"/>
          <w:szCs w:val="32"/>
        </w:rPr>
        <w:lastRenderedPageBreak/>
        <w:t>跨区域执法协作机制，加强行政执法协作，协同开展知识产权维权援助。优化法律服务供给，推进实体平台、网络平台、热线平台整合发展，满足群众需求。</w:t>
      </w:r>
    </w:p>
    <w:p w:rsidR="00721B13" w:rsidRDefault="00721B13" w:rsidP="00721B13">
      <w:pPr>
        <w:pStyle w:val="a8"/>
        <w:shd w:val="clear" w:color="auto" w:fill="FFFFFF"/>
        <w:spacing w:before="0" w:beforeAutospacing="0" w:after="0" w:afterAutospacing="0" w:line="560" w:lineRule="atLeast"/>
        <w:ind w:firstLine="643"/>
        <w:rPr>
          <w:rFonts w:ascii="微软雅黑" w:eastAsia="微软雅黑" w:hAnsi="微软雅黑" w:hint="eastAsia"/>
          <w:color w:val="333333"/>
          <w:sz w:val="27"/>
          <w:szCs w:val="27"/>
        </w:rPr>
      </w:pPr>
      <w:r>
        <w:rPr>
          <w:rStyle w:val="a9"/>
          <w:rFonts w:ascii="楷体_GB2312" w:eastAsia="楷体_GB2312" w:hAnsi="微软雅黑" w:hint="eastAsia"/>
          <w:color w:val="000000"/>
          <w:sz w:val="32"/>
          <w:szCs w:val="32"/>
        </w:rPr>
        <w:t>（八）推进数字法治政府建设。</w:t>
      </w:r>
      <w:r>
        <w:rPr>
          <w:rFonts w:ascii="仿宋_GB2312" w:eastAsia="仿宋_GB2312" w:hAnsi="微软雅黑" w:hint="eastAsia"/>
          <w:color w:val="333333"/>
          <w:sz w:val="32"/>
          <w:szCs w:val="32"/>
        </w:rPr>
        <w:t>积极配合推进新的“市场准入自公告预服务”系统上线，大力推进“网上办”“掌上办”政务服务事项由“网上可办”向“全程网办”转变，全年</w:t>
      </w:r>
      <w:proofErr w:type="gramStart"/>
      <w:r>
        <w:rPr>
          <w:rFonts w:ascii="仿宋_GB2312" w:eastAsia="仿宋_GB2312" w:hAnsi="微软雅黑" w:hint="eastAsia"/>
          <w:color w:val="333333"/>
          <w:sz w:val="32"/>
          <w:szCs w:val="32"/>
        </w:rPr>
        <w:t>全程网办</w:t>
      </w:r>
      <w:proofErr w:type="gramEnd"/>
      <w:r>
        <w:rPr>
          <w:rFonts w:ascii="仿宋_GB2312" w:eastAsia="仿宋_GB2312" w:hAnsi="微软雅黑" w:hint="eastAsia"/>
          <w:color w:val="333333"/>
          <w:sz w:val="32"/>
          <w:szCs w:val="32"/>
        </w:rPr>
        <w:t>受理办结的企业业务</w:t>
      </w:r>
      <w:r>
        <w:rPr>
          <w:rFonts w:ascii="Times New Roman" w:eastAsia="微软雅黑" w:hAnsi="Times New Roman" w:cs="Times New Roman"/>
          <w:color w:val="333333"/>
          <w:sz w:val="32"/>
          <w:szCs w:val="32"/>
        </w:rPr>
        <w:t>594</w:t>
      </w:r>
      <w:r>
        <w:rPr>
          <w:rFonts w:ascii="仿宋_GB2312" w:eastAsia="仿宋_GB2312" w:hAnsi="微软雅黑" w:hint="eastAsia"/>
          <w:color w:val="333333"/>
          <w:sz w:val="32"/>
          <w:szCs w:val="32"/>
        </w:rPr>
        <w:t>件，个体业务</w:t>
      </w:r>
      <w:r>
        <w:rPr>
          <w:rFonts w:ascii="Times New Roman" w:eastAsia="微软雅黑" w:hAnsi="Times New Roman" w:cs="Times New Roman"/>
          <w:color w:val="333333"/>
          <w:sz w:val="32"/>
          <w:szCs w:val="32"/>
        </w:rPr>
        <w:t>1165</w:t>
      </w:r>
      <w:r>
        <w:rPr>
          <w:rFonts w:ascii="仿宋_GB2312" w:eastAsia="仿宋_GB2312" w:hAnsi="微软雅黑" w:hint="eastAsia"/>
          <w:color w:val="333333"/>
          <w:sz w:val="32"/>
          <w:szCs w:val="32"/>
        </w:rPr>
        <w:t>件。巩固提升一网通办，优化简化办理流程，企业注销登记公告时间由原来的</w:t>
      </w:r>
      <w:r>
        <w:rPr>
          <w:rFonts w:ascii="Times New Roman" w:eastAsia="微软雅黑" w:hAnsi="Times New Roman" w:cs="Times New Roman"/>
          <w:color w:val="333333"/>
          <w:sz w:val="32"/>
          <w:szCs w:val="32"/>
        </w:rPr>
        <w:t>45</w:t>
      </w:r>
      <w:r>
        <w:rPr>
          <w:rFonts w:ascii="仿宋_GB2312" w:eastAsia="仿宋_GB2312" w:hAnsi="微软雅黑" w:hint="eastAsia"/>
          <w:color w:val="333333"/>
          <w:sz w:val="32"/>
          <w:szCs w:val="32"/>
        </w:rPr>
        <w:t>天压缩至</w:t>
      </w:r>
      <w:r>
        <w:rPr>
          <w:rFonts w:ascii="Times New Roman" w:eastAsia="微软雅黑" w:hAnsi="Times New Roman" w:cs="Times New Roman"/>
          <w:color w:val="333333"/>
          <w:sz w:val="32"/>
          <w:szCs w:val="32"/>
        </w:rPr>
        <w:t>20</w:t>
      </w:r>
      <w:r>
        <w:rPr>
          <w:rFonts w:ascii="仿宋_GB2312" w:eastAsia="仿宋_GB2312" w:hAnsi="微软雅黑" w:hint="eastAsia"/>
          <w:color w:val="333333"/>
          <w:sz w:val="32"/>
          <w:szCs w:val="32"/>
        </w:rPr>
        <w:t>天，税费“服务圈”缩短至</w:t>
      </w:r>
      <w:r>
        <w:rPr>
          <w:rFonts w:ascii="Times New Roman" w:eastAsia="微软雅黑" w:hAnsi="Times New Roman" w:cs="Times New Roman"/>
          <w:color w:val="333333"/>
          <w:sz w:val="32"/>
          <w:szCs w:val="32"/>
        </w:rPr>
        <w:t>30</w:t>
      </w:r>
      <w:r>
        <w:rPr>
          <w:rFonts w:ascii="仿宋_GB2312" w:eastAsia="仿宋_GB2312" w:hAnsi="微软雅黑" w:hint="eastAsia"/>
          <w:color w:val="333333"/>
          <w:sz w:val="32"/>
          <w:szCs w:val="32"/>
        </w:rPr>
        <w:t>分钟内，办税缴费成本节约超</w:t>
      </w:r>
      <w:r>
        <w:rPr>
          <w:rFonts w:ascii="Times New Roman" w:eastAsia="微软雅黑" w:hAnsi="Times New Roman" w:cs="Times New Roman"/>
          <w:color w:val="333333"/>
          <w:sz w:val="32"/>
          <w:szCs w:val="32"/>
        </w:rPr>
        <w:t>30%</w:t>
      </w:r>
      <w:r>
        <w:rPr>
          <w:rFonts w:ascii="仿宋_GB2312" w:eastAsia="仿宋_GB2312" w:hAnsi="微软雅黑" w:hint="eastAsia"/>
          <w:color w:val="333333"/>
          <w:sz w:val="32"/>
          <w:szCs w:val="32"/>
        </w:rPr>
        <w:t>，切实推动市场主体证照登记“零见面”、“零成本”改革落地落实。</w:t>
      </w:r>
      <w:r>
        <w:rPr>
          <w:rFonts w:ascii="Times New Roman" w:eastAsia="微软雅黑" w:hAnsi="Times New Roman" w:cs="Times New Roman"/>
          <w:color w:val="333333"/>
          <w:sz w:val="32"/>
          <w:szCs w:val="32"/>
        </w:rPr>
        <w:t>2022</w:t>
      </w:r>
      <w:r>
        <w:rPr>
          <w:rFonts w:ascii="仿宋_GB2312" w:eastAsia="仿宋_GB2312" w:hAnsi="微软雅黑" w:hint="eastAsia"/>
          <w:color w:val="333333"/>
          <w:sz w:val="32"/>
          <w:szCs w:val="32"/>
        </w:rPr>
        <w:t>年，全县一体化政务服务平台发布依申请事项</w:t>
      </w:r>
      <w:r>
        <w:rPr>
          <w:rFonts w:ascii="Times New Roman" w:eastAsia="微软雅黑" w:hAnsi="Times New Roman" w:cs="Times New Roman"/>
          <w:color w:val="333333"/>
          <w:sz w:val="32"/>
          <w:szCs w:val="32"/>
        </w:rPr>
        <w:t>1307</w:t>
      </w:r>
      <w:r>
        <w:rPr>
          <w:rFonts w:ascii="仿宋_GB2312" w:eastAsia="仿宋_GB2312" w:hAnsi="微软雅黑" w:hint="eastAsia"/>
          <w:color w:val="333333"/>
          <w:sz w:val="32"/>
          <w:szCs w:val="32"/>
        </w:rPr>
        <w:t>项，</w:t>
      </w:r>
      <w:proofErr w:type="gramStart"/>
      <w:r>
        <w:rPr>
          <w:rFonts w:ascii="仿宋_GB2312" w:eastAsia="仿宋_GB2312" w:hAnsi="微软雅黑" w:hint="eastAsia"/>
          <w:color w:val="333333"/>
          <w:sz w:val="32"/>
          <w:szCs w:val="32"/>
        </w:rPr>
        <w:t>全程网办</w:t>
      </w:r>
      <w:proofErr w:type="gramEnd"/>
      <w:r>
        <w:rPr>
          <w:rFonts w:ascii="Times New Roman" w:eastAsia="微软雅黑" w:hAnsi="Times New Roman" w:cs="Times New Roman"/>
          <w:color w:val="333333"/>
          <w:sz w:val="32"/>
          <w:szCs w:val="32"/>
        </w:rPr>
        <w:t>1228</w:t>
      </w:r>
      <w:r>
        <w:rPr>
          <w:rFonts w:ascii="仿宋_GB2312" w:eastAsia="仿宋_GB2312" w:hAnsi="微软雅黑" w:hint="eastAsia"/>
          <w:color w:val="333333"/>
          <w:sz w:val="32"/>
          <w:szCs w:val="32"/>
        </w:rPr>
        <w:t>项，</w:t>
      </w:r>
      <w:proofErr w:type="gramStart"/>
      <w:r>
        <w:rPr>
          <w:rFonts w:ascii="仿宋_GB2312" w:eastAsia="仿宋_GB2312" w:hAnsi="微软雅黑" w:hint="eastAsia"/>
          <w:color w:val="333333"/>
          <w:sz w:val="32"/>
          <w:szCs w:val="32"/>
        </w:rPr>
        <w:t>全程网办</w:t>
      </w:r>
      <w:proofErr w:type="gramEnd"/>
      <w:r>
        <w:rPr>
          <w:rFonts w:ascii="仿宋_GB2312" w:eastAsia="仿宋_GB2312" w:hAnsi="微软雅黑" w:hint="eastAsia"/>
          <w:color w:val="333333"/>
          <w:sz w:val="32"/>
          <w:szCs w:val="32"/>
        </w:rPr>
        <w:t>率</w:t>
      </w:r>
      <w:r>
        <w:rPr>
          <w:rFonts w:ascii="Times New Roman" w:eastAsia="微软雅黑" w:hAnsi="Times New Roman" w:cs="Times New Roman"/>
          <w:color w:val="333333"/>
          <w:sz w:val="32"/>
          <w:szCs w:val="32"/>
        </w:rPr>
        <w:t>93.96</w:t>
      </w:r>
      <w:r>
        <w:rPr>
          <w:rFonts w:ascii="仿宋_GB2312" w:eastAsia="仿宋_GB2312" w:hAnsi="微软雅黑" w:hint="eastAsia"/>
          <w:color w:val="333333"/>
          <w:sz w:val="32"/>
          <w:szCs w:val="32"/>
        </w:rPr>
        <w:t>％。成立盐边县政府采购中心，积极使用四川省政府采购一体化平台，全流程电子化促进政府采购提质增效，有效降低财政支出，最大限度地发挥了资金使用效益。</w:t>
      </w:r>
    </w:p>
    <w:p w:rsidR="00721B13" w:rsidRDefault="00721B13" w:rsidP="00721B13">
      <w:pPr>
        <w:pStyle w:val="a8"/>
        <w:shd w:val="clear" w:color="auto" w:fill="FFFFFF"/>
        <w:spacing w:before="0" w:beforeAutospacing="0" w:after="0" w:afterAutospacing="0" w:line="560" w:lineRule="atLeast"/>
        <w:ind w:firstLine="643"/>
        <w:rPr>
          <w:rFonts w:ascii="微软雅黑" w:eastAsia="微软雅黑" w:hAnsi="微软雅黑" w:hint="eastAsia"/>
          <w:color w:val="333333"/>
          <w:sz w:val="27"/>
          <w:szCs w:val="27"/>
        </w:rPr>
      </w:pPr>
      <w:r>
        <w:rPr>
          <w:rStyle w:val="a9"/>
          <w:rFonts w:ascii="楷体_GB2312" w:eastAsia="楷体_GB2312" w:hAnsi="微软雅黑" w:hint="eastAsia"/>
          <w:color w:val="000000"/>
          <w:sz w:val="32"/>
          <w:szCs w:val="32"/>
        </w:rPr>
        <w:t>（九）提升突发事件预防处置能力。</w:t>
      </w:r>
      <w:r>
        <w:rPr>
          <w:rFonts w:ascii="仿宋_GB2312" w:eastAsia="仿宋_GB2312" w:hAnsi="微软雅黑" w:hint="eastAsia"/>
          <w:color w:val="333333"/>
          <w:sz w:val="32"/>
          <w:szCs w:val="32"/>
        </w:rPr>
        <w:t>深化自然灾害、事故灾害、公共卫生事件和社会安全事件等突发事件法治宣传教育,落实“谁执法谁普法”责任制，开展多层次法治宣传，构建多部门联动普法，齐抓共管的法治宣传格局，全年开展普法宣传活动</w:t>
      </w:r>
      <w:r>
        <w:rPr>
          <w:rFonts w:ascii="Times New Roman" w:eastAsia="微软雅黑" w:hAnsi="Times New Roman" w:cs="Times New Roman"/>
          <w:color w:val="333333"/>
          <w:sz w:val="32"/>
          <w:szCs w:val="32"/>
        </w:rPr>
        <w:t>150</w:t>
      </w:r>
      <w:r>
        <w:rPr>
          <w:rFonts w:ascii="仿宋_GB2312" w:eastAsia="仿宋_GB2312" w:hAnsi="微软雅黑" w:hint="eastAsia"/>
          <w:color w:val="333333"/>
          <w:sz w:val="32"/>
          <w:szCs w:val="32"/>
        </w:rPr>
        <w:t>余次，培养法律明白人</w:t>
      </w:r>
      <w:r>
        <w:rPr>
          <w:rFonts w:ascii="Times New Roman" w:eastAsia="微软雅黑" w:hAnsi="Times New Roman" w:cs="Times New Roman"/>
          <w:color w:val="333333"/>
          <w:sz w:val="32"/>
          <w:szCs w:val="32"/>
        </w:rPr>
        <w:t>350</w:t>
      </w:r>
      <w:r>
        <w:rPr>
          <w:rFonts w:ascii="仿宋_GB2312" w:eastAsia="仿宋_GB2312" w:hAnsi="微软雅黑" w:hint="eastAsia"/>
          <w:color w:val="333333"/>
          <w:sz w:val="32"/>
          <w:szCs w:val="32"/>
        </w:rPr>
        <w:t>人。着力提升应急救援基础保障</w:t>
      </w:r>
      <w:r>
        <w:rPr>
          <w:rFonts w:ascii="仿宋_GB2312" w:eastAsia="仿宋_GB2312" w:hAnsi="微软雅黑" w:hint="eastAsia"/>
          <w:color w:val="333333"/>
          <w:sz w:val="32"/>
          <w:szCs w:val="32"/>
        </w:rPr>
        <w:lastRenderedPageBreak/>
        <w:t>能力，建立</w:t>
      </w:r>
      <w:r>
        <w:rPr>
          <w:rFonts w:ascii="Times New Roman" w:eastAsia="微软雅黑" w:hAnsi="Times New Roman" w:cs="Times New Roman"/>
          <w:color w:val="333333"/>
          <w:sz w:val="32"/>
          <w:szCs w:val="32"/>
        </w:rPr>
        <w:t>3</w:t>
      </w:r>
      <w:r>
        <w:rPr>
          <w:rFonts w:ascii="仿宋_GB2312" w:eastAsia="仿宋_GB2312" w:hAnsi="微软雅黑" w:hint="eastAsia"/>
          <w:color w:val="333333"/>
          <w:sz w:val="32"/>
          <w:szCs w:val="32"/>
        </w:rPr>
        <w:t>个县级、</w:t>
      </w:r>
      <w:r>
        <w:rPr>
          <w:rFonts w:ascii="Times New Roman" w:eastAsia="微软雅黑" w:hAnsi="Times New Roman" w:cs="Times New Roman"/>
          <w:color w:val="333333"/>
          <w:sz w:val="32"/>
          <w:szCs w:val="32"/>
        </w:rPr>
        <w:t>12</w:t>
      </w:r>
      <w:r>
        <w:rPr>
          <w:rFonts w:ascii="仿宋_GB2312" w:eastAsia="仿宋_GB2312" w:hAnsi="微软雅黑" w:hint="eastAsia"/>
          <w:color w:val="333333"/>
          <w:sz w:val="32"/>
          <w:szCs w:val="32"/>
        </w:rPr>
        <w:t>个乡镇级救灾物资储备点，实现全县乡（镇）卫星电话覆盖，加强应急基础设施建设，设置应急避难场所</w:t>
      </w:r>
      <w:r>
        <w:rPr>
          <w:rFonts w:ascii="Times New Roman" w:eastAsia="微软雅黑" w:hAnsi="Times New Roman" w:cs="Times New Roman"/>
          <w:color w:val="333333"/>
          <w:sz w:val="32"/>
          <w:szCs w:val="32"/>
        </w:rPr>
        <w:t>3</w:t>
      </w:r>
      <w:r>
        <w:rPr>
          <w:rFonts w:ascii="仿宋_GB2312" w:eastAsia="仿宋_GB2312" w:hAnsi="微软雅黑" w:hint="eastAsia"/>
          <w:color w:val="333333"/>
          <w:sz w:val="32"/>
          <w:szCs w:val="32"/>
        </w:rPr>
        <w:t>处，</w:t>
      </w:r>
      <w:r>
        <w:rPr>
          <w:rFonts w:ascii="Times New Roman" w:eastAsia="微软雅黑" w:hAnsi="Times New Roman" w:cs="Times New Roman"/>
          <w:color w:val="333333"/>
          <w:sz w:val="32"/>
          <w:szCs w:val="32"/>
        </w:rPr>
        <w:t>12</w:t>
      </w:r>
      <w:r>
        <w:rPr>
          <w:rFonts w:ascii="仿宋_GB2312" w:eastAsia="仿宋_GB2312" w:hAnsi="微软雅黑" w:hint="eastAsia"/>
          <w:color w:val="333333"/>
          <w:sz w:val="32"/>
          <w:szCs w:val="32"/>
        </w:rPr>
        <w:t>个乡（镇）共设置避难场所</w:t>
      </w:r>
      <w:r>
        <w:rPr>
          <w:rFonts w:ascii="Times New Roman" w:eastAsia="微软雅黑" w:hAnsi="Times New Roman" w:cs="Times New Roman"/>
          <w:color w:val="333333"/>
          <w:sz w:val="32"/>
          <w:szCs w:val="32"/>
        </w:rPr>
        <w:t>100</w:t>
      </w:r>
      <w:r>
        <w:rPr>
          <w:rFonts w:ascii="仿宋_GB2312" w:eastAsia="仿宋_GB2312" w:hAnsi="微软雅黑" w:hint="eastAsia"/>
          <w:color w:val="333333"/>
          <w:sz w:val="32"/>
          <w:szCs w:val="32"/>
        </w:rPr>
        <w:t>处，确保做好洪涝、地震等方面防灾减灾工作和应急救援处置。</w:t>
      </w:r>
    </w:p>
    <w:p w:rsidR="00721B13" w:rsidRDefault="00721B13" w:rsidP="00721B13">
      <w:pPr>
        <w:pStyle w:val="a8"/>
        <w:shd w:val="clear" w:color="auto" w:fill="FFFFFF"/>
        <w:spacing w:before="0" w:beforeAutospacing="0" w:after="0" w:afterAutospacing="0" w:line="600" w:lineRule="atLeast"/>
        <w:ind w:firstLine="674"/>
        <w:rPr>
          <w:rFonts w:ascii="微软雅黑" w:eastAsia="微软雅黑" w:hAnsi="微软雅黑" w:hint="eastAsia"/>
          <w:color w:val="333333"/>
          <w:sz w:val="27"/>
          <w:szCs w:val="27"/>
        </w:rPr>
      </w:pPr>
      <w:r>
        <w:rPr>
          <w:rFonts w:ascii="黑体" w:eastAsia="黑体" w:hAnsi="黑体" w:hint="eastAsia"/>
          <w:color w:val="000000"/>
          <w:spacing w:val="8"/>
          <w:sz w:val="32"/>
          <w:szCs w:val="32"/>
          <w:shd w:val="clear" w:color="auto" w:fill="FFFFFF"/>
        </w:rPr>
        <w:t>二、存在的不足和原因</w:t>
      </w:r>
    </w:p>
    <w:p w:rsidR="00721B13" w:rsidRDefault="00721B13" w:rsidP="00721B13">
      <w:pPr>
        <w:pStyle w:val="a8"/>
        <w:shd w:val="clear" w:color="auto" w:fill="FFFFFF"/>
        <w:spacing w:before="0" w:beforeAutospacing="0" w:after="0" w:afterAutospacing="0" w:line="600" w:lineRule="atLeast"/>
        <w:ind w:firstLine="640"/>
        <w:rPr>
          <w:rFonts w:ascii="微软雅黑" w:eastAsia="微软雅黑" w:hAnsi="微软雅黑" w:hint="eastAsia"/>
          <w:color w:val="333333"/>
          <w:sz w:val="27"/>
          <w:szCs w:val="27"/>
        </w:rPr>
      </w:pPr>
      <w:r>
        <w:rPr>
          <w:rFonts w:ascii="仿宋_GB2312" w:eastAsia="仿宋_GB2312" w:hAnsi="微软雅黑" w:hint="eastAsia"/>
          <w:color w:val="000000"/>
          <w:sz w:val="32"/>
          <w:szCs w:val="32"/>
        </w:rPr>
        <w:t>一年以来，我县法治政府建设工作步履坚实，成效显著。但仍然存在一些问题和不足：</w:t>
      </w:r>
      <w:r>
        <w:rPr>
          <w:rStyle w:val="a9"/>
          <w:rFonts w:ascii="仿宋_GB2312" w:eastAsia="仿宋_GB2312" w:hAnsi="微软雅黑" w:hint="eastAsia"/>
          <w:color w:val="000000"/>
          <w:sz w:val="32"/>
          <w:szCs w:val="32"/>
        </w:rPr>
        <w:t>一是</w:t>
      </w:r>
      <w:r>
        <w:rPr>
          <w:rFonts w:ascii="仿宋_GB2312" w:eastAsia="仿宋_GB2312" w:hAnsi="微软雅黑" w:hint="eastAsia"/>
          <w:color w:val="000000"/>
          <w:sz w:val="32"/>
          <w:szCs w:val="32"/>
        </w:rPr>
        <w:t>依法行政水平还需提高。行政执法</w:t>
      </w:r>
      <w:r>
        <w:rPr>
          <w:rFonts w:ascii="Times New Roman" w:eastAsia="微软雅黑" w:hAnsi="Times New Roman" w:cs="Times New Roman"/>
          <w:color w:val="000000"/>
          <w:sz w:val="32"/>
          <w:szCs w:val="32"/>
        </w:rPr>
        <w:t>“</w:t>
      </w:r>
      <w:r>
        <w:rPr>
          <w:rFonts w:ascii="仿宋_GB2312" w:eastAsia="仿宋_GB2312" w:hAnsi="微软雅黑" w:hint="eastAsia"/>
          <w:color w:val="000000"/>
          <w:sz w:val="32"/>
          <w:szCs w:val="32"/>
        </w:rPr>
        <w:t>三项制度</w:t>
      </w:r>
      <w:r>
        <w:rPr>
          <w:rFonts w:ascii="Times New Roman" w:eastAsia="微软雅黑" w:hAnsi="Times New Roman" w:cs="Times New Roman"/>
          <w:color w:val="000000"/>
          <w:sz w:val="32"/>
          <w:szCs w:val="32"/>
        </w:rPr>
        <w:t>”</w:t>
      </w:r>
      <w:r>
        <w:rPr>
          <w:rFonts w:ascii="仿宋_GB2312" w:eastAsia="仿宋_GB2312" w:hAnsi="微软雅黑" w:hint="eastAsia"/>
          <w:color w:val="000000"/>
          <w:sz w:val="32"/>
          <w:szCs w:val="32"/>
        </w:rPr>
        <w:t>落实不平衡，个别执法单位在立案、审查、调查取证、送达、执行和归档等方面仍需提高，个别部门执法人员执法时态度生硬，行政执法队伍建设还需加强。</w:t>
      </w:r>
      <w:r>
        <w:rPr>
          <w:rStyle w:val="a9"/>
          <w:rFonts w:ascii="仿宋_GB2312" w:eastAsia="仿宋_GB2312" w:hAnsi="微软雅黑" w:hint="eastAsia"/>
          <w:color w:val="000000"/>
          <w:sz w:val="32"/>
          <w:szCs w:val="32"/>
        </w:rPr>
        <w:t>二是</w:t>
      </w:r>
      <w:r>
        <w:rPr>
          <w:rFonts w:ascii="仿宋_GB2312" w:eastAsia="仿宋_GB2312" w:hAnsi="微软雅黑" w:hint="eastAsia"/>
          <w:color w:val="000000"/>
          <w:sz w:val="32"/>
          <w:szCs w:val="32"/>
        </w:rPr>
        <w:t>法治队伍建设还需加强。全县法律专业人才缺乏，律师队伍和公职律师偏少，法治审核水平还有待提高。</w:t>
      </w:r>
      <w:r>
        <w:rPr>
          <w:rStyle w:val="a9"/>
          <w:rFonts w:ascii="仿宋_GB2312" w:eastAsia="仿宋_GB2312" w:hAnsi="微软雅黑" w:hint="eastAsia"/>
          <w:color w:val="000000"/>
          <w:sz w:val="32"/>
          <w:szCs w:val="32"/>
        </w:rPr>
        <w:t>三是</w:t>
      </w:r>
      <w:r>
        <w:rPr>
          <w:rFonts w:ascii="仿宋_GB2312" w:eastAsia="仿宋_GB2312" w:hAnsi="微软雅黑" w:hint="eastAsia"/>
          <w:color w:val="000000"/>
          <w:sz w:val="32"/>
          <w:szCs w:val="32"/>
        </w:rPr>
        <w:t>普法责任制落实还需加强。个别单位对于</w:t>
      </w:r>
      <w:r>
        <w:rPr>
          <w:rFonts w:ascii="Times New Roman" w:eastAsia="微软雅黑" w:hAnsi="Times New Roman" w:cs="Times New Roman"/>
          <w:color w:val="000000"/>
          <w:sz w:val="32"/>
          <w:szCs w:val="32"/>
        </w:rPr>
        <w:t>“</w:t>
      </w:r>
      <w:r>
        <w:rPr>
          <w:rFonts w:ascii="仿宋_GB2312" w:eastAsia="仿宋_GB2312" w:hAnsi="微软雅黑" w:hint="eastAsia"/>
          <w:color w:val="000000"/>
          <w:sz w:val="32"/>
          <w:szCs w:val="32"/>
        </w:rPr>
        <w:t>谁执法谁普法</w:t>
      </w:r>
      <w:r>
        <w:rPr>
          <w:rFonts w:ascii="Times New Roman" w:eastAsia="微软雅黑" w:hAnsi="Times New Roman" w:cs="Times New Roman"/>
          <w:color w:val="000000"/>
          <w:sz w:val="32"/>
          <w:szCs w:val="32"/>
        </w:rPr>
        <w:t>”“</w:t>
      </w:r>
      <w:r>
        <w:rPr>
          <w:rFonts w:ascii="仿宋_GB2312" w:eastAsia="仿宋_GB2312" w:hAnsi="微软雅黑" w:hint="eastAsia"/>
          <w:color w:val="000000"/>
          <w:sz w:val="32"/>
          <w:szCs w:val="32"/>
        </w:rPr>
        <w:t>谁主管谁普法</w:t>
      </w:r>
      <w:r>
        <w:rPr>
          <w:rFonts w:ascii="Times New Roman" w:eastAsia="微软雅黑" w:hAnsi="Times New Roman" w:cs="Times New Roman"/>
          <w:color w:val="000000"/>
          <w:sz w:val="32"/>
          <w:szCs w:val="32"/>
        </w:rPr>
        <w:t>”“</w:t>
      </w:r>
      <w:r>
        <w:rPr>
          <w:rFonts w:ascii="仿宋_GB2312" w:eastAsia="仿宋_GB2312" w:hAnsi="微软雅黑" w:hint="eastAsia"/>
          <w:color w:val="000000"/>
          <w:sz w:val="32"/>
          <w:szCs w:val="32"/>
        </w:rPr>
        <w:t>谁服务谁普法</w:t>
      </w:r>
      <w:r>
        <w:rPr>
          <w:rFonts w:ascii="Times New Roman" w:eastAsia="微软雅黑" w:hAnsi="Times New Roman" w:cs="Times New Roman"/>
          <w:color w:val="000000"/>
          <w:sz w:val="32"/>
          <w:szCs w:val="32"/>
        </w:rPr>
        <w:t>”</w:t>
      </w:r>
      <w:r>
        <w:rPr>
          <w:rFonts w:ascii="仿宋_GB2312" w:eastAsia="仿宋_GB2312" w:hAnsi="微软雅黑" w:hint="eastAsia"/>
          <w:color w:val="000000"/>
          <w:sz w:val="32"/>
          <w:szCs w:val="32"/>
        </w:rPr>
        <w:t>责任落实还有差距，日常工作与普法工作结合不够密切。</w:t>
      </w:r>
    </w:p>
    <w:p w:rsidR="00721B13" w:rsidRDefault="00721B13" w:rsidP="00721B13">
      <w:pPr>
        <w:pStyle w:val="a8"/>
        <w:shd w:val="clear" w:color="auto" w:fill="FFFFFF"/>
        <w:spacing w:before="0" w:beforeAutospacing="0" w:after="0" w:afterAutospacing="0" w:line="600" w:lineRule="atLeast"/>
        <w:ind w:firstLine="674"/>
        <w:rPr>
          <w:rFonts w:ascii="微软雅黑" w:eastAsia="微软雅黑" w:hAnsi="微软雅黑" w:hint="eastAsia"/>
          <w:color w:val="333333"/>
          <w:sz w:val="27"/>
          <w:szCs w:val="27"/>
        </w:rPr>
      </w:pPr>
      <w:r>
        <w:rPr>
          <w:rFonts w:ascii="黑体" w:eastAsia="黑体" w:hAnsi="黑体" w:hint="eastAsia"/>
          <w:color w:val="000000"/>
          <w:spacing w:val="8"/>
          <w:sz w:val="32"/>
          <w:szCs w:val="32"/>
          <w:shd w:val="clear" w:color="auto" w:fill="FFFFFF"/>
        </w:rPr>
        <w:t>三、全面履行推进法治建设第一责任人职责情况</w:t>
      </w:r>
    </w:p>
    <w:p w:rsidR="00721B13" w:rsidRDefault="00721B13" w:rsidP="00721B13">
      <w:pPr>
        <w:pStyle w:val="a8"/>
        <w:shd w:val="clear" w:color="auto" w:fill="FFFFFF"/>
        <w:spacing w:before="0" w:beforeAutospacing="0" w:after="0" w:afterAutospacing="0" w:line="600" w:lineRule="atLeast"/>
        <w:ind w:firstLine="640"/>
        <w:rPr>
          <w:rFonts w:ascii="微软雅黑" w:eastAsia="微软雅黑" w:hAnsi="微软雅黑" w:hint="eastAsia"/>
          <w:color w:val="333333"/>
          <w:sz w:val="27"/>
          <w:szCs w:val="27"/>
        </w:rPr>
      </w:pPr>
      <w:r>
        <w:rPr>
          <w:rFonts w:ascii="仿宋_GB2312" w:eastAsia="仿宋_GB2312" w:hAnsi="微软雅黑" w:hint="eastAsia"/>
          <w:color w:val="000000"/>
          <w:sz w:val="32"/>
          <w:szCs w:val="32"/>
        </w:rPr>
        <w:t>严格执行《攀枝花市党政主要负责人年度述法工作办法》要求，印发《盐边县人民政府</w:t>
      </w:r>
      <w:r>
        <w:rPr>
          <w:rFonts w:ascii="Times New Roman" w:eastAsia="微软雅黑" w:hAnsi="Times New Roman" w:cs="Times New Roman"/>
          <w:color w:val="000000"/>
          <w:sz w:val="32"/>
          <w:szCs w:val="32"/>
        </w:rPr>
        <w:t>2022</w:t>
      </w:r>
      <w:r>
        <w:rPr>
          <w:rFonts w:ascii="仿宋_GB2312" w:eastAsia="仿宋_GB2312" w:hAnsi="微软雅黑" w:hint="eastAsia"/>
          <w:color w:val="000000"/>
          <w:sz w:val="32"/>
          <w:szCs w:val="32"/>
        </w:rPr>
        <w:t>年度法治政府建设重点工作安排》，明确责任主体，细化责任清单，压紧压实党政主要负责人法治政府建设第一责任人职责；切实发挥</w:t>
      </w:r>
      <w:r>
        <w:rPr>
          <w:rFonts w:ascii="Times New Roman" w:eastAsia="微软雅黑" w:hAnsi="Times New Roman" w:cs="Times New Roman"/>
          <w:color w:val="000000"/>
          <w:sz w:val="32"/>
          <w:szCs w:val="32"/>
        </w:rPr>
        <w:t>“</w:t>
      </w:r>
      <w:r>
        <w:rPr>
          <w:rFonts w:ascii="仿宋_GB2312" w:eastAsia="仿宋_GB2312" w:hAnsi="微软雅黑" w:hint="eastAsia"/>
          <w:color w:val="000000"/>
          <w:sz w:val="32"/>
          <w:szCs w:val="32"/>
        </w:rPr>
        <w:t>关键少数</w:t>
      </w:r>
      <w:r>
        <w:rPr>
          <w:rFonts w:ascii="Times New Roman" w:eastAsia="微软雅黑" w:hAnsi="Times New Roman" w:cs="Times New Roman"/>
          <w:color w:val="000000"/>
          <w:sz w:val="32"/>
          <w:szCs w:val="32"/>
        </w:rPr>
        <w:t>”</w:t>
      </w:r>
      <w:r>
        <w:rPr>
          <w:rFonts w:ascii="仿宋_GB2312" w:eastAsia="仿宋_GB2312" w:hAnsi="微软雅黑" w:hint="eastAsia"/>
          <w:color w:val="000000"/>
          <w:sz w:val="32"/>
          <w:szCs w:val="32"/>
        </w:rPr>
        <w:t>在推进法治建设中的领导核心作用，坚持领导干部带头学法用法考法，全年</w:t>
      </w:r>
      <w:r>
        <w:rPr>
          <w:rFonts w:ascii="仿宋_GB2312" w:eastAsia="仿宋_GB2312" w:hAnsi="微软雅黑" w:hint="eastAsia"/>
          <w:color w:val="000000"/>
          <w:sz w:val="32"/>
          <w:szCs w:val="32"/>
        </w:rPr>
        <w:lastRenderedPageBreak/>
        <w:t>县政府常务会学法</w:t>
      </w:r>
      <w:r>
        <w:rPr>
          <w:rFonts w:ascii="Times New Roman" w:eastAsia="微软雅黑" w:hAnsi="Times New Roman" w:cs="Times New Roman"/>
          <w:color w:val="000000"/>
          <w:sz w:val="32"/>
          <w:szCs w:val="32"/>
        </w:rPr>
        <w:t>15</w:t>
      </w:r>
      <w:r>
        <w:rPr>
          <w:rFonts w:ascii="仿宋_GB2312" w:eastAsia="仿宋_GB2312" w:hAnsi="微软雅黑" w:hint="eastAsia"/>
          <w:color w:val="000000"/>
          <w:sz w:val="32"/>
          <w:szCs w:val="32"/>
        </w:rPr>
        <w:t>次；法治政府建设工作推进会</w:t>
      </w:r>
      <w:r>
        <w:rPr>
          <w:rFonts w:ascii="Times New Roman" w:eastAsia="微软雅黑" w:hAnsi="Times New Roman" w:cs="Times New Roman"/>
          <w:color w:val="000000"/>
          <w:sz w:val="32"/>
          <w:szCs w:val="32"/>
        </w:rPr>
        <w:t>1</w:t>
      </w:r>
      <w:r>
        <w:rPr>
          <w:rFonts w:ascii="仿宋_GB2312" w:eastAsia="仿宋_GB2312" w:hAnsi="微软雅黑" w:hint="eastAsia"/>
          <w:color w:val="000000"/>
          <w:sz w:val="32"/>
          <w:szCs w:val="32"/>
        </w:rPr>
        <w:t>次，开展综合督察</w:t>
      </w:r>
      <w:r>
        <w:rPr>
          <w:rFonts w:ascii="Times New Roman" w:eastAsia="微软雅黑" w:hAnsi="Times New Roman" w:cs="Times New Roman"/>
          <w:color w:val="000000"/>
          <w:sz w:val="32"/>
          <w:szCs w:val="32"/>
        </w:rPr>
        <w:t>1</w:t>
      </w:r>
      <w:r>
        <w:rPr>
          <w:rFonts w:ascii="仿宋_GB2312" w:eastAsia="仿宋_GB2312" w:hAnsi="微软雅黑" w:hint="eastAsia"/>
          <w:color w:val="000000"/>
          <w:sz w:val="32"/>
          <w:szCs w:val="32"/>
        </w:rPr>
        <w:t>次。将</w:t>
      </w:r>
      <w:r>
        <w:rPr>
          <w:rFonts w:ascii="Times New Roman" w:eastAsia="微软雅黑" w:hAnsi="Times New Roman" w:cs="Times New Roman"/>
          <w:color w:val="000000"/>
          <w:sz w:val="32"/>
          <w:szCs w:val="32"/>
        </w:rPr>
        <w:t>“</w:t>
      </w:r>
      <w:r>
        <w:rPr>
          <w:rFonts w:ascii="仿宋_GB2312" w:eastAsia="仿宋_GB2312" w:hAnsi="微软雅黑" w:hint="eastAsia"/>
          <w:color w:val="000000"/>
          <w:sz w:val="32"/>
          <w:szCs w:val="32"/>
        </w:rPr>
        <w:t>坚持全面依法治县，加强法治建设</w:t>
      </w:r>
      <w:r>
        <w:rPr>
          <w:rFonts w:ascii="Times New Roman" w:eastAsia="微软雅黑" w:hAnsi="Times New Roman" w:cs="Times New Roman"/>
          <w:color w:val="000000"/>
          <w:sz w:val="32"/>
          <w:szCs w:val="32"/>
        </w:rPr>
        <w:t>”</w:t>
      </w:r>
      <w:r>
        <w:rPr>
          <w:rFonts w:ascii="仿宋_GB2312" w:eastAsia="仿宋_GB2312" w:hAnsi="微软雅黑" w:hint="eastAsia"/>
          <w:color w:val="000000"/>
          <w:sz w:val="32"/>
          <w:szCs w:val="32"/>
        </w:rPr>
        <w:t>等情况纳入党政领导干部述职报告主要内容，纳入单位党政领导班子测评项目进行民主测评。督促党政主要负责人自觉运用法治思维和法治方式深化改革、推动发展、化解矛盾、维护稳定，对法治建设重要工作亲自部署，重大问题亲自过问、重点环节亲自协调、重要任务亲自督办。切实增强全县领导干部运用法治思维和法治方式推动工作的能力和行动自觉。</w:t>
      </w:r>
    </w:p>
    <w:p w:rsidR="00721B13" w:rsidRDefault="00721B13" w:rsidP="00721B13">
      <w:pPr>
        <w:pStyle w:val="a8"/>
        <w:shd w:val="clear" w:color="auto" w:fill="FFFFFF"/>
        <w:spacing w:before="0" w:beforeAutospacing="0" w:after="0" w:afterAutospacing="0" w:line="600" w:lineRule="atLeast"/>
        <w:ind w:firstLine="672"/>
        <w:rPr>
          <w:rFonts w:ascii="微软雅黑" w:eastAsia="微软雅黑" w:hAnsi="微软雅黑" w:hint="eastAsia"/>
          <w:color w:val="333333"/>
          <w:sz w:val="27"/>
          <w:szCs w:val="27"/>
        </w:rPr>
      </w:pPr>
      <w:r>
        <w:rPr>
          <w:rFonts w:ascii="黑体" w:eastAsia="黑体" w:hAnsi="黑体" w:hint="eastAsia"/>
          <w:color w:val="000000"/>
          <w:spacing w:val="8"/>
          <w:sz w:val="32"/>
          <w:szCs w:val="32"/>
          <w:shd w:val="clear" w:color="auto" w:fill="FFFFFF"/>
        </w:rPr>
        <w:t>四、2023年度推进法治政府建设的主要安排</w:t>
      </w:r>
    </w:p>
    <w:p w:rsidR="00721B13" w:rsidRDefault="00721B13" w:rsidP="00721B13">
      <w:pPr>
        <w:pStyle w:val="a8"/>
        <w:shd w:val="clear" w:color="auto" w:fill="FFFFFF"/>
        <w:spacing w:before="0" w:beforeAutospacing="0" w:after="0" w:afterAutospacing="0" w:line="600" w:lineRule="atLeast"/>
        <w:ind w:firstLine="320"/>
        <w:rPr>
          <w:rFonts w:ascii="微软雅黑" w:eastAsia="微软雅黑" w:hAnsi="微软雅黑" w:hint="eastAsia"/>
          <w:color w:val="333333"/>
          <w:sz w:val="27"/>
          <w:szCs w:val="27"/>
        </w:rPr>
      </w:pPr>
      <w:r>
        <w:rPr>
          <w:rFonts w:ascii="楷体_GB2312" w:eastAsia="楷体_GB2312" w:hAnsi="微软雅黑" w:hint="eastAsia"/>
          <w:color w:val="000000"/>
          <w:sz w:val="32"/>
          <w:szCs w:val="32"/>
        </w:rPr>
        <w:t> </w:t>
      </w:r>
      <w:r>
        <w:rPr>
          <w:rFonts w:ascii="楷体_GB2312" w:eastAsia="楷体_GB2312" w:hAnsi="微软雅黑" w:hint="eastAsia"/>
          <w:color w:val="000000"/>
          <w:sz w:val="32"/>
          <w:szCs w:val="32"/>
        </w:rPr>
        <w:t xml:space="preserve"> （一）</w:t>
      </w:r>
      <w:r>
        <w:rPr>
          <w:rFonts w:ascii="仿宋_GB2312" w:eastAsia="仿宋_GB2312" w:hAnsi="微软雅黑" w:hint="eastAsia"/>
          <w:color w:val="000000"/>
          <w:sz w:val="32"/>
          <w:szCs w:val="32"/>
        </w:rPr>
        <w:t>深入学习贯彻习近平法治思想，不断提升运用法治思维和法治方式开展工作和解决问题的能力和水平。</w:t>
      </w:r>
    </w:p>
    <w:p w:rsidR="00721B13" w:rsidRDefault="00721B13" w:rsidP="00721B13">
      <w:pPr>
        <w:pStyle w:val="a8"/>
        <w:shd w:val="clear" w:color="auto" w:fill="FFFFFF"/>
        <w:spacing w:before="0" w:beforeAutospacing="0" w:after="0" w:afterAutospacing="0" w:line="600" w:lineRule="atLeast"/>
        <w:ind w:firstLine="320"/>
        <w:rPr>
          <w:rFonts w:ascii="微软雅黑" w:eastAsia="微软雅黑" w:hAnsi="微软雅黑" w:hint="eastAsia"/>
          <w:color w:val="333333"/>
          <w:sz w:val="27"/>
          <w:szCs w:val="27"/>
        </w:rPr>
      </w:pPr>
      <w:r>
        <w:rPr>
          <w:rFonts w:ascii="楷体_GB2312" w:eastAsia="楷体_GB2312" w:hAnsi="微软雅黑" w:hint="eastAsia"/>
          <w:color w:val="000000"/>
          <w:sz w:val="32"/>
          <w:szCs w:val="32"/>
        </w:rPr>
        <w:t> </w:t>
      </w:r>
      <w:r>
        <w:rPr>
          <w:rFonts w:ascii="楷体_GB2312" w:eastAsia="楷体_GB2312" w:hAnsi="微软雅黑" w:hint="eastAsia"/>
          <w:color w:val="000000"/>
          <w:sz w:val="32"/>
          <w:szCs w:val="32"/>
        </w:rPr>
        <w:t xml:space="preserve"> （二）</w:t>
      </w:r>
      <w:r>
        <w:rPr>
          <w:rFonts w:ascii="仿宋_GB2312" w:eastAsia="仿宋_GB2312" w:hAnsi="微软雅黑" w:hint="eastAsia"/>
          <w:color w:val="000000"/>
          <w:sz w:val="32"/>
          <w:szCs w:val="32"/>
        </w:rPr>
        <w:t>扎实推进</w:t>
      </w:r>
      <w:r>
        <w:rPr>
          <w:rFonts w:ascii="Times New Roman" w:eastAsia="微软雅黑" w:hAnsi="Times New Roman" w:cs="Times New Roman"/>
          <w:color w:val="000000"/>
          <w:sz w:val="32"/>
          <w:szCs w:val="32"/>
        </w:rPr>
        <w:t>“</w:t>
      </w:r>
      <w:r>
        <w:rPr>
          <w:rFonts w:ascii="仿宋_GB2312" w:eastAsia="仿宋_GB2312" w:hAnsi="微软雅黑" w:hint="eastAsia"/>
          <w:color w:val="000000"/>
          <w:sz w:val="32"/>
          <w:szCs w:val="32"/>
        </w:rPr>
        <w:t>两规划两方案</w:t>
      </w:r>
      <w:r>
        <w:rPr>
          <w:rFonts w:ascii="Times New Roman" w:eastAsia="微软雅黑" w:hAnsi="Times New Roman" w:cs="Times New Roman"/>
          <w:color w:val="000000"/>
          <w:sz w:val="32"/>
          <w:szCs w:val="32"/>
        </w:rPr>
        <w:t>”</w:t>
      </w:r>
      <w:r>
        <w:rPr>
          <w:rFonts w:ascii="仿宋_GB2312" w:eastAsia="仿宋_GB2312" w:hAnsi="微软雅黑" w:hint="eastAsia"/>
          <w:color w:val="000000"/>
          <w:sz w:val="32"/>
          <w:szCs w:val="32"/>
        </w:rPr>
        <w:t>实施，对标法治政府建设五年工作方案，切实落实主体责任，积极推进法治政府示范创建。</w:t>
      </w:r>
    </w:p>
    <w:p w:rsidR="00721B13" w:rsidRDefault="00721B13" w:rsidP="00721B13">
      <w:pPr>
        <w:pStyle w:val="a8"/>
        <w:shd w:val="clear" w:color="auto" w:fill="FFFFFF"/>
        <w:spacing w:before="0" w:beforeAutospacing="0" w:after="0" w:afterAutospacing="0" w:line="600" w:lineRule="atLeast"/>
        <w:ind w:firstLine="320"/>
        <w:rPr>
          <w:rFonts w:ascii="微软雅黑" w:eastAsia="微软雅黑" w:hAnsi="微软雅黑" w:hint="eastAsia"/>
          <w:color w:val="333333"/>
          <w:sz w:val="27"/>
          <w:szCs w:val="27"/>
        </w:rPr>
      </w:pPr>
      <w:r>
        <w:rPr>
          <w:rFonts w:ascii="楷体_GB2312" w:eastAsia="楷体_GB2312" w:hAnsi="微软雅黑" w:hint="eastAsia"/>
          <w:color w:val="000000"/>
          <w:sz w:val="32"/>
          <w:szCs w:val="32"/>
        </w:rPr>
        <w:t> </w:t>
      </w:r>
      <w:r>
        <w:rPr>
          <w:rFonts w:ascii="楷体_GB2312" w:eastAsia="楷体_GB2312" w:hAnsi="微软雅黑" w:hint="eastAsia"/>
          <w:color w:val="000000"/>
          <w:sz w:val="32"/>
          <w:szCs w:val="32"/>
        </w:rPr>
        <w:t xml:space="preserve"> （三）</w:t>
      </w:r>
      <w:r>
        <w:rPr>
          <w:rFonts w:ascii="仿宋_GB2312" w:eastAsia="仿宋_GB2312" w:hAnsi="微软雅黑" w:hint="eastAsia"/>
          <w:color w:val="000000"/>
          <w:sz w:val="32"/>
          <w:szCs w:val="32"/>
        </w:rPr>
        <w:t>强化依法决策意识，完善重大行政决策事项目录公开制度，严格落实各项法定决策程序，充分发挥法律顾问、公职律师作用，不断提升科学民主依法决策水平。</w:t>
      </w:r>
    </w:p>
    <w:p w:rsidR="00721B13" w:rsidRDefault="00721B13" w:rsidP="00721B13">
      <w:pPr>
        <w:pStyle w:val="a8"/>
        <w:shd w:val="clear" w:color="auto" w:fill="FFFFFF"/>
        <w:spacing w:before="0" w:beforeAutospacing="0" w:after="0" w:afterAutospacing="0" w:line="600" w:lineRule="atLeast"/>
        <w:ind w:firstLine="320"/>
        <w:rPr>
          <w:rFonts w:ascii="微软雅黑" w:eastAsia="微软雅黑" w:hAnsi="微软雅黑" w:hint="eastAsia"/>
          <w:color w:val="333333"/>
          <w:sz w:val="27"/>
          <w:szCs w:val="27"/>
        </w:rPr>
      </w:pPr>
      <w:r>
        <w:rPr>
          <w:rFonts w:ascii="楷体_GB2312" w:eastAsia="楷体_GB2312" w:hAnsi="微软雅黑" w:hint="eastAsia"/>
          <w:color w:val="000000"/>
          <w:sz w:val="32"/>
          <w:szCs w:val="32"/>
        </w:rPr>
        <w:t> </w:t>
      </w:r>
      <w:r>
        <w:rPr>
          <w:rFonts w:ascii="楷体_GB2312" w:eastAsia="楷体_GB2312" w:hAnsi="微软雅黑" w:hint="eastAsia"/>
          <w:color w:val="000000"/>
          <w:sz w:val="32"/>
          <w:szCs w:val="32"/>
        </w:rPr>
        <w:t xml:space="preserve"> （四）</w:t>
      </w:r>
      <w:r>
        <w:rPr>
          <w:rFonts w:ascii="仿宋_GB2312" w:eastAsia="仿宋_GB2312" w:hAnsi="微软雅黑" w:hint="eastAsia"/>
          <w:color w:val="000000"/>
          <w:sz w:val="32"/>
          <w:szCs w:val="32"/>
        </w:rPr>
        <w:t>严格规范公正文明执法，深化综合执法体制改革，严格落实行政执法</w:t>
      </w:r>
      <w:r>
        <w:rPr>
          <w:rFonts w:ascii="Times New Roman" w:eastAsia="微软雅黑" w:hAnsi="Times New Roman" w:cs="Times New Roman"/>
          <w:color w:val="000000"/>
          <w:sz w:val="32"/>
          <w:szCs w:val="32"/>
        </w:rPr>
        <w:t>“</w:t>
      </w:r>
      <w:r>
        <w:rPr>
          <w:rFonts w:ascii="仿宋_GB2312" w:eastAsia="仿宋_GB2312" w:hAnsi="微软雅黑" w:hint="eastAsia"/>
          <w:color w:val="000000"/>
          <w:sz w:val="32"/>
          <w:szCs w:val="32"/>
        </w:rPr>
        <w:t>三项制度</w:t>
      </w:r>
      <w:r>
        <w:rPr>
          <w:rFonts w:ascii="Times New Roman" w:eastAsia="微软雅黑" w:hAnsi="Times New Roman" w:cs="Times New Roman"/>
          <w:color w:val="000000"/>
          <w:sz w:val="32"/>
          <w:szCs w:val="32"/>
        </w:rPr>
        <w:t>”</w:t>
      </w:r>
      <w:r>
        <w:rPr>
          <w:rFonts w:ascii="仿宋_GB2312" w:eastAsia="仿宋_GB2312" w:hAnsi="微软雅黑" w:hint="eastAsia"/>
          <w:color w:val="000000"/>
          <w:sz w:val="32"/>
          <w:szCs w:val="32"/>
        </w:rPr>
        <w:t>，推动行政执法数字化建设。持续加强行政执法人员通用法律知识培训，提升行政执法水平。</w:t>
      </w:r>
    </w:p>
    <w:p w:rsidR="00721B13" w:rsidRDefault="00721B13" w:rsidP="00721B13">
      <w:pPr>
        <w:pStyle w:val="a8"/>
        <w:shd w:val="clear" w:color="auto" w:fill="FFFFFF"/>
        <w:spacing w:before="0" w:beforeAutospacing="0" w:after="0" w:afterAutospacing="0" w:line="600" w:lineRule="atLeast"/>
        <w:ind w:firstLine="320"/>
        <w:rPr>
          <w:rFonts w:ascii="微软雅黑" w:eastAsia="微软雅黑" w:hAnsi="微软雅黑" w:hint="eastAsia"/>
          <w:color w:val="333333"/>
          <w:sz w:val="27"/>
          <w:szCs w:val="27"/>
        </w:rPr>
      </w:pPr>
      <w:r>
        <w:rPr>
          <w:rFonts w:ascii="楷体_GB2312" w:eastAsia="楷体_GB2312" w:hAnsi="微软雅黑" w:hint="eastAsia"/>
          <w:color w:val="000000"/>
          <w:sz w:val="32"/>
          <w:szCs w:val="32"/>
        </w:rPr>
        <w:lastRenderedPageBreak/>
        <w:t> </w:t>
      </w:r>
      <w:r>
        <w:rPr>
          <w:rFonts w:ascii="楷体_GB2312" w:eastAsia="楷体_GB2312" w:hAnsi="微软雅黑" w:hint="eastAsia"/>
          <w:color w:val="000000"/>
          <w:sz w:val="32"/>
          <w:szCs w:val="32"/>
        </w:rPr>
        <w:t xml:space="preserve"> （五）</w:t>
      </w:r>
      <w:r>
        <w:rPr>
          <w:rFonts w:ascii="仿宋_GB2312" w:eastAsia="仿宋_GB2312" w:hAnsi="微软雅黑" w:hint="eastAsia"/>
          <w:color w:val="000000"/>
          <w:sz w:val="32"/>
          <w:szCs w:val="32"/>
        </w:rPr>
        <w:t>持续深入开展</w:t>
      </w:r>
      <w:r>
        <w:rPr>
          <w:rFonts w:ascii="Times New Roman" w:eastAsia="微软雅黑" w:hAnsi="Times New Roman" w:cs="Times New Roman"/>
          <w:color w:val="000000"/>
          <w:sz w:val="32"/>
          <w:szCs w:val="32"/>
        </w:rPr>
        <w:t>“</w:t>
      </w:r>
      <w:r>
        <w:rPr>
          <w:rFonts w:ascii="仿宋_GB2312" w:eastAsia="仿宋_GB2312" w:hAnsi="微软雅黑" w:hint="eastAsia"/>
          <w:color w:val="000000"/>
          <w:sz w:val="32"/>
          <w:szCs w:val="32"/>
        </w:rPr>
        <w:t>八五</w:t>
      </w:r>
      <w:r>
        <w:rPr>
          <w:rFonts w:ascii="Times New Roman" w:eastAsia="微软雅黑" w:hAnsi="Times New Roman" w:cs="Times New Roman"/>
          <w:color w:val="000000"/>
          <w:sz w:val="32"/>
          <w:szCs w:val="32"/>
        </w:rPr>
        <w:t>”</w:t>
      </w:r>
      <w:r>
        <w:rPr>
          <w:rFonts w:ascii="仿宋_GB2312" w:eastAsia="仿宋_GB2312" w:hAnsi="微软雅黑" w:hint="eastAsia"/>
          <w:color w:val="000000"/>
          <w:sz w:val="32"/>
          <w:szCs w:val="32"/>
        </w:rPr>
        <w:t>普法，全面落实</w:t>
      </w:r>
      <w:r>
        <w:rPr>
          <w:rFonts w:ascii="Times New Roman" w:eastAsia="微软雅黑" w:hAnsi="Times New Roman" w:cs="Times New Roman"/>
          <w:color w:val="000000"/>
          <w:sz w:val="32"/>
          <w:szCs w:val="32"/>
        </w:rPr>
        <w:t>“</w:t>
      </w:r>
      <w:r>
        <w:rPr>
          <w:rFonts w:ascii="仿宋_GB2312" w:eastAsia="仿宋_GB2312" w:hAnsi="微软雅黑" w:hint="eastAsia"/>
          <w:color w:val="000000"/>
          <w:sz w:val="32"/>
          <w:szCs w:val="32"/>
        </w:rPr>
        <w:t>谁执法谁普法</w:t>
      </w:r>
      <w:r>
        <w:rPr>
          <w:rFonts w:ascii="Times New Roman" w:eastAsia="微软雅黑" w:hAnsi="Times New Roman" w:cs="Times New Roman"/>
          <w:color w:val="000000"/>
          <w:sz w:val="32"/>
          <w:szCs w:val="32"/>
        </w:rPr>
        <w:t>”</w:t>
      </w:r>
      <w:r>
        <w:rPr>
          <w:rFonts w:ascii="仿宋_GB2312" w:eastAsia="仿宋_GB2312" w:hAnsi="微软雅黑" w:hint="eastAsia"/>
          <w:color w:val="000000"/>
          <w:sz w:val="32"/>
          <w:szCs w:val="32"/>
        </w:rPr>
        <w:t>普法责任制，持续开展</w:t>
      </w:r>
      <w:r>
        <w:rPr>
          <w:rFonts w:ascii="Times New Roman" w:eastAsia="微软雅黑" w:hAnsi="Times New Roman" w:cs="Times New Roman"/>
          <w:color w:val="000000"/>
          <w:sz w:val="32"/>
          <w:szCs w:val="32"/>
        </w:rPr>
        <w:t>“</w:t>
      </w:r>
      <w:r>
        <w:rPr>
          <w:rFonts w:ascii="仿宋_GB2312" w:eastAsia="仿宋_GB2312" w:hAnsi="微软雅黑" w:hint="eastAsia"/>
          <w:color w:val="000000"/>
          <w:sz w:val="32"/>
          <w:szCs w:val="32"/>
        </w:rPr>
        <w:t>法治四川行</w:t>
      </w:r>
      <w:r>
        <w:rPr>
          <w:rFonts w:ascii="Times New Roman" w:eastAsia="微软雅黑" w:hAnsi="Times New Roman" w:cs="Times New Roman"/>
          <w:color w:val="000000"/>
          <w:sz w:val="32"/>
          <w:szCs w:val="32"/>
        </w:rPr>
        <w:t>”</w:t>
      </w:r>
      <w:r>
        <w:rPr>
          <w:rFonts w:ascii="仿宋_GB2312" w:eastAsia="仿宋_GB2312" w:hAnsi="微软雅黑" w:hint="eastAsia"/>
          <w:color w:val="000000"/>
          <w:sz w:val="32"/>
          <w:szCs w:val="32"/>
        </w:rPr>
        <w:t>一月一主题活动，深化拓展</w:t>
      </w:r>
      <w:r>
        <w:rPr>
          <w:rFonts w:ascii="Times New Roman" w:eastAsia="微软雅黑" w:hAnsi="Times New Roman" w:cs="Times New Roman"/>
          <w:color w:val="000000"/>
          <w:sz w:val="32"/>
          <w:szCs w:val="32"/>
        </w:rPr>
        <w:t>“</w:t>
      </w:r>
      <w:r>
        <w:rPr>
          <w:rFonts w:ascii="仿宋_GB2312" w:eastAsia="仿宋_GB2312" w:hAnsi="微软雅黑" w:hint="eastAsia"/>
          <w:color w:val="000000"/>
          <w:sz w:val="32"/>
          <w:szCs w:val="32"/>
        </w:rPr>
        <w:t>法律七进</w:t>
      </w:r>
      <w:r>
        <w:rPr>
          <w:rFonts w:ascii="Times New Roman" w:eastAsia="微软雅黑" w:hAnsi="Times New Roman" w:cs="Times New Roman"/>
          <w:color w:val="000000"/>
          <w:sz w:val="32"/>
          <w:szCs w:val="32"/>
        </w:rPr>
        <w:t>”</w:t>
      </w:r>
      <w:r>
        <w:rPr>
          <w:rFonts w:ascii="仿宋_GB2312" w:eastAsia="仿宋_GB2312" w:hAnsi="微软雅黑" w:hint="eastAsia"/>
          <w:color w:val="000000"/>
          <w:sz w:val="32"/>
          <w:szCs w:val="32"/>
        </w:rPr>
        <w:t>，切实扩大法治宣传教育覆盖面。</w:t>
      </w:r>
    </w:p>
    <w:p w:rsidR="00721B13" w:rsidRDefault="00721B13" w:rsidP="00721B13">
      <w:pPr>
        <w:pStyle w:val="a8"/>
        <w:shd w:val="clear" w:color="auto" w:fill="FFFFFF"/>
        <w:spacing w:before="0" w:beforeAutospacing="0" w:after="0" w:afterAutospacing="0" w:line="600" w:lineRule="atLeast"/>
        <w:ind w:firstLine="320"/>
        <w:rPr>
          <w:rFonts w:ascii="微软雅黑" w:eastAsia="微软雅黑" w:hAnsi="微软雅黑" w:hint="eastAsia"/>
          <w:color w:val="333333"/>
          <w:sz w:val="27"/>
          <w:szCs w:val="27"/>
        </w:rPr>
      </w:pPr>
      <w:r>
        <w:rPr>
          <w:rFonts w:ascii="楷体_GB2312" w:eastAsia="楷体_GB2312" w:hAnsi="微软雅黑" w:hint="eastAsia"/>
          <w:color w:val="000000"/>
          <w:sz w:val="32"/>
          <w:szCs w:val="32"/>
        </w:rPr>
        <w:t> </w:t>
      </w:r>
      <w:r>
        <w:rPr>
          <w:rFonts w:ascii="楷体_GB2312" w:eastAsia="楷体_GB2312" w:hAnsi="微软雅黑" w:hint="eastAsia"/>
          <w:color w:val="000000"/>
          <w:sz w:val="32"/>
          <w:szCs w:val="32"/>
        </w:rPr>
        <w:t xml:space="preserve"> （六）</w:t>
      </w:r>
      <w:r>
        <w:rPr>
          <w:rFonts w:ascii="仿宋_GB2312" w:eastAsia="仿宋_GB2312" w:hAnsi="微软雅黑" w:hint="eastAsia"/>
          <w:color w:val="000000"/>
          <w:sz w:val="32"/>
          <w:szCs w:val="32"/>
        </w:rPr>
        <w:t>积极推进行政裁决工作，进一步加强行政复议和行政应诉工作，持续落实行政机关负责人出庭应诉制度。</w:t>
      </w:r>
    </w:p>
    <w:p w:rsidR="00721B13" w:rsidRDefault="00721B13" w:rsidP="00721B13">
      <w:pPr>
        <w:pStyle w:val="a8"/>
        <w:shd w:val="clear" w:color="auto" w:fill="FFFFFF"/>
        <w:spacing w:before="0" w:beforeAutospacing="0" w:after="0" w:afterAutospacing="0" w:line="600" w:lineRule="atLeast"/>
        <w:ind w:firstLine="320"/>
        <w:rPr>
          <w:rFonts w:ascii="微软雅黑" w:eastAsia="微软雅黑" w:hAnsi="微软雅黑" w:hint="eastAsia"/>
          <w:color w:val="333333"/>
          <w:sz w:val="27"/>
          <w:szCs w:val="27"/>
        </w:rPr>
      </w:pPr>
      <w:r>
        <w:rPr>
          <w:rFonts w:ascii="楷体_GB2312" w:eastAsia="楷体_GB2312" w:hAnsi="微软雅黑" w:hint="eastAsia"/>
          <w:color w:val="000000"/>
          <w:sz w:val="32"/>
          <w:szCs w:val="32"/>
        </w:rPr>
        <w:t> </w:t>
      </w:r>
      <w:r>
        <w:rPr>
          <w:rFonts w:ascii="楷体_GB2312" w:eastAsia="楷体_GB2312" w:hAnsi="微软雅黑" w:hint="eastAsia"/>
          <w:color w:val="000000"/>
          <w:sz w:val="32"/>
          <w:szCs w:val="32"/>
        </w:rPr>
        <w:t xml:space="preserve"> （七）</w:t>
      </w:r>
      <w:r>
        <w:rPr>
          <w:rFonts w:ascii="仿宋_GB2312" w:eastAsia="仿宋_GB2312" w:hAnsi="微软雅黑" w:hint="eastAsia"/>
          <w:color w:val="000000"/>
          <w:sz w:val="32"/>
          <w:szCs w:val="32"/>
        </w:rPr>
        <w:t>严格贯彻落实中央、省、市关于法治政府建设的决策部署和工作要求，做实配合立法、规范执法、公正司法、守法普法各环节工作，确保法治政府建设各项任务</w:t>
      </w:r>
      <w:proofErr w:type="gramStart"/>
      <w:r>
        <w:rPr>
          <w:rFonts w:ascii="仿宋_GB2312" w:eastAsia="仿宋_GB2312" w:hAnsi="微软雅黑" w:hint="eastAsia"/>
          <w:color w:val="000000"/>
          <w:sz w:val="32"/>
          <w:szCs w:val="32"/>
        </w:rPr>
        <w:t>落地落细落到</w:t>
      </w:r>
      <w:proofErr w:type="gramEnd"/>
      <w:r>
        <w:rPr>
          <w:rFonts w:ascii="仿宋_GB2312" w:eastAsia="仿宋_GB2312" w:hAnsi="微软雅黑" w:hint="eastAsia"/>
          <w:color w:val="000000"/>
          <w:sz w:val="32"/>
          <w:szCs w:val="32"/>
        </w:rPr>
        <w:t>实处，力争盐边法治政府建设工作再上新台阶。</w:t>
      </w:r>
    </w:p>
    <w:p w:rsidR="00CC3A81" w:rsidRPr="00721B13" w:rsidRDefault="00CC3A81">
      <w:pPr>
        <w:pStyle w:val="a0"/>
        <w:spacing w:line="560" w:lineRule="exact"/>
        <w:rPr>
          <w:rFonts w:ascii="仿宋_GB2312" w:eastAsia="仿宋_GB2312" w:hAnsi="仿宋_GB2312" w:cs="仿宋_GB2312"/>
          <w:color w:val="auto"/>
          <w:spacing w:val="0"/>
          <w:sz w:val="32"/>
          <w:szCs w:val="32"/>
        </w:rPr>
      </w:pPr>
      <w:bookmarkStart w:id="0" w:name="_GoBack"/>
      <w:bookmarkEnd w:id="0"/>
    </w:p>
    <w:sectPr w:rsidR="00CC3A81" w:rsidRPr="00721B13">
      <w:footerReference w:type="default" r:id="rId9"/>
      <w:pgSz w:w="11906" w:h="16838"/>
      <w:pgMar w:top="2098" w:right="1474" w:bottom="1984" w:left="15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F39" w:rsidRDefault="00271F39">
      <w:r>
        <w:separator/>
      </w:r>
    </w:p>
  </w:endnote>
  <w:endnote w:type="continuationSeparator" w:id="0">
    <w:p w:rsidR="00271F39" w:rsidRDefault="00271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新宋体">
    <w:panose1 w:val="02010609030101010101"/>
    <w:charset w:val="86"/>
    <w:family w:val="modern"/>
    <w:pitch w:val="fixed"/>
    <w:sig w:usb0="0000028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A81" w:rsidRDefault="00BB7301">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C3A81" w:rsidRDefault="00BB7301">
                          <w:pPr>
                            <w:pStyle w:val="a5"/>
                          </w:pPr>
                          <w:r>
                            <w:rPr>
                              <w:rFonts w:hint="eastAsia"/>
                            </w:rPr>
                            <w:fldChar w:fldCharType="begin"/>
                          </w:r>
                          <w:r>
                            <w:rPr>
                              <w:rFonts w:hint="eastAsia"/>
                            </w:rPr>
                            <w:instrText xml:space="preserve"> PAGE  \* MERGEFORMAT </w:instrText>
                          </w:r>
                          <w:r>
                            <w:rPr>
                              <w:rFonts w:hint="eastAsia"/>
                            </w:rPr>
                            <w:fldChar w:fldCharType="separate"/>
                          </w:r>
                          <w:r w:rsidR="00721B13">
                            <w:rPr>
                              <w:noProof/>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CC3A81" w:rsidRDefault="00BB7301">
                    <w:pPr>
                      <w:pStyle w:val="a5"/>
                    </w:pPr>
                    <w:r>
                      <w:rPr>
                        <w:rFonts w:hint="eastAsia"/>
                      </w:rPr>
                      <w:fldChar w:fldCharType="begin"/>
                    </w:r>
                    <w:r>
                      <w:rPr>
                        <w:rFonts w:hint="eastAsia"/>
                      </w:rPr>
                      <w:instrText xml:space="preserve"> PAGE  \* MERGEFORMAT </w:instrText>
                    </w:r>
                    <w:r>
                      <w:rPr>
                        <w:rFonts w:hint="eastAsia"/>
                      </w:rPr>
                      <w:fldChar w:fldCharType="separate"/>
                    </w:r>
                    <w:r w:rsidR="00721B13">
                      <w:rPr>
                        <w:noProof/>
                      </w:rP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F39" w:rsidRDefault="00271F39">
      <w:r>
        <w:separator/>
      </w:r>
    </w:p>
  </w:footnote>
  <w:footnote w:type="continuationSeparator" w:id="0">
    <w:p w:rsidR="00271F39" w:rsidRDefault="00271F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chineseCountingThousand"/>
      <w:lvlText w:val="第%1章"/>
      <w:lvlJc w:val="left"/>
      <w:pPr>
        <w:ind w:left="420" w:firstLine="0"/>
      </w:pPr>
      <w:rPr>
        <w:rFonts w:ascii="Times New Roman" w:hAnsi="Times New Roman" w:cs="Times New Roman" w:hint="eastAsia"/>
        <w:b/>
        <w:bCs w:val="0"/>
        <w:i w:val="0"/>
        <w:iCs w:val="0"/>
        <w:caps w:val="0"/>
        <w:smallCaps w:val="0"/>
        <w:strike w:val="0"/>
        <w:dstrike w:val="0"/>
        <w:snapToGrid w:val="0"/>
        <w:vanish w:val="0"/>
        <w:color w:val="000000"/>
        <w:spacing w:val="0"/>
        <w:w w:val="0"/>
        <w:kern w:val="0"/>
        <w:position w:val="0"/>
        <w:szCs w:val="0"/>
        <w:u w:val="none"/>
        <w:vertAlign w:val="baseline"/>
      </w:rPr>
    </w:lvl>
    <w:lvl w:ilvl="1">
      <w:start w:val="1"/>
      <w:numFmt w:val="decimal"/>
      <w:isLgl/>
      <w:suff w:val="space"/>
      <w:lvlText w:val="%1.%2"/>
      <w:lvlJc w:val="left"/>
      <w:pPr>
        <w:ind w:left="0" w:firstLine="0"/>
      </w:pPr>
      <w:rPr>
        <w:rFonts w:ascii="黑体" w:eastAsia="黑体" w:hAnsi="黑体" w:cs="Times New Roman" w:hint="default"/>
        <w:b/>
        <w:bCs w:val="0"/>
        <w:i w:val="0"/>
        <w:iCs w:val="0"/>
        <w:caps w:val="0"/>
        <w:smallCaps w:val="0"/>
        <w:strike w:val="0"/>
        <w:dstrike w:val="0"/>
        <w:snapToGrid w:val="0"/>
        <w:vanish w:val="0"/>
        <w:color w:val="000000"/>
        <w:spacing w:val="0"/>
        <w:w w:val="0"/>
        <w:kern w:val="0"/>
        <w:position w:val="0"/>
        <w:sz w:val="24"/>
        <w:szCs w:val="32"/>
        <w:u w:val="none"/>
        <w:vertAlign w:val="baseline"/>
      </w:rPr>
    </w:lvl>
    <w:lvl w:ilvl="2">
      <w:start w:val="1"/>
      <w:numFmt w:val="decimal"/>
      <w:isLgl/>
      <w:suff w:val="space"/>
      <w:lvlText w:val="%1.%2.%3"/>
      <w:lvlJc w:val="left"/>
      <w:pPr>
        <w:ind w:left="735" w:firstLine="0"/>
      </w:pPr>
      <w:rPr>
        <w:rFonts w:ascii="黑体" w:eastAsia="黑体" w:hAnsi="Times New Roman" w:hint="eastAsia"/>
        <w:b/>
        <w:i w:val="0"/>
        <w:sz w:val="24"/>
        <w:szCs w:val="24"/>
      </w:rPr>
    </w:lvl>
    <w:lvl w:ilvl="3">
      <w:start w:val="1"/>
      <w:numFmt w:val="decimal"/>
      <w:pStyle w:val="4"/>
      <w:isLgl/>
      <w:suff w:val="space"/>
      <w:lvlText w:val="%1.%2.%3.%4"/>
      <w:lvlJc w:val="left"/>
      <w:pPr>
        <w:ind w:left="2625" w:firstLine="0"/>
      </w:pPr>
      <w:rPr>
        <w:rFonts w:ascii="黑体" w:eastAsia="黑体" w:hAnsi="Times New Roman" w:hint="eastAsia"/>
        <w:b/>
        <w:i w:val="0"/>
        <w:sz w:val="24"/>
        <w:szCs w:val="24"/>
      </w:rPr>
    </w:lvl>
    <w:lvl w:ilvl="4">
      <w:start w:val="1"/>
      <w:numFmt w:val="decimal"/>
      <w:isLgl/>
      <w:suff w:val="space"/>
      <w:lvlText w:val="%1.%2.%3.%4.%5"/>
      <w:lvlJc w:val="left"/>
      <w:pPr>
        <w:ind w:left="0" w:firstLine="0"/>
      </w:pPr>
      <w:rPr>
        <w:rFonts w:ascii="黑体" w:eastAsia="黑体" w:hint="eastAsia"/>
        <w:b/>
        <w:i w:val="0"/>
        <w:sz w:val="28"/>
      </w:rPr>
    </w:lvl>
    <w:lvl w:ilvl="5">
      <w:start w:val="1"/>
      <w:numFmt w:val="decimal"/>
      <w:lvlText w:val="%1.%2.%3.%4.%5.%6."/>
      <w:lvlJc w:val="left"/>
      <w:pPr>
        <w:ind w:left="1554" w:hanging="1134"/>
      </w:pPr>
      <w:rPr>
        <w:rFonts w:hint="eastAsia"/>
      </w:rPr>
    </w:lvl>
    <w:lvl w:ilvl="6">
      <w:start w:val="1"/>
      <w:numFmt w:val="decimal"/>
      <w:lvlText w:val="%1.%2.%3.%4.%5.%6.%7."/>
      <w:lvlJc w:val="left"/>
      <w:pPr>
        <w:ind w:left="1696" w:hanging="1276"/>
      </w:pPr>
      <w:rPr>
        <w:rFonts w:hint="eastAsia"/>
      </w:rPr>
    </w:lvl>
    <w:lvl w:ilvl="7">
      <w:start w:val="1"/>
      <w:numFmt w:val="decimal"/>
      <w:lvlText w:val="%1.%2.%3.%4.%5.%6.%7.%8."/>
      <w:lvlJc w:val="left"/>
      <w:pPr>
        <w:ind w:left="1838" w:hanging="1418"/>
      </w:pPr>
      <w:rPr>
        <w:rFonts w:hint="eastAsia"/>
      </w:rPr>
    </w:lvl>
    <w:lvl w:ilvl="8">
      <w:start w:val="1"/>
      <w:numFmt w:val="decimal"/>
      <w:lvlText w:val="%1.%2.%3.%4.%5.%6.%7.%8.%9."/>
      <w:lvlJc w:val="left"/>
      <w:pPr>
        <w:ind w:left="197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A81"/>
    <w:rsid w:val="00271F39"/>
    <w:rsid w:val="00312F6A"/>
    <w:rsid w:val="00721B13"/>
    <w:rsid w:val="00B83128"/>
    <w:rsid w:val="00BB7301"/>
    <w:rsid w:val="00CC3A81"/>
    <w:rsid w:val="00CC3AF1"/>
    <w:rsid w:val="00CE2CA0"/>
    <w:rsid w:val="00F02047"/>
    <w:rsid w:val="011B2FE4"/>
    <w:rsid w:val="015A37D7"/>
    <w:rsid w:val="017A5588"/>
    <w:rsid w:val="01816679"/>
    <w:rsid w:val="01DD5F47"/>
    <w:rsid w:val="0208612E"/>
    <w:rsid w:val="02325D0C"/>
    <w:rsid w:val="023F44C9"/>
    <w:rsid w:val="02545A04"/>
    <w:rsid w:val="02594749"/>
    <w:rsid w:val="02693160"/>
    <w:rsid w:val="02837583"/>
    <w:rsid w:val="02F97E47"/>
    <w:rsid w:val="03375D7E"/>
    <w:rsid w:val="035D700C"/>
    <w:rsid w:val="0397229C"/>
    <w:rsid w:val="03E502AB"/>
    <w:rsid w:val="04504F0D"/>
    <w:rsid w:val="049D4B31"/>
    <w:rsid w:val="04ED0FA6"/>
    <w:rsid w:val="04F33596"/>
    <w:rsid w:val="054E1D2E"/>
    <w:rsid w:val="054E5A94"/>
    <w:rsid w:val="054F5D37"/>
    <w:rsid w:val="055609D7"/>
    <w:rsid w:val="05707C8D"/>
    <w:rsid w:val="05E134D5"/>
    <w:rsid w:val="06681479"/>
    <w:rsid w:val="06987E25"/>
    <w:rsid w:val="06ED7DB1"/>
    <w:rsid w:val="06EF4CF2"/>
    <w:rsid w:val="07264AB5"/>
    <w:rsid w:val="07384F4E"/>
    <w:rsid w:val="07565705"/>
    <w:rsid w:val="07831249"/>
    <w:rsid w:val="07973894"/>
    <w:rsid w:val="07AB4B05"/>
    <w:rsid w:val="07AE223F"/>
    <w:rsid w:val="07BC2330"/>
    <w:rsid w:val="08673945"/>
    <w:rsid w:val="086C2357"/>
    <w:rsid w:val="08730C52"/>
    <w:rsid w:val="089368CE"/>
    <w:rsid w:val="08B50BC4"/>
    <w:rsid w:val="08D216B0"/>
    <w:rsid w:val="08E6067C"/>
    <w:rsid w:val="097F7030"/>
    <w:rsid w:val="09C22F59"/>
    <w:rsid w:val="09EA0485"/>
    <w:rsid w:val="09F36AA3"/>
    <w:rsid w:val="0A016F0E"/>
    <w:rsid w:val="0A0B569A"/>
    <w:rsid w:val="0A7A08BB"/>
    <w:rsid w:val="0A966C3C"/>
    <w:rsid w:val="0AA23069"/>
    <w:rsid w:val="0AAC3F1A"/>
    <w:rsid w:val="0AB3112B"/>
    <w:rsid w:val="0AF36A88"/>
    <w:rsid w:val="0AFA5E1F"/>
    <w:rsid w:val="0B4239C2"/>
    <w:rsid w:val="0B606795"/>
    <w:rsid w:val="0B6307A6"/>
    <w:rsid w:val="0BC35F9D"/>
    <w:rsid w:val="0C0461FB"/>
    <w:rsid w:val="0C30418F"/>
    <w:rsid w:val="0C5B326D"/>
    <w:rsid w:val="0C8C0EE4"/>
    <w:rsid w:val="0CAB4543"/>
    <w:rsid w:val="0CAD5DFA"/>
    <w:rsid w:val="0CCB7F2A"/>
    <w:rsid w:val="0D0C1BE8"/>
    <w:rsid w:val="0D535520"/>
    <w:rsid w:val="0D6A7F3A"/>
    <w:rsid w:val="0D6D5E79"/>
    <w:rsid w:val="0DB72819"/>
    <w:rsid w:val="0DBB03DC"/>
    <w:rsid w:val="0DFC0D69"/>
    <w:rsid w:val="0E2A34EA"/>
    <w:rsid w:val="0E9E221F"/>
    <w:rsid w:val="0EE11260"/>
    <w:rsid w:val="0EF27135"/>
    <w:rsid w:val="0F324424"/>
    <w:rsid w:val="0F3B2A86"/>
    <w:rsid w:val="0FCE142B"/>
    <w:rsid w:val="103803CD"/>
    <w:rsid w:val="103B531E"/>
    <w:rsid w:val="10553194"/>
    <w:rsid w:val="10A13B80"/>
    <w:rsid w:val="10AD38A4"/>
    <w:rsid w:val="10FB4476"/>
    <w:rsid w:val="113E2481"/>
    <w:rsid w:val="11434EBD"/>
    <w:rsid w:val="116D4441"/>
    <w:rsid w:val="117538A8"/>
    <w:rsid w:val="11A4064E"/>
    <w:rsid w:val="11C54F9A"/>
    <w:rsid w:val="124F7836"/>
    <w:rsid w:val="12C279B5"/>
    <w:rsid w:val="12CB198A"/>
    <w:rsid w:val="130607CB"/>
    <w:rsid w:val="134154A7"/>
    <w:rsid w:val="13B94EB3"/>
    <w:rsid w:val="13CC4E8C"/>
    <w:rsid w:val="13F20F87"/>
    <w:rsid w:val="140126E4"/>
    <w:rsid w:val="141A4AFA"/>
    <w:rsid w:val="145304A9"/>
    <w:rsid w:val="152268B8"/>
    <w:rsid w:val="156E1D85"/>
    <w:rsid w:val="157A154C"/>
    <w:rsid w:val="157E20B0"/>
    <w:rsid w:val="157F4A1D"/>
    <w:rsid w:val="15D44A67"/>
    <w:rsid w:val="15EC6744"/>
    <w:rsid w:val="160C0694"/>
    <w:rsid w:val="16994A72"/>
    <w:rsid w:val="169F286A"/>
    <w:rsid w:val="16D470CC"/>
    <w:rsid w:val="17001B5C"/>
    <w:rsid w:val="172003E7"/>
    <w:rsid w:val="17226E83"/>
    <w:rsid w:val="17841F29"/>
    <w:rsid w:val="17881E7C"/>
    <w:rsid w:val="17C62C11"/>
    <w:rsid w:val="17EE2C8A"/>
    <w:rsid w:val="17F83FE3"/>
    <w:rsid w:val="17FC592C"/>
    <w:rsid w:val="18270359"/>
    <w:rsid w:val="185B5323"/>
    <w:rsid w:val="18795819"/>
    <w:rsid w:val="18885F99"/>
    <w:rsid w:val="18AD5507"/>
    <w:rsid w:val="18F30B36"/>
    <w:rsid w:val="18F36AE1"/>
    <w:rsid w:val="19081AD8"/>
    <w:rsid w:val="193D5E32"/>
    <w:rsid w:val="19416E1F"/>
    <w:rsid w:val="19715BBF"/>
    <w:rsid w:val="19F11012"/>
    <w:rsid w:val="19F3111B"/>
    <w:rsid w:val="1A09663B"/>
    <w:rsid w:val="1A113FC5"/>
    <w:rsid w:val="1A7F1845"/>
    <w:rsid w:val="1A8D0860"/>
    <w:rsid w:val="1A9F4B60"/>
    <w:rsid w:val="1AA07906"/>
    <w:rsid w:val="1AC23B3A"/>
    <w:rsid w:val="1ADB0D71"/>
    <w:rsid w:val="1B0764BA"/>
    <w:rsid w:val="1B1E2DA7"/>
    <w:rsid w:val="1B615EEB"/>
    <w:rsid w:val="1B7B0015"/>
    <w:rsid w:val="1B8F6219"/>
    <w:rsid w:val="1B983398"/>
    <w:rsid w:val="1BB43A3D"/>
    <w:rsid w:val="1BC632AA"/>
    <w:rsid w:val="1BC7755C"/>
    <w:rsid w:val="1BF37991"/>
    <w:rsid w:val="1C021547"/>
    <w:rsid w:val="1C1B7502"/>
    <w:rsid w:val="1CAA4C20"/>
    <w:rsid w:val="1CE908E2"/>
    <w:rsid w:val="1D074B06"/>
    <w:rsid w:val="1D1412AB"/>
    <w:rsid w:val="1D190458"/>
    <w:rsid w:val="1D3C3A61"/>
    <w:rsid w:val="1D4C30D4"/>
    <w:rsid w:val="1D5E1928"/>
    <w:rsid w:val="1D69728E"/>
    <w:rsid w:val="1D7C165F"/>
    <w:rsid w:val="1D7D784E"/>
    <w:rsid w:val="1DA31432"/>
    <w:rsid w:val="1DB51691"/>
    <w:rsid w:val="1E1C73D9"/>
    <w:rsid w:val="1E5A5F2F"/>
    <w:rsid w:val="1E5D28E2"/>
    <w:rsid w:val="1E6460F7"/>
    <w:rsid w:val="1E6C1234"/>
    <w:rsid w:val="1E722C59"/>
    <w:rsid w:val="1E837717"/>
    <w:rsid w:val="1E87394A"/>
    <w:rsid w:val="1EA23F90"/>
    <w:rsid w:val="1EFF0ACD"/>
    <w:rsid w:val="1F202C24"/>
    <w:rsid w:val="1F431F7B"/>
    <w:rsid w:val="1F617C03"/>
    <w:rsid w:val="1F7C51FE"/>
    <w:rsid w:val="1FBA7F59"/>
    <w:rsid w:val="1FF241B0"/>
    <w:rsid w:val="20093DBC"/>
    <w:rsid w:val="20276328"/>
    <w:rsid w:val="205A0EEC"/>
    <w:rsid w:val="20EF3AA8"/>
    <w:rsid w:val="20F02BE6"/>
    <w:rsid w:val="211F5700"/>
    <w:rsid w:val="21484363"/>
    <w:rsid w:val="214F64DB"/>
    <w:rsid w:val="2189441B"/>
    <w:rsid w:val="21BF6450"/>
    <w:rsid w:val="22217B84"/>
    <w:rsid w:val="22506EB4"/>
    <w:rsid w:val="22777CF6"/>
    <w:rsid w:val="227917CD"/>
    <w:rsid w:val="227F1EB4"/>
    <w:rsid w:val="22A346C1"/>
    <w:rsid w:val="22BD36F1"/>
    <w:rsid w:val="22C16656"/>
    <w:rsid w:val="22EC7325"/>
    <w:rsid w:val="22F50A4B"/>
    <w:rsid w:val="2345366F"/>
    <w:rsid w:val="235B35D9"/>
    <w:rsid w:val="2375053E"/>
    <w:rsid w:val="23793672"/>
    <w:rsid w:val="23A515DF"/>
    <w:rsid w:val="23C12DD0"/>
    <w:rsid w:val="2407463F"/>
    <w:rsid w:val="240B4EB6"/>
    <w:rsid w:val="240B6968"/>
    <w:rsid w:val="24195823"/>
    <w:rsid w:val="243D6399"/>
    <w:rsid w:val="24651AA8"/>
    <w:rsid w:val="246B0104"/>
    <w:rsid w:val="24C93F57"/>
    <w:rsid w:val="24D3128A"/>
    <w:rsid w:val="25336D3F"/>
    <w:rsid w:val="254E106C"/>
    <w:rsid w:val="257E16BB"/>
    <w:rsid w:val="25892BE8"/>
    <w:rsid w:val="25A54D06"/>
    <w:rsid w:val="25A8409A"/>
    <w:rsid w:val="25A94F96"/>
    <w:rsid w:val="2625067D"/>
    <w:rsid w:val="265A59DD"/>
    <w:rsid w:val="26937122"/>
    <w:rsid w:val="272D0FFC"/>
    <w:rsid w:val="272F1BBC"/>
    <w:rsid w:val="27617DF5"/>
    <w:rsid w:val="27726F14"/>
    <w:rsid w:val="27801F6C"/>
    <w:rsid w:val="27FB70C0"/>
    <w:rsid w:val="27FD5F5A"/>
    <w:rsid w:val="280F5B13"/>
    <w:rsid w:val="288208EA"/>
    <w:rsid w:val="288A3FCF"/>
    <w:rsid w:val="28BB479A"/>
    <w:rsid w:val="28C63A30"/>
    <w:rsid w:val="29174918"/>
    <w:rsid w:val="29806B46"/>
    <w:rsid w:val="29A05425"/>
    <w:rsid w:val="29AD05AD"/>
    <w:rsid w:val="29C86FEA"/>
    <w:rsid w:val="29F85B50"/>
    <w:rsid w:val="29F9545B"/>
    <w:rsid w:val="2A137EB5"/>
    <w:rsid w:val="2A2058E7"/>
    <w:rsid w:val="2A212451"/>
    <w:rsid w:val="2A370DA2"/>
    <w:rsid w:val="2A5A2211"/>
    <w:rsid w:val="2A5A2E70"/>
    <w:rsid w:val="2A892336"/>
    <w:rsid w:val="2AA5004D"/>
    <w:rsid w:val="2ADD7008"/>
    <w:rsid w:val="2B111814"/>
    <w:rsid w:val="2B4032C4"/>
    <w:rsid w:val="2B58414D"/>
    <w:rsid w:val="2BF422A1"/>
    <w:rsid w:val="2CAD25A4"/>
    <w:rsid w:val="2CEF7073"/>
    <w:rsid w:val="2D1A4207"/>
    <w:rsid w:val="2D7561AB"/>
    <w:rsid w:val="2D7719C1"/>
    <w:rsid w:val="2D8B018F"/>
    <w:rsid w:val="2D9C1FDF"/>
    <w:rsid w:val="2DBF08D0"/>
    <w:rsid w:val="2DC84FB2"/>
    <w:rsid w:val="2DE9787B"/>
    <w:rsid w:val="2DF923CD"/>
    <w:rsid w:val="2E0D30BC"/>
    <w:rsid w:val="2E217E1E"/>
    <w:rsid w:val="2E3D75F5"/>
    <w:rsid w:val="2E407692"/>
    <w:rsid w:val="2E9836DB"/>
    <w:rsid w:val="2EA11DE7"/>
    <w:rsid w:val="2EB60FAB"/>
    <w:rsid w:val="2EEB2E02"/>
    <w:rsid w:val="2F0C31A4"/>
    <w:rsid w:val="2F541DDD"/>
    <w:rsid w:val="2F697877"/>
    <w:rsid w:val="2F6E3CCF"/>
    <w:rsid w:val="2F9528CC"/>
    <w:rsid w:val="2FCC2972"/>
    <w:rsid w:val="2FE07E28"/>
    <w:rsid w:val="2FE53B10"/>
    <w:rsid w:val="2FE67B9B"/>
    <w:rsid w:val="301C7A8F"/>
    <w:rsid w:val="304157CA"/>
    <w:rsid w:val="306E62CB"/>
    <w:rsid w:val="30C56396"/>
    <w:rsid w:val="30D919D6"/>
    <w:rsid w:val="31574460"/>
    <w:rsid w:val="317E2EEC"/>
    <w:rsid w:val="31BF0786"/>
    <w:rsid w:val="31DB540C"/>
    <w:rsid w:val="31DF67B1"/>
    <w:rsid w:val="31F80A0F"/>
    <w:rsid w:val="321602C1"/>
    <w:rsid w:val="32914C72"/>
    <w:rsid w:val="32B742B6"/>
    <w:rsid w:val="32CF6C73"/>
    <w:rsid w:val="32F23569"/>
    <w:rsid w:val="330B1631"/>
    <w:rsid w:val="33170785"/>
    <w:rsid w:val="3334022F"/>
    <w:rsid w:val="334A0BFF"/>
    <w:rsid w:val="335638F4"/>
    <w:rsid w:val="336F227F"/>
    <w:rsid w:val="33771820"/>
    <w:rsid w:val="3388085F"/>
    <w:rsid w:val="33B87C0E"/>
    <w:rsid w:val="33DA0BEC"/>
    <w:rsid w:val="34146086"/>
    <w:rsid w:val="34551B0A"/>
    <w:rsid w:val="3458691B"/>
    <w:rsid w:val="348B7DEB"/>
    <w:rsid w:val="34BC065B"/>
    <w:rsid w:val="34EF3A67"/>
    <w:rsid w:val="34FB4467"/>
    <w:rsid w:val="350E4F38"/>
    <w:rsid w:val="355433AE"/>
    <w:rsid w:val="355B7ECA"/>
    <w:rsid w:val="35634D07"/>
    <w:rsid w:val="35823B98"/>
    <w:rsid w:val="35973587"/>
    <w:rsid w:val="35B23802"/>
    <w:rsid w:val="35D850A0"/>
    <w:rsid w:val="35DC18AC"/>
    <w:rsid w:val="35FC50A5"/>
    <w:rsid w:val="36440DEF"/>
    <w:rsid w:val="36454BDC"/>
    <w:rsid w:val="365652E3"/>
    <w:rsid w:val="365B2314"/>
    <w:rsid w:val="366A021D"/>
    <w:rsid w:val="36A67F21"/>
    <w:rsid w:val="36C6104B"/>
    <w:rsid w:val="36DA1A29"/>
    <w:rsid w:val="36E01AE5"/>
    <w:rsid w:val="37263287"/>
    <w:rsid w:val="37341E7F"/>
    <w:rsid w:val="37420F9B"/>
    <w:rsid w:val="37435B5A"/>
    <w:rsid w:val="376E06F0"/>
    <w:rsid w:val="37A92AEB"/>
    <w:rsid w:val="3826424F"/>
    <w:rsid w:val="38733EB8"/>
    <w:rsid w:val="38AD490A"/>
    <w:rsid w:val="38AE7114"/>
    <w:rsid w:val="38C90088"/>
    <w:rsid w:val="38E05DEE"/>
    <w:rsid w:val="390C6F06"/>
    <w:rsid w:val="39466008"/>
    <w:rsid w:val="39472675"/>
    <w:rsid w:val="396B2D3D"/>
    <w:rsid w:val="39AA6F81"/>
    <w:rsid w:val="3A1010A3"/>
    <w:rsid w:val="3A770868"/>
    <w:rsid w:val="3A886953"/>
    <w:rsid w:val="3AA94BD9"/>
    <w:rsid w:val="3AAB2635"/>
    <w:rsid w:val="3AEF1F36"/>
    <w:rsid w:val="3B4C0250"/>
    <w:rsid w:val="3B653D7E"/>
    <w:rsid w:val="3B6F71E5"/>
    <w:rsid w:val="3BFD3CFA"/>
    <w:rsid w:val="3C3B1A02"/>
    <w:rsid w:val="3C3B3F36"/>
    <w:rsid w:val="3C596DA5"/>
    <w:rsid w:val="3C9A56AD"/>
    <w:rsid w:val="3CC42704"/>
    <w:rsid w:val="3CE611E3"/>
    <w:rsid w:val="3D1A78D8"/>
    <w:rsid w:val="3D25400D"/>
    <w:rsid w:val="3D3F082E"/>
    <w:rsid w:val="3D7C696A"/>
    <w:rsid w:val="3DC57723"/>
    <w:rsid w:val="3DCB6CE6"/>
    <w:rsid w:val="3DF41ABD"/>
    <w:rsid w:val="3DFA42E4"/>
    <w:rsid w:val="3E1A109C"/>
    <w:rsid w:val="3E4274D0"/>
    <w:rsid w:val="3E4C6A07"/>
    <w:rsid w:val="3E50099F"/>
    <w:rsid w:val="3E5C3A7A"/>
    <w:rsid w:val="3E727F92"/>
    <w:rsid w:val="3F0158F8"/>
    <w:rsid w:val="3F4D0322"/>
    <w:rsid w:val="3F5A2741"/>
    <w:rsid w:val="3F6D05C5"/>
    <w:rsid w:val="3F70642E"/>
    <w:rsid w:val="3FAA10AD"/>
    <w:rsid w:val="3FE8548B"/>
    <w:rsid w:val="3FFB22F5"/>
    <w:rsid w:val="401733C1"/>
    <w:rsid w:val="40647DC6"/>
    <w:rsid w:val="414C4213"/>
    <w:rsid w:val="418A0F0E"/>
    <w:rsid w:val="41BA0A67"/>
    <w:rsid w:val="41D46378"/>
    <w:rsid w:val="41D66577"/>
    <w:rsid w:val="41F144BA"/>
    <w:rsid w:val="41FD09B4"/>
    <w:rsid w:val="423C7101"/>
    <w:rsid w:val="424B39D0"/>
    <w:rsid w:val="426A4D7E"/>
    <w:rsid w:val="426F3E1F"/>
    <w:rsid w:val="42783CDA"/>
    <w:rsid w:val="42FD39FF"/>
    <w:rsid w:val="43666160"/>
    <w:rsid w:val="436C2799"/>
    <w:rsid w:val="43DE100F"/>
    <w:rsid w:val="43E43252"/>
    <w:rsid w:val="44160116"/>
    <w:rsid w:val="446842DA"/>
    <w:rsid w:val="448F136A"/>
    <w:rsid w:val="44DF7B28"/>
    <w:rsid w:val="455F3843"/>
    <w:rsid w:val="456C640A"/>
    <w:rsid w:val="45785871"/>
    <w:rsid w:val="45AC3AD0"/>
    <w:rsid w:val="45D1401B"/>
    <w:rsid w:val="45F21C3F"/>
    <w:rsid w:val="45F863CC"/>
    <w:rsid w:val="45F92BBC"/>
    <w:rsid w:val="4606701C"/>
    <w:rsid w:val="461508E5"/>
    <w:rsid w:val="46446078"/>
    <w:rsid w:val="46624B52"/>
    <w:rsid w:val="466B6982"/>
    <w:rsid w:val="46882C20"/>
    <w:rsid w:val="46A34ED1"/>
    <w:rsid w:val="46CC4F7E"/>
    <w:rsid w:val="46E348C3"/>
    <w:rsid w:val="47036730"/>
    <w:rsid w:val="476A2037"/>
    <w:rsid w:val="47C00D11"/>
    <w:rsid w:val="47C62494"/>
    <w:rsid w:val="47DA03A8"/>
    <w:rsid w:val="47DE096E"/>
    <w:rsid w:val="47DE0CCA"/>
    <w:rsid w:val="47F12BA8"/>
    <w:rsid w:val="47F910E6"/>
    <w:rsid w:val="48040A76"/>
    <w:rsid w:val="48442695"/>
    <w:rsid w:val="48526C5B"/>
    <w:rsid w:val="4863731D"/>
    <w:rsid w:val="48954995"/>
    <w:rsid w:val="489B5A16"/>
    <w:rsid w:val="48CD1C47"/>
    <w:rsid w:val="48F9509E"/>
    <w:rsid w:val="495C3505"/>
    <w:rsid w:val="49C60588"/>
    <w:rsid w:val="49D33DDC"/>
    <w:rsid w:val="4A537690"/>
    <w:rsid w:val="4B7B369B"/>
    <w:rsid w:val="4B9622EA"/>
    <w:rsid w:val="4B9D4FD7"/>
    <w:rsid w:val="4BB60C1A"/>
    <w:rsid w:val="4BC168E0"/>
    <w:rsid w:val="4BDE64BF"/>
    <w:rsid w:val="4C505E33"/>
    <w:rsid w:val="4C5A4CE3"/>
    <w:rsid w:val="4C69483D"/>
    <w:rsid w:val="4CA32C9F"/>
    <w:rsid w:val="4CCA6D2C"/>
    <w:rsid w:val="4CCB763D"/>
    <w:rsid w:val="4CD3650C"/>
    <w:rsid w:val="4D156916"/>
    <w:rsid w:val="4D82398B"/>
    <w:rsid w:val="4D8E4B6C"/>
    <w:rsid w:val="4E14386B"/>
    <w:rsid w:val="4E202A56"/>
    <w:rsid w:val="4E254042"/>
    <w:rsid w:val="4E434F75"/>
    <w:rsid w:val="4E487706"/>
    <w:rsid w:val="4E8B74A9"/>
    <w:rsid w:val="4E8F3950"/>
    <w:rsid w:val="4ECD2651"/>
    <w:rsid w:val="4F2C1634"/>
    <w:rsid w:val="4F59621E"/>
    <w:rsid w:val="4F5E1662"/>
    <w:rsid w:val="4F7D06C0"/>
    <w:rsid w:val="4F8605E6"/>
    <w:rsid w:val="4FB258CE"/>
    <w:rsid w:val="4FE172C9"/>
    <w:rsid w:val="4FF20A28"/>
    <w:rsid w:val="500579B1"/>
    <w:rsid w:val="503233F8"/>
    <w:rsid w:val="50374CD6"/>
    <w:rsid w:val="504F7630"/>
    <w:rsid w:val="50682BD2"/>
    <w:rsid w:val="50801770"/>
    <w:rsid w:val="50AA5FC7"/>
    <w:rsid w:val="50BB344E"/>
    <w:rsid w:val="50CC6C38"/>
    <w:rsid w:val="514C1E6B"/>
    <w:rsid w:val="518A0022"/>
    <w:rsid w:val="518D71E9"/>
    <w:rsid w:val="51F14F9E"/>
    <w:rsid w:val="51F318EC"/>
    <w:rsid w:val="525907D4"/>
    <w:rsid w:val="525964E6"/>
    <w:rsid w:val="5278793A"/>
    <w:rsid w:val="5283306A"/>
    <w:rsid w:val="52CC62F9"/>
    <w:rsid w:val="531E1073"/>
    <w:rsid w:val="5340706E"/>
    <w:rsid w:val="5372738D"/>
    <w:rsid w:val="54095749"/>
    <w:rsid w:val="542239C5"/>
    <w:rsid w:val="545E16FD"/>
    <w:rsid w:val="54A96C47"/>
    <w:rsid w:val="54AB6AAE"/>
    <w:rsid w:val="54C925CB"/>
    <w:rsid w:val="54EA2051"/>
    <w:rsid w:val="54F958F6"/>
    <w:rsid w:val="54FC5C65"/>
    <w:rsid w:val="54FF2D4A"/>
    <w:rsid w:val="55205531"/>
    <w:rsid w:val="554D3D51"/>
    <w:rsid w:val="55BE4475"/>
    <w:rsid w:val="55CC2710"/>
    <w:rsid w:val="5605350F"/>
    <w:rsid w:val="5619478A"/>
    <w:rsid w:val="56251DE5"/>
    <w:rsid w:val="56342A82"/>
    <w:rsid w:val="565904B5"/>
    <w:rsid w:val="567B30EC"/>
    <w:rsid w:val="569937A0"/>
    <w:rsid w:val="56C62BD5"/>
    <w:rsid w:val="56CA79A1"/>
    <w:rsid w:val="56EA22B7"/>
    <w:rsid w:val="573A7114"/>
    <w:rsid w:val="573D07C6"/>
    <w:rsid w:val="5767677B"/>
    <w:rsid w:val="57832D86"/>
    <w:rsid w:val="57AD2E3D"/>
    <w:rsid w:val="57B45FB4"/>
    <w:rsid w:val="58125D4C"/>
    <w:rsid w:val="582A6D9C"/>
    <w:rsid w:val="5865747C"/>
    <w:rsid w:val="58DD300F"/>
    <w:rsid w:val="5907018D"/>
    <w:rsid w:val="59867A7C"/>
    <w:rsid w:val="598D2313"/>
    <w:rsid w:val="599D7446"/>
    <w:rsid w:val="59BC5EE4"/>
    <w:rsid w:val="59F23892"/>
    <w:rsid w:val="5A002231"/>
    <w:rsid w:val="5A340B49"/>
    <w:rsid w:val="5A3825D2"/>
    <w:rsid w:val="5A7A716E"/>
    <w:rsid w:val="5A8A04B9"/>
    <w:rsid w:val="5B1D0242"/>
    <w:rsid w:val="5B2926E7"/>
    <w:rsid w:val="5B4449B8"/>
    <w:rsid w:val="5B486CA7"/>
    <w:rsid w:val="5BC02E8D"/>
    <w:rsid w:val="5BD75CE7"/>
    <w:rsid w:val="5C194447"/>
    <w:rsid w:val="5C1A642B"/>
    <w:rsid w:val="5C423D52"/>
    <w:rsid w:val="5C5512DC"/>
    <w:rsid w:val="5CDA199F"/>
    <w:rsid w:val="5CF67222"/>
    <w:rsid w:val="5CFA2954"/>
    <w:rsid w:val="5CFC6C6D"/>
    <w:rsid w:val="5D1107C5"/>
    <w:rsid w:val="5D7C053B"/>
    <w:rsid w:val="5D7D6D22"/>
    <w:rsid w:val="5D9D7867"/>
    <w:rsid w:val="5DBC59C0"/>
    <w:rsid w:val="5DE0028E"/>
    <w:rsid w:val="5DEE7111"/>
    <w:rsid w:val="5EBF719C"/>
    <w:rsid w:val="5F126544"/>
    <w:rsid w:val="5F1F5146"/>
    <w:rsid w:val="5F3D398B"/>
    <w:rsid w:val="5F6C02CF"/>
    <w:rsid w:val="5FA2409F"/>
    <w:rsid w:val="5FB57ED4"/>
    <w:rsid w:val="5FC54F2F"/>
    <w:rsid w:val="5FC86B97"/>
    <w:rsid w:val="5FDC6293"/>
    <w:rsid w:val="5FEF172E"/>
    <w:rsid w:val="60093E73"/>
    <w:rsid w:val="602B4B81"/>
    <w:rsid w:val="60471EB5"/>
    <w:rsid w:val="604B25EE"/>
    <w:rsid w:val="607A51CE"/>
    <w:rsid w:val="60831846"/>
    <w:rsid w:val="60A676FB"/>
    <w:rsid w:val="60C35520"/>
    <w:rsid w:val="60DD7C19"/>
    <w:rsid w:val="60DF216B"/>
    <w:rsid w:val="60EE6001"/>
    <w:rsid w:val="610331F3"/>
    <w:rsid w:val="61273340"/>
    <w:rsid w:val="6134618C"/>
    <w:rsid w:val="614D35DB"/>
    <w:rsid w:val="616E340A"/>
    <w:rsid w:val="61747536"/>
    <w:rsid w:val="619A343C"/>
    <w:rsid w:val="61E655CB"/>
    <w:rsid w:val="62590811"/>
    <w:rsid w:val="6282047E"/>
    <w:rsid w:val="62C6682B"/>
    <w:rsid w:val="62CF7C3C"/>
    <w:rsid w:val="62D845C1"/>
    <w:rsid w:val="640C17D1"/>
    <w:rsid w:val="64634C28"/>
    <w:rsid w:val="646C5724"/>
    <w:rsid w:val="64CD500A"/>
    <w:rsid w:val="64D2390E"/>
    <w:rsid w:val="64DF7872"/>
    <w:rsid w:val="651273AA"/>
    <w:rsid w:val="651648AA"/>
    <w:rsid w:val="65280DAD"/>
    <w:rsid w:val="6598240F"/>
    <w:rsid w:val="65C06E3D"/>
    <w:rsid w:val="65C14F07"/>
    <w:rsid w:val="6620653A"/>
    <w:rsid w:val="66365B88"/>
    <w:rsid w:val="6643066B"/>
    <w:rsid w:val="664C62AE"/>
    <w:rsid w:val="666E6760"/>
    <w:rsid w:val="66873B24"/>
    <w:rsid w:val="66EF4352"/>
    <w:rsid w:val="66F65DB7"/>
    <w:rsid w:val="671253CD"/>
    <w:rsid w:val="67171A9A"/>
    <w:rsid w:val="671D0D98"/>
    <w:rsid w:val="6725001F"/>
    <w:rsid w:val="673101D7"/>
    <w:rsid w:val="677F3BBA"/>
    <w:rsid w:val="67A037C1"/>
    <w:rsid w:val="67EA4BD1"/>
    <w:rsid w:val="68104A68"/>
    <w:rsid w:val="68711A9C"/>
    <w:rsid w:val="687F031C"/>
    <w:rsid w:val="68F540D2"/>
    <w:rsid w:val="69290BDD"/>
    <w:rsid w:val="697424A2"/>
    <w:rsid w:val="69B45641"/>
    <w:rsid w:val="69E25AB1"/>
    <w:rsid w:val="6A494FB9"/>
    <w:rsid w:val="6A5F6230"/>
    <w:rsid w:val="6ADF08ED"/>
    <w:rsid w:val="6B174267"/>
    <w:rsid w:val="6B5A78E5"/>
    <w:rsid w:val="6B6F605D"/>
    <w:rsid w:val="6B8957D9"/>
    <w:rsid w:val="6BB511C5"/>
    <w:rsid w:val="6BDF6FBB"/>
    <w:rsid w:val="6BE77979"/>
    <w:rsid w:val="6C0704DD"/>
    <w:rsid w:val="6C880AC8"/>
    <w:rsid w:val="6C97618B"/>
    <w:rsid w:val="6CCF4239"/>
    <w:rsid w:val="6CF97229"/>
    <w:rsid w:val="6D337600"/>
    <w:rsid w:val="6D8607C3"/>
    <w:rsid w:val="6DBF3080"/>
    <w:rsid w:val="6DC56E0C"/>
    <w:rsid w:val="6DDD7E4D"/>
    <w:rsid w:val="6DEF31B9"/>
    <w:rsid w:val="6E0E19C5"/>
    <w:rsid w:val="6E5E78D0"/>
    <w:rsid w:val="6ED7460F"/>
    <w:rsid w:val="6EF22A1E"/>
    <w:rsid w:val="6F0521C6"/>
    <w:rsid w:val="6F2D7B0B"/>
    <w:rsid w:val="6F5518D3"/>
    <w:rsid w:val="6F5B4F1C"/>
    <w:rsid w:val="6F6565B8"/>
    <w:rsid w:val="6F6904E3"/>
    <w:rsid w:val="6F7C1FFE"/>
    <w:rsid w:val="6FCC1C87"/>
    <w:rsid w:val="6FD91888"/>
    <w:rsid w:val="6FF20019"/>
    <w:rsid w:val="702039E9"/>
    <w:rsid w:val="702C6626"/>
    <w:rsid w:val="703F06AA"/>
    <w:rsid w:val="704951E2"/>
    <w:rsid w:val="704A7217"/>
    <w:rsid w:val="70A96FF1"/>
    <w:rsid w:val="70B132C9"/>
    <w:rsid w:val="70B76393"/>
    <w:rsid w:val="70D40F80"/>
    <w:rsid w:val="70D7287B"/>
    <w:rsid w:val="70DB5B68"/>
    <w:rsid w:val="70E61A15"/>
    <w:rsid w:val="715B7E72"/>
    <w:rsid w:val="7176259D"/>
    <w:rsid w:val="71B43F4C"/>
    <w:rsid w:val="71BA2660"/>
    <w:rsid w:val="720147D7"/>
    <w:rsid w:val="72243054"/>
    <w:rsid w:val="72340EC0"/>
    <w:rsid w:val="723F3572"/>
    <w:rsid w:val="727D2DB7"/>
    <w:rsid w:val="727D4616"/>
    <w:rsid w:val="728053CF"/>
    <w:rsid w:val="72A44CDC"/>
    <w:rsid w:val="73032777"/>
    <w:rsid w:val="730F49BD"/>
    <w:rsid w:val="73976087"/>
    <w:rsid w:val="73C939D1"/>
    <w:rsid w:val="73CF6F39"/>
    <w:rsid w:val="73E31E89"/>
    <w:rsid w:val="74986087"/>
    <w:rsid w:val="7515139B"/>
    <w:rsid w:val="75374A41"/>
    <w:rsid w:val="756574D0"/>
    <w:rsid w:val="759A02A4"/>
    <w:rsid w:val="75B233D5"/>
    <w:rsid w:val="75B51A77"/>
    <w:rsid w:val="75C875F3"/>
    <w:rsid w:val="75D044E8"/>
    <w:rsid w:val="760E1DAA"/>
    <w:rsid w:val="76B31BAC"/>
    <w:rsid w:val="76B649B1"/>
    <w:rsid w:val="76E37D36"/>
    <w:rsid w:val="7730210D"/>
    <w:rsid w:val="7779391D"/>
    <w:rsid w:val="77B013BB"/>
    <w:rsid w:val="77B73FB7"/>
    <w:rsid w:val="77FA7905"/>
    <w:rsid w:val="781B6AEB"/>
    <w:rsid w:val="78673260"/>
    <w:rsid w:val="78A529B2"/>
    <w:rsid w:val="798314D9"/>
    <w:rsid w:val="79B21028"/>
    <w:rsid w:val="79E6333A"/>
    <w:rsid w:val="79F138E6"/>
    <w:rsid w:val="7A0B02C8"/>
    <w:rsid w:val="7A59237A"/>
    <w:rsid w:val="7A7A7FB2"/>
    <w:rsid w:val="7AD32744"/>
    <w:rsid w:val="7ADD36F4"/>
    <w:rsid w:val="7ADF63D6"/>
    <w:rsid w:val="7AEF7779"/>
    <w:rsid w:val="7B4C0B6F"/>
    <w:rsid w:val="7B83202A"/>
    <w:rsid w:val="7BB50E30"/>
    <w:rsid w:val="7CAA3B05"/>
    <w:rsid w:val="7CAD5404"/>
    <w:rsid w:val="7CC065C5"/>
    <w:rsid w:val="7CCC08BC"/>
    <w:rsid w:val="7D08649F"/>
    <w:rsid w:val="7D335858"/>
    <w:rsid w:val="7D7A6B42"/>
    <w:rsid w:val="7D7D3C49"/>
    <w:rsid w:val="7E916FF1"/>
    <w:rsid w:val="7F1E61F3"/>
    <w:rsid w:val="7F801A79"/>
    <w:rsid w:val="7FA8693C"/>
    <w:rsid w:val="7FF960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uiPriority="22"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qFormat/>
    <w:pPr>
      <w:keepNext/>
      <w:keepLines/>
      <w:numPr>
        <w:ilvl w:val="3"/>
        <w:numId w:val="1"/>
      </w:numPr>
      <w:tabs>
        <w:tab w:val="left" w:pos="630"/>
      </w:tabs>
      <w:spacing w:before="120" w:after="120" w:line="400" w:lineRule="exact"/>
      <w:jc w:val="left"/>
      <w:outlineLvl w:val="3"/>
    </w:pPr>
    <w:rPr>
      <w:rFonts w:ascii="Cambria" w:eastAsia="黑体" w:hAnsi="Cambria"/>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uiPriority w:val="99"/>
    <w:qFormat/>
    <w:rPr>
      <w:rFonts w:ascii="宋体" w:hAnsi="Courier New" w:cs="Courier New"/>
      <w:color w:val="000000"/>
      <w:spacing w:val="20"/>
      <w:szCs w:val="21"/>
    </w:rPr>
  </w:style>
  <w:style w:type="paragraph" w:styleId="a4">
    <w:name w:val="Body Text"/>
    <w:basedOn w:val="a"/>
    <w:qFormat/>
    <w:rPr>
      <w:rFonts w:eastAsia="宋体"/>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a7">
    <w:name w:val="常用样式（方正仿宋简）"/>
    <w:basedOn w:val="a"/>
    <w:qFormat/>
    <w:pPr>
      <w:spacing w:line="560" w:lineRule="exact"/>
      <w:ind w:firstLineChars="200" w:firstLine="640"/>
    </w:pPr>
    <w:rPr>
      <w:rFonts w:eastAsia="Times New Roman"/>
      <w:sz w:val="32"/>
      <w:szCs w:val="32"/>
    </w:rPr>
  </w:style>
  <w:style w:type="paragraph" w:customStyle="1" w:styleId="-1">
    <w:name w:val="正文-公1"/>
    <w:next w:val="a"/>
    <w:uiPriority w:val="99"/>
    <w:qFormat/>
    <w:pPr>
      <w:widowControl w:val="0"/>
      <w:ind w:firstLineChars="200" w:firstLine="200"/>
    </w:pPr>
    <w:rPr>
      <w:rFonts w:ascii="Times New Roman" w:hAnsi="Times New Roman"/>
      <w:snapToGrid w:val="0"/>
      <w:sz w:val="21"/>
      <w:szCs w:val="24"/>
    </w:rPr>
  </w:style>
  <w:style w:type="paragraph" w:styleId="a8">
    <w:name w:val="Normal (Web)"/>
    <w:basedOn w:val="a"/>
    <w:uiPriority w:val="99"/>
    <w:unhideWhenUsed/>
    <w:rsid w:val="00721B13"/>
    <w:pPr>
      <w:widowControl/>
      <w:spacing w:before="100" w:beforeAutospacing="1" w:after="100" w:afterAutospacing="1"/>
      <w:jc w:val="left"/>
    </w:pPr>
    <w:rPr>
      <w:rFonts w:ascii="宋体" w:eastAsia="宋体" w:hAnsi="宋体" w:cs="宋体"/>
      <w:kern w:val="0"/>
      <w:sz w:val="24"/>
    </w:rPr>
  </w:style>
  <w:style w:type="character" w:styleId="a9">
    <w:name w:val="Strong"/>
    <w:basedOn w:val="a1"/>
    <w:uiPriority w:val="22"/>
    <w:qFormat/>
    <w:rsid w:val="00721B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uiPriority="22"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qFormat/>
    <w:pPr>
      <w:keepNext/>
      <w:keepLines/>
      <w:numPr>
        <w:ilvl w:val="3"/>
        <w:numId w:val="1"/>
      </w:numPr>
      <w:tabs>
        <w:tab w:val="left" w:pos="630"/>
      </w:tabs>
      <w:spacing w:before="120" w:after="120" w:line="400" w:lineRule="exact"/>
      <w:jc w:val="left"/>
      <w:outlineLvl w:val="3"/>
    </w:pPr>
    <w:rPr>
      <w:rFonts w:ascii="Cambria" w:eastAsia="黑体" w:hAnsi="Cambria"/>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uiPriority w:val="99"/>
    <w:qFormat/>
    <w:rPr>
      <w:rFonts w:ascii="宋体" w:hAnsi="Courier New" w:cs="Courier New"/>
      <w:color w:val="000000"/>
      <w:spacing w:val="20"/>
      <w:szCs w:val="21"/>
    </w:rPr>
  </w:style>
  <w:style w:type="paragraph" w:styleId="a4">
    <w:name w:val="Body Text"/>
    <w:basedOn w:val="a"/>
    <w:qFormat/>
    <w:rPr>
      <w:rFonts w:eastAsia="宋体"/>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a7">
    <w:name w:val="常用样式（方正仿宋简）"/>
    <w:basedOn w:val="a"/>
    <w:qFormat/>
    <w:pPr>
      <w:spacing w:line="560" w:lineRule="exact"/>
      <w:ind w:firstLineChars="200" w:firstLine="640"/>
    </w:pPr>
    <w:rPr>
      <w:rFonts w:eastAsia="Times New Roman"/>
      <w:sz w:val="32"/>
      <w:szCs w:val="32"/>
    </w:rPr>
  </w:style>
  <w:style w:type="paragraph" w:customStyle="1" w:styleId="-1">
    <w:name w:val="正文-公1"/>
    <w:next w:val="a"/>
    <w:uiPriority w:val="99"/>
    <w:qFormat/>
    <w:pPr>
      <w:widowControl w:val="0"/>
      <w:ind w:firstLineChars="200" w:firstLine="200"/>
    </w:pPr>
    <w:rPr>
      <w:rFonts w:ascii="Times New Roman" w:hAnsi="Times New Roman"/>
      <w:snapToGrid w:val="0"/>
      <w:sz w:val="21"/>
      <w:szCs w:val="24"/>
    </w:rPr>
  </w:style>
  <w:style w:type="paragraph" w:styleId="a8">
    <w:name w:val="Normal (Web)"/>
    <w:basedOn w:val="a"/>
    <w:uiPriority w:val="99"/>
    <w:unhideWhenUsed/>
    <w:rsid w:val="00721B13"/>
    <w:pPr>
      <w:widowControl/>
      <w:spacing w:before="100" w:beforeAutospacing="1" w:after="100" w:afterAutospacing="1"/>
      <w:jc w:val="left"/>
    </w:pPr>
    <w:rPr>
      <w:rFonts w:ascii="宋体" w:eastAsia="宋体" w:hAnsi="宋体" w:cs="宋体"/>
      <w:kern w:val="0"/>
      <w:sz w:val="24"/>
    </w:rPr>
  </w:style>
  <w:style w:type="character" w:styleId="a9">
    <w:name w:val="Strong"/>
    <w:basedOn w:val="a1"/>
    <w:uiPriority w:val="22"/>
    <w:qFormat/>
    <w:rsid w:val="00721B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353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Pages>
  <Words>582</Words>
  <Characters>3323</Characters>
  <Application>Microsoft Office Word</Application>
  <DocSecurity>0</DocSecurity>
  <Lines>27</Lines>
  <Paragraphs>7</Paragraphs>
  <ScaleCrop>false</ScaleCrop>
  <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彭飞龙</cp:lastModifiedBy>
  <cp:revision>4</cp:revision>
  <dcterms:created xsi:type="dcterms:W3CDTF">2022-12-26T00:54:00Z</dcterms:created>
  <dcterms:modified xsi:type="dcterms:W3CDTF">2023-03-07T01:33:00Z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