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8333"/>
      <w:bookmarkStart w:id="2" w:name="_Toc15377193"/>
      <w:bookmarkStart w:id="3" w:name="_Toc15396597"/>
      <w:bookmarkStart w:id="4" w:name="_Toc15396475"/>
      <w:bookmarkStart w:id="5" w:name="_Toc15377425"/>
      <w:bookmarkStart w:id="6"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21516"/>
      <w:bookmarkStart w:id="8" w:name="_Toc15396476"/>
      <w:bookmarkStart w:id="9" w:name="_Toc15378442"/>
      <w:bookmarkStart w:id="10" w:name="_Toc15377194"/>
      <w:bookmarkStart w:id="11" w:name="_Toc15377426"/>
      <w:bookmarkStart w:id="12" w:name="_Toc15396598"/>
      <w:r>
        <w:rPr>
          <w:rFonts w:hint="eastAsia" w:ascii="方正小标宋简体" w:hAnsi="方正小标宋简体" w:eastAsia="方正小标宋简体" w:cs="方正小标宋简体"/>
          <w:sz w:val="72"/>
          <w:szCs w:val="72"/>
        </w:rPr>
        <w:t>盐边县</w:t>
      </w:r>
      <w:bookmarkEnd w:id="0"/>
      <w:bookmarkEnd w:id="7"/>
      <w:bookmarkStart w:id="13" w:name="_Toc15306268"/>
      <w:bookmarkStart w:id="14" w:name="_Toc30794"/>
      <w:r>
        <w:rPr>
          <w:rFonts w:hint="eastAsia" w:ascii="方正小标宋简体" w:hAnsi="方正小标宋简体" w:eastAsia="方正小标宋简体" w:cs="方正小标宋简体"/>
          <w:sz w:val="72"/>
          <w:szCs w:val="72"/>
          <w:lang w:val="en-US" w:eastAsia="zh-CN"/>
        </w:rPr>
        <w:t>社区卫生服务中心</w:t>
      </w:r>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r>
        <w:rPr>
          <w:rFonts w:hint="eastAsia" w:ascii="方正小标宋简体" w:hAnsi="方正小标宋简体" w:eastAsia="方正小标宋简体" w:cs="方正小标宋简体"/>
          <w:sz w:val="72"/>
          <w:szCs w:val="72"/>
          <w:lang w:eastAsia="zh-CN"/>
        </w:rPr>
        <w:t>公开编制说明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黑体"/>
          <w:sz w:val="28"/>
          <w:szCs w:val="28"/>
        </w:rPr>
      </w:pPr>
    </w:p>
    <w:p>
      <w:pPr>
        <w:pStyle w:val="10"/>
      </w:pPr>
      <w:r>
        <w:rPr>
          <w:rFonts w:hint="eastAsia"/>
        </w:rPr>
        <w:t>公开时间：2022年1</w:t>
      </w:r>
      <w:r>
        <w:rPr>
          <w:rFonts w:hint="eastAsia"/>
          <w:lang w:val="en-US" w:eastAsia="zh-CN"/>
        </w:rPr>
        <w:t>1</w:t>
      </w:r>
      <w:r>
        <w:rPr>
          <w:rFonts w:hint="eastAsia"/>
        </w:rPr>
        <w:t>月</w:t>
      </w:r>
      <w:r>
        <w:rPr>
          <w:rFonts w:hint="eastAsia"/>
          <w:lang w:val="en-US" w:eastAsia="zh-CN"/>
        </w:rPr>
        <w:t>1</w:t>
      </w:r>
      <w:r>
        <w:rPr>
          <w:rFonts w:hint="eastAsia"/>
        </w:rPr>
        <w:t>日</w:t>
      </w:r>
    </w:p>
    <w:p/>
    <w:p>
      <w:pPr>
        <w:spacing w:before="0" w:beforeLines="0" w:after="0" w:afterLines="0" w:line="240" w:lineRule="auto"/>
        <w:ind w:left="0" w:leftChars="0" w:right="0" w:firstLine="0" w:firstLineChars="0"/>
        <w:jc w:val="center"/>
      </w:pPr>
    </w:p>
    <w:p>
      <w:pPr>
        <w:pStyle w:val="20"/>
        <w:tabs>
          <w:tab w:val="right" w:leader="dot" w:pos="8306"/>
        </w:tabs>
        <w:rPr>
          <w:rFonts w:hint="eastAsia" w:ascii="仿宋_GB2312" w:hAnsi="仿宋_GB2312" w:eastAsia="仿宋_GB2312" w:cs="仿宋_GB2312"/>
          <w:b/>
          <w:sz w:val="28"/>
          <w:szCs w:val="28"/>
        </w:rPr>
      </w:pPr>
      <w:r>
        <w:fldChar w:fldCharType="begin"/>
      </w:r>
      <w:r>
        <w:instrText xml:space="preserve">TOC \o "1-2" \h \u </w:instrText>
      </w:r>
      <w:r>
        <w:fldChar w:fldCharType="separate"/>
      </w:r>
    </w:p>
    <w:p>
      <w:pPr>
        <w:pStyle w:val="20"/>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_Toc220 </w:instrText>
      </w:r>
      <w:r>
        <w:rPr>
          <w:rFonts w:hint="eastAsia" w:ascii="黑体" w:hAnsi="黑体" w:eastAsia="黑体" w:cs="黑体"/>
          <w:b/>
          <w:sz w:val="28"/>
          <w:szCs w:val="28"/>
        </w:rPr>
        <w:fldChar w:fldCharType="separate"/>
      </w:r>
      <w:r>
        <w:rPr>
          <w:rFonts w:hint="eastAsia" w:ascii="黑体" w:hAnsi="黑体" w:eastAsia="黑体" w:cs="黑体"/>
          <w:b/>
          <w:sz w:val="28"/>
          <w:szCs w:val="28"/>
        </w:rPr>
        <w:t>第一部分 单位</w:t>
      </w:r>
      <w:r>
        <w:rPr>
          <w:rFonts w:hint="eastAsia" w:ascii="黑体" w:hAnsi="黑体" w:eastAsia="黑体" w:cs="黑体"/>
          <w:b/>
          <w:bCs w:val="0"/>
          <w:sz w:val="28"/>
          <w:szCs w:val="28"/>
        </w:rPr>
        <w:t>概况</w:t>
      </w:r>
      <w:r>
        <w:rPr>
          <w:rFonts w:hint="eastAsia" w:ascii="黑体" w:hAnsi="黑体" w:eastAsia="黑体" w:cs="黑体"/>
          <w:b/>
          <w:sz w:val="28"/>
          <w:szCs w:val="28"/>
        </w:rPr>
        <w:tab/>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PAGEREF _Toc220 \h </w:instrText>
      </w:r>
      <w:r>
        <w:rPr>
          <w:rFonts w:hint="eastAsia" w:ascii="黑体" w:hAnsi="黑体" w:eastAsia="黑体" w:cs="黑体"/>
          <w:b/>
          <w:sz w:val="28"/>
          <w:szCs w:val="28"/>
        </w:rPr>
        <w:fldChar w:fldCharType="separate"/>
      </w:r>
      <w:r>
        <w:rPr>
          <w:rFonts w:hint="eastAsia" w:ascii="黑体" w:hAnsi="黑体" w:eastAsia="黑体" w:cs="黑体"/>
          <w:b/>
          <w:sz w:val="28"/>
          <w:szCs w:val="28"/>
        </w:rPr>
        <w:t>1</w: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_Toc20849 </w:instrText>
      </w:r>
      <w:r>
        <w:rPr>
          <w:rFonts w:hint="eastAsia" w:ascii="黑体" w:hAnsi="黑体" w:eastAsia="黑体" w:cs="黑体"/>
          <w:sz w:val="28"/>
          <w:szCs w:val="28"/>
        </w:rPr>
        <w:fldChar w:fldCharType="separate"/>
      </w:r>
      <w:r>
        <w:rPr>
          <w:rFonts w:hint="eastAsia" w:ascii="黑体" w:hAnsi="黑体" w:eastAsia="黑体" w:cs="黑体"/>
          <w:bCs w:val="0"/>
          <w:sz w:val="28"/>
          <w:szCs w:val="28"/>
        </w:rPr>
        <w:t>一、职能简介</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_Toc20849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_Toc580 </w:instrText>
      </w:r>
      <w:r>
        <w:rPr>
          <w:rFonts w:hint="eastAsia" w:ascii="黑体" w:hAnsi="黑体" w:eastAsia="黑体" w:cs="黑体"/>
          <w:sz w:val="28"/>
          <w:szCs w:val="28"/>
        </w:rPr>
        <w:fldChar w:fldCharType="separate"/>
      </w:r>
      <w:r>
        <w:rPr>
          <w:rFonts w:hint="eastAsia" w:ascii="黑体" w:hAnsi="黑体" w:eastAsia="黑体" w:cs="黑体"/>
          <w:sz w:val="28"/>
          <w:szCs w:val="28"/>
        </w:rPr>
        <w:t>二、2021年重点工作完成情况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_Toc580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0"/>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_Toc9153 </w:instrText>
      </w:r>
      <w:r>
        <w:rPr>
          <w:rFonts w:hint="eastAsia" w:ascii="黑体" w:hAnsi="黑体" w:eastAsia="黑体" w:cs="黑体"/>
          <w:b/>
          <w:sz w:val="28"/>
          <w:szCs w:val="28"/>
        </w:rPr>
        <w:fldChar w:fldCharType="separate"/>
      </w:r>
      <w:r>
        <w:rPr>
          <w:rFonts w:hint="eastAsia" w:ascii="黑体" w:hAnsi="黑体" w:eastAsia="黑体" w:cs="黑体"/>
          <w:b/>
          <w:sz w:val="28"/>
          <w:szCs w:val="28"/>
        </w:rPr>
        <w:t>第二部分 2021年度</w:t>
      </w:r>
      <w:r>
        <w:rPr>
          <w:rFonts w:hint="eastAsia" w:ascii="黑体" w:hAnsi="黑体" w:eastAsia="黑体" w:cs="黑体"/>
          <w:b/>
          <w:bCs/>
          <w:sz w:val="28"/>
          <w:szCs w:val="28"/>
        </w:rPr>
        <w:t>单位决算情况说明</w:t>
      </w:r>
      <w:r>
        <w:rPr>
          <w:rFonts w:hint="eastAsia" w:ascii="黑体" w:hAnsi="黑体" w:eastAsia="黑体" w:cs="黑体"/>
          <w:b/>
          <w:sz w:val="28"/>
          <w:szCs w:val="28"/>
        </w:rPr>
        <w:tab/>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PAGEREF _Toc9153 \h </w:instrText>
      </w:r>
      <w:r>
        <w:rPr>
          <w:rFonts w:hint="eastAsia" w:ascii="黑体" w:hAnsi="黑体" w:eastAsia="黑体" w:cs="黑体"/>
          <w:b/>
          <w:sz w:val="28"/>
          <w:szCs w:val="28"/>
        </w:rPr>
        <w:fldChar w:fldCharType="separate"/>
      </w:r>
      <w:r>
        <w:rPr>
          <w:rFonts w:hint="eastAsia" w:ascii="黑体" w:hAnsi="黑体" w:eastAsia="黑体" w:cs="黑体"/>
          <w:b/>
          <w:sz w:val="28"/>
          <w:szCs w:val="28"/>
        </w:rPr>
        <w:t>4</w: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_Toc4183 </w:instrText>
      </w:r>
      <w:r>
        <w:rPr>
          <w:rFonts w:hint="eastAsia" w:ascii="黑体" w:hAnsi="黑体" w:eastAsia="黑体" w:cs="黑体"/>
          <w:sz w:val="28"/>
          <w:szCs w:val="28"/>
        </w:rPr>
        <w:fldChar w:fldCharType="separate"/>
      </w:r>
      <w:r>
        <w:rPr>
          <w:rFonts w:hint="eastAsia" w:ascii="黑体" w:hAnsi="黑体" w:eastAsia="黑体" w:cs="黑体"/>
          <w:sz w:val="28"/>
          <w:szCs w:val="28"/>
        </w:rPr>
        <w:t>一、 收入支出决算总体情况说明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_Toc4183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_Toc20640 </w:instrText>
      </w:r>
      <w:r>
        <w:rPr>
          <w:rFonts w:hint="eastAsia" w:ascii="黑体" w:hAnsi="黑体" w:eastAsia="黑体" w:cs="黑体"/>
          <w:sz w:val="28"/>
          <w:szCs w:val="28"/>
        </w:rPr>
        <w:fldChar w:fldCharType="separate"/>
      </w:r>
      <w:r>
        <w:rPr>
          <w:rFonts w:hint="eastAsia" w:ascii="黑体" w:hAnsi="黑体" w:eastAsia="黑体" w:cs="黑体"/>
          <w:sz w:val="28"/>
          <w:szCs w:val="28"/>
        </w:rPr>
        <w:t>二、 收入决算情况说明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_Toc20640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_Toc26654 </w:instrText>
      </w:r>
      <w:r>
        <w:rPr>
          <w:rFonts w:hint="eastAsia" w:ascii="黑体" w:hAnsi="黑体" w:eastAsia="黑体" w:cs="黑体"/>
          <w:sz w:val="28"/>
          <w:szCs w:val="28"/>
        </w:rPr>
        <w:fldChar w:fldCharType="separate"/>
      </w:r>
      <w:r>
        <w:rPr>
          <w:rFonts w:hint="eastAsia" w:ascii="黑体" w:hAnsi="黑体" w:eastAsia="黑体" w:cs="黑体"/>
          <w:sz w:val="28"/>
          <w:szCs w:val="28"/>
        </w:rPr>
        <w:t>三、 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_Toc26654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_Toc17627 </w:instrText>
      </w:r>
      <w:r>
        <w:rPr>
          <w:rFonts w:hint="eastAsia" w:ascii="黑体" w:hAnsi="黑体" w:eastAsia="黑体" w:cs="黑体"/>
          <w:sz w:val="28"/>
          <w:szCs w:val="28"/>
        </w:rPr>
        <w:fldChar w:fldCharType="separate"/>
      </w:r>
      <w:r>
        <w:rPr>
          <w:rFonts w:hint="eastAsia" w:ascii="黑体" w:hAnsi="黑体" w:eastAsia="黑体" w:cs="黑体"/>
          <w:sz w:val="28"/>
          <w:szCs w:val="28"/>
        </w:rPr>
        <w:t>四、财政拨款收入支出决算总体情况说明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_Toc17627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_Toc28910 </w:instrText>
      </w:r>
      <w:r>
        <w:rPr>
          <w:rFonts w:hint="eastAsia" w:ascii="黑体" w:hAnsi="黑体" w:eastAsia="黑体" w:cs="黑体"/>
          <w:sz w:val="28"/>
          <w:szCs w:val="28"/>
        </w:rPr>
        <w:fldChar w:fldCharType="separate"/>
      </w:r>
      <w:r>
        <w:rPr>
          <w:rFonts w:hint="eastAsia" w:ascii="黑体" w:hAnsi="黑体" w:eastAsia="黑体" w:cs="黑体"/>
          <w:sz w:val="28"/>
          <w:szCs w:val="28"/>
        </w:rPr>
        <w:t>五、一般公共预算财政拨款支出决算情况说明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_Toc28910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_Toc30132 </w:instrText>
      </w:r>
      <w:r>
        <w:rPr>
          <w:rFonts w:hint="eastAsia" w:ascii="黑体" w:hAnsi="黑体" w:eastAsia="黑体" w:cs="黑体"/>
          <w:sz w:val="28"/>
          <w:szCs w:val="28"/>
        </w:rPr>
        <w:fldChar w:fldCharType="separate"/>
      </w:r>
      <w:r>
        <w:rPr>
          <w:rFonts w:hint="eastAsia" w:ascii="黑体" w:hAnsi="黑体" w:eastAsia="黑体" w:cs="黑体"/>
          <w:sz w:val="28"/>
          <w:szCs w:val="28"/>
        </w:rPr>
        <w:t>六、一般公共预算财政拨款基本支出决算情况说明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_Toc30132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_Toc22225 </w:instrText>
      </w:r>
      <w:r>
        <w:rPr>
          <w:rFonts w:hint="eastAsia" w:ascii="黑体" w:hAnsi="黑体" w:eastAsia="黑体" w:cs="黑体"/>
          <w:sz w:val="28"/>
          <w:szCs w:val="28"/>
        </w:rPr>
        <w:fldChar w:fldCharType="separate"/>
      </w:r>
      <w:r>
        <w:rPr>
          <w:rFonts w:hint="eastAsia" w:ascii="黑体" w:hAnsi="黑体" w:eastAsia="黑体" w:cs="黑体"/>
          <w:sz w:val="28"/>
          <w:szCs w:val="28"/>
        </w:rPr>
        <w:t>七、“三公”经费财政拨款支出决算情况说明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_Toc22225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_Toc1497 </w:instrText>
      </w:r>
      <w:r>
        <w:rPr>
          <w:rFonts w:hint="eastAsia" w:ascii="黑体" w:hAnsi="黑体" w:eastAsia="黑体" w:cs="黑体"/>
          <w:sz w:val="28"/>
          <w:szCs w:val="28"/>
        </w:rPr>
        <w:fldChar w:fldCharType="separate"/>
      </w:r>
      <w:r>
        <w:rPr>
          <w:rFonts w:hint="eastAsia" w:ascii="黑体" w:hAnsi="黑体" w:eastAsia="黑体" w:cs="黑体"/>
          <w:sz w:val="28"/>
          <w:szCs w:val="28"/>
        </w:rPr>
        <w:t>八、政府性基金预算支出决算情况说明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_Toc1497 \h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_Toc24471 </w:instrText>
      </w:r>
      <w:r>
        <w:rPr>
          <w:rFonts w:hint="eastAsia" w:ascii="黑体" w:hAnsi="黑体" w:eastAsia="黑体" w:cs="黑体"/>
          <w:sz w:val="28"/>
          <w:szCs w:val="28"/>
        </w:rPr>
        <w:fldChar w:fldCharType="separate"/>
      </w:r>
      <w:r>
        <w:rPr>
          <w:rFonts w:hint="eastAsia" w:ascii="黑体" w:hAnsi="黑体" w:eastAsia="黑体" w:cs="黑体"/>
          <w:sz w:val="28"/>
          <w:szCs w:val="28"/>
        </w:rPr>
        <w:t>九、 国有资本经营预算支出决算情况说明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_Toc24471 \h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1"/>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_Toc17425 </w:instrText>
      </w:r>
      <w:r>
        <w:rPr>
          <w:rFonts w:hint="eastAsia" w:ascii="黑体" w:hAnsi="黑体" w:eastAsia="黑体" w:cs="黑体"/>
          <w:sz w:val="28"/>
          <w:szCs w:val="28"/>
        </w:rPr>
        <w:fldChar w:fldCharType="separate"/>
      </w:r>
      <w:r>
        <w:rPr>
          <w:rFonts w:hint="eastAsia" w:ascii="黑体" w:hAnsi="黑体" w:eastAsia="黑体" w:cs="黑体"/>
          <w:sz w:val="28"/>
          <w:szCs w:val="28"/>
        </w:rPr>
        <w:t>十、 其他重要事项的情况说明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_Toc17425 \h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20"/>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_Toc3830 </w:instrText>
      </w:r>
      <w:r>
        <w:rPr>
          <w:rFonts w:hint="eastAsia" w:ascii="黑体" w:hAnsi="黑体" w:eastAsia="黑体" w:cs="黑体"/>
          <w:b/>
          <w:sz w:val="28"/>
          <w:szCs w:val="28"/>
        </w:rPr>
        <w:fldChar w:fldCharType="separate"/>
      </w:r>
      <w:r>
        <w:rPr>
          <w:rFonts w:hint="eastAsia" w:ascii="黑体" w:hAnsi="黑体" w:eastAsia="黑体" w:cs="黑体"/>
          <w:b/>
          <w:sz w:val="28"/>
          <w:szCs w:val="28"/>
        </w:rPr>
        <w:t>第三部分 名词解释</w:t>
      </w:r>
      <w:r>
        <w:rPr>
          <w:rFonts w:hint="eastAsia" w:ascii="黑体" w:hAnsi="黑体" w:eastAsia="黑体" w:cs="黑体"/>
          <w:b/>
          <w:sz w:val="28"/>
          <w:szCs w:val="28"/>
        </w:rPr>
        <w:tab/>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PAGEREF _Toc3830 \h </w:instrText>
      </w:r>
      <w:r>
        <w:rPr>
          <w:rFonts w:hint="eastAsia" w:ascii="黑体" w:hAnsi="黑体" w:eastAsia="黑体" w:cs="黑体"/>
          <w:b/>
          <w:sz w:val="28"/>
          <w:szCs w:val="28"/>
        </w:rPr>
        <w:fldChar w:fldCharType="separate"/>
      </w:r>
      <w:r>
        <w:rPr>
          <w:rFonts w:hint="eastAsia" w:ascii="黑体" w:hAnsi="黑体" w:eastAsia="黑体" w:cs="黑体"/>
          <w:b/>
          <w:sz w:val="28"/>
          <w:szCs w:val="28"/>
        </w:rPr>
        <w:t>14</w: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end"/>
      </w:r>
    </w:p>
    <w:p>
      <w:pPr>
        <w:pStyle w:val="20"/>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_Toc7424 </w:instrText>
      </w:r>
      <w:r>
        <w:rPr>
          <w:rFonts w:hint="eastAsia" w:ascii="黑体" w:hAnsi="黑体" w:eastAsia="黑体" w:cs="黑体"/>
          <w:b/>
          <w:sz w:val="28"/>
          <w:szCs w:val="28"/>
        </w:rPr>
        <w:fldChar w:fldCharType="separate"/>
      </w:r>
      <w:r>
        <w:rPr>
          <w:rFonts w:hint="eastAsia" w:ascii="黑体" w:hAnsi="黑体" w:eastAsia="黑体" w:cs="黑体"/>
          <w:b/>
          <w:sz w:val="28"/>
          <w:szCs w:val="28"/>
        </w:rPr>
        <w:t>第四部分 附件</w:t>
      </w:r>
      <w:r>
        <w:rPr>
          <w:rFonts w:hint="eastAsia" w:ascii="黑体" w:hAnsi="黑体" w:eastAsia="黑体" w:cs="黑体"/>
          <w:b/>
          <w:sz w:val="28"/>
          <w:szCs w:val="28"/>
        </w:rPr>
        <w:tab/>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PAGEREF _Toc7424 \h </w:instrText>
      </w:r>
      <w:r>
        <w:rPr>
          <w:rFonts w:hint="eastAsia" w:ascii="黑体" w:hAnsi="黑体" w:eastAsia="黑体" w:cs="黑体"/>
          <w:b/>
          <w:sz w:val="28"/>
          <w:szCs w:val="28"/>
        </w:rPr>
        <w:fldChar w:fldCharType="separate"/>
      </w:r>
      <w:r>
        <w:rPr>
          <w:rFonts w:hint="eastAsia" w:ascii="黑体" w:hAnsi="黑体" w:eastAsia="黑体" w:cs="黑体"/>
          <w:b/>
          <w:sz w:val="28"/>
          <w:szCs w:val="28"/>
        </w:rPr>
        <w:t>17</w: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end"/>
      </w:r>
    </w:p>
    <w:p>
      <w:pPr>
        <w:pStyle w:val="20"/>
        <w:tabs>
          <w:tab w:val="right" w:leader="dot" w:pos="8306"/>
        </w:tabs>
        <w:rPr>
          <w:rFonts w:hint="eastAsia" w:ascii="黑体" w:hAnsi="黑体" w:eastAsia="黑体" w:cs="黑体"/>
          <w:sz w:val="28"/>
          <w:szCs w:val="28"/>
          <w:lang w:val="en-US" w:eastAsia="zh-CN"/>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_Toc26269 </w:instrText>
      </w:r>
      <w:r>
        <w:rPr>
          <w:rFonts w:hint="eastAsia" w:ascii="黑体" w:hAnsi="黑体" w:eastAsia="黑体" w:cs="黑体"/>
          <w:b/>
          <w:sz w:val="28"/>
          <w:szCs w:val="28"/>
        </w:rPr>
        <w:fldChar w:fldCharType="separate"/>
      </w:r>
      <w:r>
        <w:rPr>
          <w:rFonts w:hint="eastAsia" w:ascii="黑体" w:hAnsi="黑体" w:eastAsia="黑体" w:cs="黑体"/>
          <w:b/>
          <w:sz w:val="28"/>
          <w:szCs w:val="28"/>
        </w:rPr>
        <w:t>第五部分 附表</w:t>
      </w:r>
      <w:r>
        <w:rPr>
          <w:rFonts w:hint="eastAsia" w:ascii="黑体" w:hAnsi="黑体" w:eastAsia="黑体" w:cs="黑体"/>
          <w:b/>
          <w:sz w:val="28"/>
          <w:szCs w:val="28"/>
        </w:rPr>
        <w:tab/>
      </w:r>
      <w:r>
        <w:rPr>
          <w:rFonts w:hint="eastAsia" w:ascii="黑体" w:hAnsi="黑体" w:eastAsia="黑体" w:cs="黑体"/>
          <w:b/>
          <w:sz w:val="28"/>
          <w:szCs w:val="28"/>
          <w:lang w:val="en-US" w:eastAsia="zh-CN"/>
        </w:rPr>
        <w:t>2</w:t>
      </w:r>
      <w:r>
        <w:rPr>
          <w:rFonts w:hint="eastAsia" w:ascii="黑体" w:hAnsi="黑体" w:eastAsia="黑体" w:cs="黑体"/>
          <w:b/>
          <w:sz w:val="28"/>
          <w:szCs w:val="28"/>
        </w:rPr>
        <w:fldChar w:fldCharType="end"/>
      </w:r>
      <w:r>
        <w:rPr>
          <w:rFonts w:hint="eastAsia" w:ascii="黑体" w:hAnsi="黑体" w:eastAsia="黑体" w:cs="黑体"/>
          <w:b/>
          <w:sz w:val="28"/>
          <w:szCs w:val="28"/>
          <w:lang w:val="en-US" w:eastAsia="zh-CN"/>
        </w:rPr>
        <w:t>5</w:t>
      </w:r>
    </w:p>
    <w:p>
      <w:pPr>
        <w:widowControl/>
        <w:adjustRightInd w:val="0"/>
        <w:snapToGrid w:val="0"/>
        <w:spacing w:line="440" w:lineRule="exact"/>
        <w:jc w:val="left"/>
        <w:rPr>
          <w:b/>
        </w:rPr>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p>
    <w:p>
      <w:pPr>
        <w:widowControl/>
        <w:adjustRightInd w:val="0"/>
        <w:snapToGrid w:val="0"/>
        <w:spacing w:line="440" w:lineRule="exact"/>
        <w:jc w:val="left"/>
        <w:rPr>
          <w:rFonts w:ascii="仿宋" w:hAnsi="仿宋" w:eastAsia="仿宋"/>
          <w:bCs/>
          <w:kern w:val="44"/>
          <w:sz w:val="24"/>
        </w:rPr>
      </w:pPr>
      <w:r>
        <w:rPr>
          <w:b/>
        </w:rPr>
        <w:fldChar w:fldCharType="end"/>
      </w:r>
      <w:bookmarkStart w:id="15" w:name="_Toc15396599"/>
      <w:bookmarkStart w:id="16" w:name="_Toc15377196"/>
    </w:p>
    <w:p>
      <w:pPr>
        <w:pStyle w:val="3"/>
        <w:jc w:val="center"/>
        <w:rPr>
          <w:rStyle w:val="28"/>
          <w:rFonts w:ascii="黑体" w:hAnsi="黑体" w:eastAsia="黑体"/>
          <w:b/>
          <w:bCs w:val="0"/>
        </w:rPr>
      </w:pPr>
      <w:bookmarkStart w:id="17" w:name="_Toc220"/>
      <w:r>
        <w:rPr>
          <w:rFonts w:hint="eastAsia" w:ascii="黑体" w:hAnsi="黑体" w:eastAsia="黑体"/>
          <w:b w:val="0"/>
        </w:rPr>
        <w:t>第一部分 单位</w:t>
      </w:r>
      <w:r>
        <w:rPr>
          <w:rStyle w:val="28"/>
          <w:rFonts w:hint="eastAsia" w:ascii="黑体" w:hAnsi="黑体" w:eastAsia="黑体"/>
          <w:b w:val="0"/>
          <w:bCs w:val="0"/>
        </w:rPr>
        <w:t>概况</w:t>
      </w:r>
      <w:bookmarkEnd w:id="15"/>
      <w:bookmarkEnd w:id="16"/>
      <w:bookmarkEnd w:id="17"/>
    </w:p>
    <w:p>
      <w:pPr>
        <w:widowControl/>
        <w:jc w:val="left"/>
        <w:rPr>
          <w:rFonts w:ascii="黑体" w:eastAsia="黑体"/>
          <w:sz w:val="32"/>
          <w:szCs w:val="32"/>
        </w:rPr>
      </w:pPr>
    </w:p>
    <w:p>
      <w:pPr>
        <w:pStyle w:val="4"/>
        <w:numPr>
          <w:ilvl w:val="0"/>
          <w:numId w:val="1"/>
        </w:numPr>
      </w:pPr>
      <w:bookmarkStart w:id="18" w:name="_Toc20849"/>
      <w:bookmarkStart w:id="19" w:name="_Toc15396600"/>
      <w:bookmarkStart w:id="20" w:name="_Toc15377197"/>
      <w:r>
        <w:rPr>
          <w:rStyle w:val="29"/>
          <w:rFonts w:hint="eastAsia" w:ascii="黑体" w:hAnsi="黑体" w:eastAsia="黑体"/>
          <w:b w:val="0"/>
          <w:bCs w:val="0"/>
        </w:rPr>
        <w:t>职能简介</w:t>
      </w:r>
      <w:bookmarkEnd w:id="18"/>
    </w:p>
    <w:p>
      <w:pPr>
        <w:spacing w:line="560" w:lineRule="exact"/>
        <w:ind w:firstLine="640" w:firstLineChars="200"/>
        <w:rPr>
          <w:rFonts w:hint="default" w:eastAsia="黑体"/>
          <w:lang w:val="en-US" w:eastAsia="zh-CN"/>
        </w:rPr>
      </w:pPr>
      <w:r>
        <w:rPr>
          <w:rFonts w:hint="eastAsia" w:ascii="仿宋_GB2312" w:hAnsi="仿宋" w:eastAsia="仿宋_GB2312"/>
          <w:sz w:val="32"/>
          <w:szCs w:val="32"/>
        </w:rPr>
        <w:t>我中心是以社区医院为主体，全科医师为骨干，合理使用社区资源和适宜技术，开展以社区为范围，家庭为单位，健康为中心，需求为导向的，以老年、妇女、儿童和慢性病人为重点的集预防保健、基本公共卫生服务、基本医疗服务、健康教育为一体的，有效、经济、方便、综合、连续的基层卫生服务中心。</w:t>
      </w:r>
      <w:r>
        <w:rPr>
          <w:rFonts w:hint="eastAsia" w:ascii="仿宋_GB2312" w:hAnsi="宋体" w:eastAsia="仿宋_GB2312"/>
          <w:sz w:val="32"/>
          <w:szCs w:val="32"/>
        </w:rPr>
        <w:t>是一所集医疗、预防保健、基本公共卫生服务为一体的二级预算单位。单位内设基本公共卫生科、门诊部、中西医药房、针灸康复科、脑瘫儿童康复科、检验科、彩超、心电等8个业务科室。现有救护车1辆，主要用用于基本公共卫生服务和医疗急救工作。</w:t>
      </w:r>
    </w:p>
    <w:p>
      <w:pPr>
        <w:pStyle w:val="4"/>
        <w:rPr>
          <w:rFonts w:hint="eastAsia" w:ascii="黑体" w:hAnsi="黑体" w:eastAsia="黑体"/>
          <w:b w:val="0"/>
        </w:rPr>
      </w:pPr>
      <w:bookmarkStart w:id="21" w:name="_Toc580"/>
      <w:r>
        <w:rPr>
          <w:rFonts w:hint="eastAsia" w:ascii="黑体" w:hAnsi="黑体" w:eastAsia="黑体"/>
          <w:b w:val="0"/>
        </w:rPr>
        <w:t>二、2021年重点工作</w:t>
      </w:r>
      <w:bookmarkEnd w:id="19"/>
      <w:bookmarkEnd w:id="20"/>
      <w:r>
        <w:rPr>
          <w:rFonts w:hint="eastAsia" w:ascii="黑体" w:hAnsi="黑体" w:eastAsia="黑体"/>
          <w:b w:val="0"/>
        </w:rPr>
        <w:t>完成情况</w:t>
      </w:r>
      <w:bookmarkEnd w:id="21"/>
    </w:p>
    <w:p>
      <w:pPr>
        <w:snapToGrid w:val="0"/>
        <w:spacing w:line="520" w:lineRule="exact"/>
        <w:ind w:firstLine="420" w:firstLineChars="200"/>
        <w:rPr>
          <w:rFonts w:hint="eastAsia" w:ascii="仿宋" w:hAnsi="仿宋" w:eastAsia="仿宋" w:cs="Times New Roman"/>
          <w:sz w:val="32"/>
          <w:szCs w:val="32"/>
          <w:lang w:eastAsia="zh-CN"/>
        </w:rPr>
      </w:pPr>
      <w:r>
        <w:rPr>
          <w:rFonts w:hint="eastAsia" w:ascii="黑体" w:hAnsi="黑体" w:eastAsia="黑体"/>
          <w:b w:val="0"/>
          <w:lang w:val="en-US" w:eastAsia="zh-CN"/>
        </w:rPr>
        <w:t xml:space="preserve">   </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根据国家确定的基本公共卫生服务项目，通过基层医疗卫生机构，免费向辖区内居民提供1</w:t>
      </w:r>
      <w:r>
        <w:rPr>
          <w:rFonts w:hint="eastAsia" w:ascii="仿宋" w:hAnsi="仿宋" w:eastAsia="仿宋" w:cs="Times New Roman"/>
          <w:sz w:val="32"/>
          <w:szCs w:val="32"/>
          <w:lang w:val="en-US" w:eastAsia="zh-CN"/>
        </w:rPr>
        <w:t>4大</w:t>
      </w:r>
      <w:r>
        <w:rPr>
          <w:rFonts w:hint="eastAsia" w:ascii="仿宋" w:hAnsi="仿宋" w:eastAsia="仿宋" w:cs="Times New Roman"/>
          <w:sz w:val="32"/>
          <w:szCs w:val="32"/>
          <w:lang w:eastAsia="zh-CN"/>
        </w:rPr>
        <w:t>类</w:t>
      </w:r>
      <w:r>
        <w:rPr>
          <w:rFonts w:hint="eastAsia" w:ascii="仿宋" w:hAnsi="仿宋" w:eastAsia="仿宋" w:cs="Times New Roman"/>
          <w:sz w:val="32"/>
          <w:szCs w:val="32"/>
          <w:lang w:val="en-US" w:eastAsia="zh-CN"/>
        </w:rPr>
        <w:t>48小项</w:t>
      </w:r>
      <w:r>
        <w:rPr>
          <w:rFonts w:hint="eastAsia" w:ascii="仿宋" w:hAnsi="仿宋" w:eastAsia="仿宋" w:cs="Times New Roman"/>
          <w:sz w:val="32"/>
          <w:szCs w:val="32"/>
          <w:lang w:eastAsia="zh-CN"/>
        </w:rPr>
        <w:t>基本公共卫生服务。</w:t>
      </w:r>
      <w:r>
        <w:rPr>
          <w:rFonts w:hint="eastAsia" w:ascii="仿宋_GB2312" w:hAnsi="仿宋" w:eastAsia="仿宋_GB2312"/>
          <w:sz w:val="32"/>
          <w:szCs w:val="32"/>
        </w:rPr>
        <w:t>本年总诊疗人次5</w:t>
      </w:r>
      <w:r>
        <w:rPr>
          <w:rFonts w:hint="eastAsia" w:ascii="仿宋_GB2312" w:hAnsi="仿宋" w:eastAsia="仿宋_GB2312"/>
          <w:sz w:val="32"/>
          <w:szCs w:val="32"/>
          <w:lang w:val="en-US" w:eastAsia="zh-CN"/>
        </w:rPr>
        <w:t>0128</w:t>
      </w:r>
      <w:r>
        <w:rPr>
          <w:rFonts w:hint="eastAsia" w:ascii="仿宋_GB2312" w:hAnsi="仿宋" w:eastAsia="仿宋_GB2312"/>
          <w:sz w:val="32"/>
          <w:szCs w:val="32"/>
        </w:rPr>
        <w:t>人，其中门急诊人次</w:t>
      </w:r>
      <w:r>
        <w:rPr>
          <w:rFonts w:hint="eastAsia" w:ascii="仿宋_GB2312" w:hAnsi="仿宋" w:eastAsia="仿宋_GB2312"/>
          <w:sz w:val="32"/>
          <w:szCs w:val="32"/>
          <w:lang w:val="en-US" w:eastAsia="zh-CN"/>
        </w:rPr>
        <w:t>40696</w:t>
      </w:r>
      <w:r>
        <w:rPr>
          <w:rFonts w:hint="eastAsia" w:ascii="仿宋_GB2312" w:hAnsi="仿宋" w:eastAsia="仿宋_GB2312"/>
          <w:sz w:val="32"/>
          <w:szCs w:val="32"/>
        </w:rPr>
        <w:t>人。本年事业总收入：</w:t>
      </w:r>
      <w:r>
        <w:rPr>
          <w:rFonts w:hint="eastAsia" w:ascii="仿宋_GB2312" w:hAnsi="仿宋" w:eastAsia="仿宋_GB2312"/>
          <w:sz w:val="32"/>
          <w:szCs w:val="32"/>
          <w:lang w:val="en-US" w:eastAsia="zh-CN"/>
        </w:rPr>
        <w:t>127.4</w:t>
      </w:r>
      <w:r>
        <w:rPr>
          <w:rFonts w:hint="eastAsia" w:ascii="仿宋_GB2312" w:hAnsi="仿宋" w:eastAsia="仿宋_GB2312"/>
          <w:sz w:val="32"/>
          <w:szCs w:val="32"/>
        </w:rPr>
        <w:t>万元。</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（一）</w:t>
      </w:r>
      <w:r>
        <w:rPr>
          <w:rFonts w:hint="eastAsia" w:ascii="仿宋" w:hAnsi="仿宋" w:eastAsia="仿宋" w:cs="Times New Roman"/>
          <w:sz w:val="32"/>
          <w:szCs w:val="32"/>
          <w:lang w:eastAsia="zh-CN"/>
        </w:rPr>
        <w:t>健康教育培训</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我中心全年共参加县级及县级以上的培训共16次，共培训32人次，参加健康教育</w:t>
      </w:r>
      <w:r>
        <w:rPr>
          <w:rFonts w:hint="eastAsia" w:ascii="仿宋" w:hAnsi="仿宋" w:eastAsia="仿宋" w:cs="Times New Roman"/>
          <w:sz w:val="32"/>
          <w:szCs w:val="32"/>
          <w:lang w:eastAsia="zh-CN"/>
        </w:rPr>
        <w:fldChar w:fldCharType="begin"/>
      </w:r>
      <w:r>
        <w:rPr>
          <w:rFonts w:hint="eastAsia" w:ascii="仿宋" w:hAnsi="仿宋" w:eastAsia="仿宋" w:cs="Times New Roman"/>
          <w:sz w:val="32"/>
          <w:szCs w:val="32"/>
          <w:lang w:eastAsia="zh-CN"/>
        </w:rPr>
        <w:instrText xml:space="preserve"> HYPERLINK "http://www.gongwen123.com/Article/ldjh/sxxc/index.htm" </w:instrText>
      </w:r>
      <w:r>
        <w:rPr>
          <w:rFonts w:hint="eastAsia" w:ascii="仿宋" w:hAnsi="仿宋" w:eastAsia="仿宋" w:cs="Times New Roman"/>
          <w:sz w:val="32"/>
          <w:szCs w:val="32"/>
          <w:lang w:eastAsia="zh-CN"/>
        </w:rPr>
        <w:fldChar w:fldCharType="separate"/>
      </w:r>
      <w:r>
        <w:rPr>
          <w:rFonts w:hint="eastAsia" w:ascii="仿宋" w:hAnsi="仿宋" w:eastAsia="仿宋" w:cs="Times New Roman"/>
          <w:sz w:val="32"/>
          <w:szCs w:val="32"/>
          <w:lang w:eastAsia="zh-CN"/>
        </w:rPr>
        <w:t>宣传</w:t>
      </w:r>
      <w:r>
        <w:rPr>
          <w:rFonts w:hint="eastAsia" w:ascii="仿宋" w:hAnsi="仿宋" w:eastAsia="仿宋" w:cs="Times New Roman"/>
          <w:sz w:val="32"/>
          <w:szCs w:val="32"/>
          <w:lang w:eastAsia="zh-CN"/>
        </w:rPr>
        <w:fldChar w:fldCharType="end"/>
      </w:r>
      <w:r>
        <w:rPr>
          <w:rFonts w:hint="eastAsia" w:ascii="仿宋" w:hAnsi="仿宋" w:eastAsia="仿宋" w:cs="Times New Roman"/>
          <w:sz w:val="32"/>
          <w:szCs w:val="32"/>
          <w:lang w:eastAsia="zh-CN"/>
        </w:rPr>
        <w:t>工作活动11次，出宣传栏6期共12版，开展知识讲座12期，积极开展了控烟教育，发放吸烟有害健康的宣传资料，设立了禁烟监督岗，配有控烟检查员，候诊区、病房等公共场所设有醒目的禁烟标志。</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 xml:space="preserve">（二）疾病控制 </w:t>
      </w:r>
      <w:r>
        <w:rPr>
          <w:rFonts w:hint="eastAsia" w:ascii="仿宋" w:hAnsi="仿宋" w:eastAsia="仿宋" w:cs="Times New Roman"/>
          <w:sz w:val="32"/>
          <w:szCs w:val="32"/>
          <w:lang w:eastAsia="zh-CN"/>
        </w:rPr>
        <w:t>我中心0-6岁儿童预防接种人次数</w:t>
      </w:r>
      <w:r>
        <w:rPr>
          <w:rFonts w:hint="eastAsia" w:ascii="仿宋" w:hAnsi="仿宋" w:eastAsia="仿宋" w:cs="Times New Roman"/>
          <w:sz w:val="32"/>
          <w:szCs w:val="32"/>
          <w:lang w:val="en-US" w:eastAsia="zh-CN"/>
        </w:rPr>
        <w:t>17460</w:t>
      </w:r>
      <w:r>
        <w:rPr>
          <w:rFonts w:hint="eastAsia" w:ascii="仿宋" w:hAnsi="仿宋" w:eastAsia="仿宋" w:cs="Times New Roman"/>
          <w:sz w:val="32"/>
          <w:szCs w:val="32"/>
          <w:lang w:eastAsia="zh-CN"/>
        </w:rPr>
        <w:t>，五苗接种率100%，开展了学校新生入托入学的接种证查验及补种补证工作，完成补种率100%。2021年共报告传染病</w:t>
      </w:r>
      <w:r>
        <w:rPr>
          <w:rFonts w:hint="eastAsia" w:ascii="仿宋" w:hAnsi="仿宋" w:eastAsia="仿宋" w:cs="Times New Roman"/>
          <w:sz w:val="32"/>
          <w:szCs w:val="32"/>
          <w:lang w:val="en-US" w:eastAsia="zh-CN"/>
        </w:rPr>
        <w:t>24</w:t>
      </w:r>
      <w:r>
        <w:rPr>
          <w:rFonts w:hint="eastAsia" w:ascii="仿宋" w:hAnsi="仿宋" w:eastAsia="仿宋" w:cs="Times New Roman"/>
          <w:sz w:val="32"/>
          <w:szCs w:val="32"/>
          <w:lang w:eastAsia="zh-CN"/>
        </w:rPr>
        <w:t>例，无传染病迟报、漏报。202</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年共报告死亡人数</w:t>
      </w:r>
      <w:r>
        <w:rPr>
          <w:rFonts w:hint="eastAsia" w:ascii="仿宋" w:hAnsi="仿宋" w:eastAsia="仿宋" w:cs="Times New Roman"/>
          <w:sz w:val="32"/>
          <w:szCs w:val="32"/>
          <w:lang w:val="en-US" w:eastAsia="zh-CN"/>
        </w:rPr>
        <w:t>76</w:t>
      </w:r>
      <w:r>
        <w:rPr>
          <w:rFonts w:hint="eastAsia" w:ascii="仿宋" w:hAnsi="仿宋" w:eastAsia="仿宋" w:cs="Times New Roman"/>
          <w:sz w:val="32"/>
          <w:szCs w:val="32"/>
          <w:lang w:eastAsia="zh-CN"/>
        </w:rPr>
        <w:t>人。</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（三）</w:t>
      </w:r>
      <w:r>
        <w:rPr>
          <w:rFonts w:hint="eastAsia" w:ascii="仿宋" w:hAnsi="仿宋" w:eastAsia="仿宋" w:cs="Times New Roman"/>
          <w:sz w:val="32"/>
          <w:szCs w:val="32"/>
          <w:lang w:eastAsia="zh-CN"/>
        </w:rPr>
        <w:t>妇幼保健工作</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我中心</w:t>
      </w:r>
      <w:r>
        <w:rPr>
          <w:rFonts w:hint="eastAsia" w:ascii="仿宋" w:hAnsi="仿宋" w:eastAsia="仿宋" w:cs="Times New Roman"/>
          <w:sz w:val="32"/>
          <w:szCs w:val="32"/>
          <w:lang w:val="en-US" w:eastAsia="zh-CN"/>
        </w:rPr>
        <w:t>2021</w:t>
      </w:r>
      <w:r>
        <w:rPr>
          <w:rFonts w:hint="eastAsia" w:ascii="仿宋" w:hAnsi="仿宋" w:eastAsia="仿宋" w:cs="Times New Roman"/>
          <w:sz w:val="32"/>
          <w:szCs w:val="32"/>
          <w:lang w:eastAsia="zh-CN"/>
        </w:rPr>
        <w:t>年孕产妇建档</w:t>
      </w:r>
      <w:r>
        <w:rPr>
          <w:rFonts w:hint="eastAsia" w:ascii="仿宋" w:hAnsi="仿宋" w:eastAsia="仿宋" w:cs="Times New Roman"/>
          <w:sz w:val="32"/>
          <w:szCs w:val="32"/>
          <w:lang w:val="en-US" w:eastAsia="zh-CN"/>
        </w:rPr>
        <w:t>76</w:t>
      </w:r>
      <w:r>
        <w:rPr>
          <w:rFonts w:hint="eastAsia" w:ascii="仿宋" w:hAnsi="仿宋" w:eastAsia="仿宋" w:cs="Times New Roman"/>
          <w:sz w:val="32"/>
          <w:szCs w:val="32"/>
          <w:lang w:eastAsia="zh-CN"/>
        </w:rPr>
        <w:t>人，产前检查率100%。孕早期检查</w:t>
      </w:r>
      <w:r>
        <w:rPr>
          <w:rFonts w:hint="eastAsia" w:ascii="仿宋" w:hAnsi="仿宋" w:eastAsia="仿宋" w:cs="Times New Roman"/>
          <w:sz w:val="32"/>
          <w:szCs w:val="32"/>
          <w:lang w:val="en-US" w:eastAsia="zh-CN"/>
        </w:rPr>
        <w:t>194</w:t>
      </w:r>
      <w:r>
        <w:rPr>
          <w:rFonts w:hint="eastAsia" w:ascii="仿宋" w:hAnsi="仿宋" w:eastAsia="仿宋" w:cs="Times New Roman"/>
          <w:sz w:val="32"/>
          <w:szCs w:val="32"/>
          <w:lang w:eastAsia="zh-CN"/>
        </w:rPr>
        <w:t>人，孕早期检查率95.</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w:t>
      </w:r>
    </w:p>
    <w:p>
      <w:pPr>
        <w:snapToGrid w:val="0"/>
        <w:spacing w:line="52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（四）</w:t>
      </w:r>
      <w:r>
        <w:rPr>
          <w:rFonts w:hint="eastAsia" w:ascii="仿宋" w:hAnsi="仿宋" w:eastAsia="仿宋" w:cs="Times New Roman"/>
          <w:sz w:val="32"/>
          <w:szCs w:val="32"/>
          <w:lang w:eastAsia="zh-CN"/>
        </w:rPr>
        <w:t>居民健康档案</w:t>
      </w:r>
      <w:r>
        <w:rPr>
          <w:rFonts w:hint="eastAsia" w:ascii="仿宋" w:hAnsi="仿宋" w:eastAsia="仿宋" w:cs="Times New Roman"/>
          <w:sz w:val="32"/>
          <w:szCs w:val="32"/>
          <w:lang w:val="en-US" w:eastAsia="zh-CN"/>
        </w:rPr>
        <w:t xml:space="preserve"> </w:t>
      </w:r>
      <w:r>
        <w:rPr>
          <w:rFonts w:hint="eastAsia" w:ascii="仿宋_GB2312" w:hAnsi="仿宋" w:eastAsia="仿宋_GB2312"/>
          <w:sz w:val="32"/>
          <w:szCs w:val="32"/>
        </w:rPr>
        <w:t>年末居民健康档案累计建档人数</w:t>
      </w:r>
      <w:r>
        <w:rPr>
          <w:rFonts w:hint="eastAsia" w:ascii="仿宋_GB2312" w:hAnsi="仿宋" w:eastAsia="仿宋_GB2312"/>
          <w:sz w:val="32"/>
          <w:szCs w:val="32"/>
          <w:lang w:val="en-US" w:eastAsia="zh-CN"/>
        </w:rPr>
        <w:t>20817</w:t>
      </w:r>
      <w:r>
        <w:rPr>
          <w:rFonts w:hint="eastAsia" w:ascii="仿宋_GB2312" w:hAnsi="仿宋" w:eastAsia="仿宋_GB2312"/>
          <w:sz w:val="32"/>
          <w:szCs w:val="32"/>
        </w:rPr>
        <w:t>人</w:t>
      </w:r>
      <w:r>
        <w:rPr>
          <w:rFonts w:hint="eastAsia" w:ascii="仿宋_GB2312" w:hAnsi="仿宋" w:eastAsia="仿宋_GB2312"/>
          <w:sz w:val="32"/>
          <w:szCs w:val="32"/>
          <w:lang w:eastAsia="zh-CN"/>
        </w:rPr>
        <w:t>次</w:t>
      </w:r>
      <w:r>
        <w:rPr>
          <w:rFonts w:hint="eastAsia" w:ascii="仿宋_GB2312" w:hAnsi="仿宋" w:eastAsia="仿宋_GB2312"/>
          <w:sz w:val="32"/>
          <w:szCs w:val="32"/>
        </w:rPr>
        <w:t>，其中规范化电子建档人数</w:t>
      </w:r>
      <w:r>
        <w:rPr>
          <w:rFonts w:hint="eastAsia" w:ascii="仿宋_GB2312" w:hAnsi="仿宋" w:eastAsia="仿宋_GB2312"/>
          <w:sz w:val="32"/>
          <w:szCs w:val="32"/>
          <w:lang w:val="en-US" w:eastAsia="zh-CN"/>
        </w:rPr>
        <w:t>21653</w:t>
      </w:r>
      <w:r>
        <w:rPr>
          <w:rFonts w:hint="eastAsia" w:ascii="仿宋_GB2312" w:hAnsi="仿宋" w:eastAsia="仿宋_GB2312"/>
          <w:sz w:val="32"/>
          <w:szCs w:val="32"/>
        </w:rPr>
        <w:t>人,</w:t>
      </w:r>
      <w:r>
        <w:rPr>
          <w:rFonts w:hint="eastAsia" w:ascii="仿宋_GB2312" w:hAnsi="仿宋" w:eastAsia="仿宋_GB2312"/>
          <w:sz w:val="32"/>
          <w:szCs w:val="32"/>
          <w:lang w:val="en-US" w:eastAsia="zh-CN"/>
        </w:rPr>
        <w:t>65岁以上</w:t>
      </w:r>
      <w:r>
        <w:rPr>
          <w:rFonts w:hint="eastAsia" w:ascii="仿宋_GB2312" w:hAnsi="仿宋" w:eastAsia="仿宋_GB2312"/>
          <w:sz w:val="32"/>
          <w:szCs w:val="32"/>
        </w:rPr>
        <w:t>老年人管理</w:t>
      </w:r>
      <w:r>
        <w:rPr>
          <w:rFonts w:hint="eastAsia" w:ascii="仿宋_GB2312" w:hAnsi="仿宋" w:eastAsia="仿宋_GB2312"/>
          <w:sz w:val="32"/>
          <w:szCs w:val="32"/>
          <w:lang w:val="en-US" w:eastAsia="zh-CN"/>
        </w:rPr>
        <w:t>3392</w:t>
      </w:r>
      <w:r>
        <w:rPr>
          <w:rFonts w:hint="eastAsia" w:ascii="仿宋_GB2312" w:hAnsi="仿宋" w:eastAsia="仿宋_GB2312"/>
          <w:sz w:val="32"/>
          <w:szCs w:val="32"/>
        </w:rPr>
        <w:t>人，高血压管理</w:t>
      </w:r>
      <w:r>
        <w:rPr>
          <w:rFonts w:hint="eastAsia" w:ascii="仿宋_GB2312" w:hAnsi="仿宋" w:eastAsia="仿宋_GB2312"/>
          <w:sz w:val="32"/>
          <w:szCs w:val="32"/>
          <w:lang w:val="en-US" w:eastAsia="zh-CN"/>
        </w:rPr>
        <w:t>1787</w:t>
      </w:r>
      <w:r>
        <w:rPr>
          <w:rFonts w:hint="eastAsia" w:ascii="仿宋_GB2312" w:hAnsi="仿宋" w:eastAsia="仿宋_GB2312"/>
          <w:sz w:val="32"/>
          <w:szCs w:val="32"/>
        </w:rPr>
        <w:t>人，糖尿病管理</w:t>
      </w:r>
      <w:r>
        <w:rPr>
          <w:rFonts w:hint="eastAsia" w:ascii="仿宋_GB2312" w:hAnsi="仿宋" w:eastAsia="仿宋_GB2312"/>
          <w:sz w:val="32"/>
          <w:szCs w:val="32"/>
          <w:lang w:val="en-US" w:eastAsia="zh-CN"/>
        </w:rPr>
        <w:t>774</w:t>
      </w:r>
      <w:r>
        <w:rPr>
          <w:rFonts w:hint="eastAsia" w:ascii="仿宋_GB2312" w:hAnsi="仿宋" w:eastAsia="仿宋_GB2312"/>
          <w:sz w:val="32"/>
          <w:szCs w:val="32"/>
        </w:rPr>
        <w:t>人，精神病管理</w:t>
      </w:r>
      <w:r>
        <w:rPr>
          <w:rFonts w:hint="eastAsia" w:ascii="仿宋_GB2312" w:hAnsi="仿宋" w:eastAsia="仿宋_GB2312"/>
          <w:sz w:val="32"/>
          <w:szCs w:val="32"/>
          <w:lang w:val="en-US" w:eastAsia="zh-CN"/>
        </w:rPr>
        <w:t>109</w:t>
      </w:r>
      <w:r>
        <w:rPr>
          <w:rFonts w:hint="eastAsia" w:ascii="仿宋_GB2312" w:hAnsi="仿宋" w:eastAsia="仿宋_GB2312"/>
          <w:sz w:val="32"/>
          <w:szCs w:val="32"/>
        </w:rPr>
        <w:t>人，肺结核管理</w:t>
      </w:r>
      <w:r>
        <w:rPr>
          <w:rFonts w:hint="eastAsia" w:ascii="仿宋_GB2312" w:hAnsi="仿宋" w:eastAsia="仿宋_GB2312"/>
          <w:sz w:val="32"/>
          <w:szCs w:val="32"/>
          <w:lang w:val="en-US" w:eastAsia="zh-CN"/>
        </w:rPr>
        <w:t>7</w:t>
      </w:r>
      <w:r>
        <w:rPr>
          <w:rFonts w:hint="eastAsia" w:ascii="仿宋_GB2312" w:hAnsi="仿宋" w:eastAsia="仿宋_GB2312"/>
          <w:sz w:val="32"/>
          <w:szCs w:val="32"/>
        </w:rPr>
        <w:t>人。</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（五）中医健康服务</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本年度为</w:t>
      </w:r>
      <w:r>
        <w:rPr>
          <w:rFonts w:hint="eastAsia" w:ascii="仿宋" w:hAnsi="仿宋" w:eastAsia="仿宋" w:cs="Times New Roman"/>
          <w:sz w:val="32"/>
          <w:szCs w:val="32"/>
          <w:lang w:val="en-US" w:eastAsia="zh-CN"/>
        </w:rPr>
        <w:t>2491</w:t>
      </w:r>
      <w:r>
        <w:rPr>
          <w:rFonts w:hint="eastAsia" w:ascii="仿宋" w:hAnsi="仿宋" w:eastAsia="仿宋" w:cs="Times New Roman"/>
          <w:sz w:val="32"/>
          <w:szCs w:val="32"/>
          <w:lang w:eastAsia="zh-CN"/>
        </w:rPr>
        <w:t>位老年人提供1次中医体质辨识和中医药保健指导的中医药健康管理服务，并为</w:t>
      </w:r>
      <w:r>
        <w:rPr>
          <w:rFonts w:hint="eastAsia" w:ascii="仿宋" w:hAnsi="仿宋" w:eastAsia="仿宋" w:cs="Times New Roman"/>
          <w:sz w:val="32"/>
          <w:szCs w:val="32"/>
          <w:lang w:val="en-US" w:eastAsia="zh-CN"/>
        </w:rPr>
        <w:t>734位</w:t>
      </w:r>
      <w:r>
        <w:rPr>
          <w:rFonts w:hint="eastAsia" w:ascii="仿宋" w:hAnsi="仿宋" w:eastAsia="仿宋" w:cs="Times New Roman"/>
          <w:sz w:val="32"/>
          <w:szCs w:val="32"/>
          <w:lang w:eastAsia="zh-CN"/>
        </w:rPr>
        <w:t xml:space="preserve">0-36个月儿童进行穴位按摩及饮食喂养指导中医体质辨识，并及时将中医药健康管理服务记录表录入居民健康档案管理系统。       </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（六）卫生协管工作</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年</w:t>
      </w:r>
      <w:r>
        <w:rPr>
          <w:rFonts w:hint="eastAsia" w:ascii="仿宋" w:hAnsi="仿宋" w:eastAsia="仿宋" w:cs="Times New Roman"/>
          <w:sz w:val="32"/>
          <w:szCs w:val="32"/>
          <w:lang w:val="en-US" w:eastAsia="zh-CN"/>
        </w:rPr>
        <w:t>卫生监督协管巡查168次</w:t>
      </w:r>
      <w:r>
        <w:rPr>
          <w:rFonts w:hint="eastAsia" w:ascii="仿宋" w:hAnsi="仿宋" w:eastAsia="仿宋" w:cs="Times New Roman"/>
          <w:sz w:val="32"/>
          <w:szCs w:val="32"/>
          <w:lang w:eastAsia="zh-CN"/>
        </w:rPr>
        <w:t>。协助卫生计生监督执法机构对农村集中式供水和学校供水进行巡查，协助开展饮用水水质抽检服务。协助卫生计生监督执法机构定期对学校传染病防控开展巡访，指导学校设立卫生宣传栏，协助开展学生健康教育。</w:t>
      </w:r>
      <w:r>
        <w:rPr>
          <w:rFonts w:hint="eastAsia" w:ascii="仿宋_GB2312" w:hAnsi="仿宋" w:eastAsia="仿宋_GB2312"/>
          <w:sz w:val="32"/>
          <w:szCs w:val="32"/>
        </w:rPr>
        <w:t>无突发公共卫生事件报告</w:t>
      </w:r>
    </w:p>
    <w:p>
      <w:pPr>
        <w:ind w:firstLine="640" w:firstLineChars="200"/>
        <w:rPr>
          <w:rFonts w:hint="default" w:eastAsia="黑体"/>
          <w:lang w:val="en-US" w:eastAsia="zh-CN"/>
        </w:rPr>
      </w:pPr>
      <w:r>
        <w:rPr>
          <w:rFonts w:hint="eastAsia" w:ascii="仿宋" w:hAnsi="仿宋" w:eastAsia="仿宋" w:cs="Times New Roman"/>
          <w:sz w:val="32"/>
          <w:szCs w:val="32"/>
          <w:lang w:eastAsia="zh-CN"/>
        </w:rPr>
        <w:t>（七）新冠疫苗接种工作</w:t>
      </w:r>
      <w:r>
        <w:rPr>
          <w:rFonts w:hint="eastAsia" w:ascii="仿宋" w:hAnsi="仿宋" w:eastAsia="仿宋" w:cs="Times New Roman"/>
          <w:sz w:val="32"/>
          <w:szCs w:val="32"/>
          <w:lang w:val="en-US" w:eastAsia="zh-CN"/>
        </w:rPr>
        <w:t xml:space="preserve"> 截止12月31日共计完成新冠疫苗接种工作74007剂次，其中第一剂次30398、第二剂次29876、第三剂次13733。</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22" w:name="_Toc15377204"/>
      <w:bookmarkStart w:id="23" w:name="_Toc9153"/>
      <w:bookmarkStart w:id="24" w:name="_Toc15396602"/>
      <w:r>
        <w:rPr>
          <w:rFonts w:hint="eastAsia" w:ascii="黑体" w:hAnsi="黑体" w:eastAsia="黑体"/>
          <w:b w:val="0"/>
        </w:rPr>
        <w:t>第二部分 2021年度</w:t>
      </w:r>
      <w:r>
        <w:rPr>
          <w:rStyle w:val="28"/>
          <w:rFonts w:hint="eastAsia" w:ascii="黑体" w:hAnsi="黑体" w:eastAsia="黑体"/>
          <w:b w:val="0"/>
          <w:bCs/>
        </w:rPr>
        <w:t>单位决算情况说明</w:t>
      </w:r>
      <w:bookmarkEnd w:id="22"/>
      <w:bookmarkEnd w:id="23"/>
      <w:bookmarkEnd w:id="24"/>
    </w:p>
    <w:p/>
    <w:p>
      <w:pPr>
        <w:pStyle w:val="17"/>
        <w:numPr>
          <w:ilvl w:val="0"/>
          <w:numId w:val="2"/>
        </w:numPr>
        <w:spacing w:line="600" w:lineRule="exact"/>
        <w:ind w:firstLineChars="0"/>
        <w:outlineLvl w:val="1"/>
        <w:rPr>
          <w:rStyle w:val="29"/>
          <w:rFonts w:ascii="黑体" w:hAnsi="黑体" w:eastAsia="黑体"/>
          <w:b w:val="0"/>
        </w:rPr>
      </w:pPr>
      <w:bookmarkStart w:id="25" w:name="_Toc15377205"/>
      <w:bookmarkStart w:id="26" w:name="_Toc15396603"/>
      <w:bookmarkStart w:id="27" w:name="_Toc4183"/>
      <w:r>
        <w:rPr>
          <w:rFonts w:hint="eastAsia" w:ascii="黑体" w:hAnsi="黑体" w:eastAsia="黑体"/>
          <w:sz w:val="32"/>
          <w:szCs w:val="32"/>
        </w:rPr>
        <w:t>收</w:t>
      </w:r>
      <w:r>
        <w:rPr>
          <w:rStyle w:val="29"/>
          <w:rFonts w:hint="eastAsia" w:ascii="黑体" w:hAnsi="黑体" w:eastAsia="黑体"/>
          <w:b w:val="0"/>
        </w:rPr>
        <w:t>入支出决算总体情况说明</w:t>
      </w:r>
      <w:bookmarkEnd w:id="25"/>
      <w:bookmarkEnd w:id="26"/>
      <w:bookmarkEnd w:id="27"/>
    </w:p>
    <w:p>
      <w:pPr>
        <w:spacing w:line="600" w:lineRule="exact"/>
        <w:ind w:firstLine="640" w:firstLineChars="200"/>
        <w:rPr>
          <w:rFonts w:hint="eastAsia" w:ascii="仿宋_GB2312" w:hAnsi="仿宋" w:eastAsia="仿宋_GB2312"/>
          <w:sz w:val="32"/>
          <w:szCs w:val="32"/>
          <w:lang w:val="en-US" w:eastAsia="zh-CN"/>
        </w:rPr>
      </w:pPr>
      <w:r>
        <w:rPr>
          <w:rFonts w:hint="eastAsia" w:ascii="仿宋" w:hAnsi="仿宋" w:eastAsia="仿宋"/>
          <w:sz w:val="32"/>
          <w:szCs w:val="32"/>
        </w:rPr>
        <w:t>2021年度</w:t>
      </w:r>
      <w:r>
        <w:rPr>
          <w:rFonts w:hint="eastAsia" w:ascii="仿宋" w:hAnsi="仿宋" w:eastAsia="仿宋"/>
          <w:sz w:val="32"/>
          <w:szCs w:val="32"/>
          <w:lang w:val="en-US" w:eastAsia="zh-CN"/>
        </w:rPr>
        <w:t>总收入728.32万元，与2020年</w:t>
      </w:r>
      <w:r>
        <w:rPr>
          <w:rFonts w:hint="eastAsia" w:eastAsia="仿宋_GB2312"/>
          <w:sz w:val="32"/>
          <w:szCs w:val="32"/>
          <w:lang w:val="en-US" w:eastAsia="zh-CN"/>
        </w:rPr>
        <w:t>678.76</w:t>
      </w:r>
      <w:r>
        <w:rPr>
          <w:rFonts w:hint="eastAsia" w:ascii="仿宋" w:hAnsi="仿宋" w:eastAsia="仿宋"/>
          <w:sz w:val="32"/>
          <w:szCs w:val="32"/>
          <w:lang w:val="en-US" w:eastAsia="zh-CN"/>
        </w:rPr>
        <w:t>万元相比增加49.56万元，同比增长7.3%。2021年度总支出768.04万元，与2020年</w:t>
      </w:r>
      <w:r>
        <w:rPr>
          <w:rFonts w:hint="eastAsia" w:eastAsia="仿宋_GB2312"/>
          <w:sz w:val="32"/>
          <w:szCs w:val="32"/>
          <w:lang w:val="en-US" w:eastAsia="zh-CN"/>
        </w:rPr>
        <w:t>570.82</w:t>
      </w:r>
      <w:r>
        <w:rPr>
          <w:rFonts w:hint="eastAsia" w:ascii="仿宋" w:hAnsi="仿宋" w:eastAsia="仿宋"/>
          <w:sz w:val="32"/>
          <w:szCs w:val="32"/>
          <w:lang w:val="en-US" w:eastAsia="zh-CN"/>
        </w:rPr>
        <w:t>万元相比增加197.22万元，同比增长34.55%。</w:t>
      </w:r>
      <w:r>
        <w:rPr>
          <w:rFonts w:hint="eastAsia" w:ascii="仿宋" w:hAnsi="仿宋" w:eastAsia="仿宋"/>
          <w:sz w:val="32"/>
          <w:szCs w:val="32"/>
        </w:rPr>
        <w:t>主要变动原因是</w:t>
      </w:r>
      <w:r>
        <w:rPr>
          <w:rFonts w:hint="eastAsia" w:ascii="仿宋" w:hAnsi="仿宋" w:eastAsia="仿宋"/>
          <w:sz w:val="32"/>
          <w:szCs w:val="32"/>
          <w:lang w:val="en-US" w:eastAsia="zh-CN"/>
        </w:rPr>
        <w:t>本年度</w:t>
      </w:r>
      <w:r>
        <w:rPr>
          <w:rFonts w:hint="eastAsia" w:ascii="仿宋_GB2312" w:hAnsi="仿宋" w:eastAsia="仿宋_GB2312"/>
          <w:sz w:val="32"/>
          <w:szCs w:val="32"/>
          <w:lang w:val="en-US" w:eastAsia="zh-CN"/>
        </w:rPr>
        <w:t>基本公共卫生经费在上年基础上增加。</w:t>
      </w:r>
    </w:p>
    <w:p>
      <w:pPr>
        <w:pStyle w:val="2"/>
        <w:jc w:val="center"/>
        <w:rPr>
          <w:rFonts w:ascii="仿宋" w:hAnsi="仿宋" w:eastAsia="仿宋"/>
          <w:sz w:val="32"/>
          <w:szCs w:val="32"/>
        </w:rPr>
      </w:pPr>
      <w:r>
        <w:rPr>
          <w:rFonts w:hint="default" w:ascii="仿宋_GB2312" w:hAnsi="Times New Roman" w:eastAsia="仿宋_GB2312" w:cs="Times New Roman"/>
          <w:kern w:val="0"/>
          <w:sz w:val="30"/>
          <w:szCs w:val="24"/>
          <w:lang w:val="en-US" w:eastAsia="zh-CN" w:bidi="ar-SA"/>
        </w:rPr>
        <w:object>
          <v:shape id="_x0000_i1025" o:spt="75" type="#_x0000_t75" style="height:226.2pt;width:447.55pt;" o:ole="t" filled="f" o:preferrelative="t" stroked="f" coordsize="21600,21600">
            <v:path/>
            <v:fill on="f" focussize="0,0"/>
            <v:stroke on="f"/>
            <v:imagedata r:id="rId10" blacklevel="0f" o:title=""/>
            <o:lock v:ext="edit" aspectratio="t"/>
            <w10:wrap type="none"/>
            <w10:anchorlock/>
          </v:shape>
          <o:OLEObject Type="Embed" ProgID="Excel.Chart.8" ShapeID="_x0000_i1025" DrawAspect="Content" ObjectID="_1468075725" r:id="rId9">
            <o:LockedField>false</o:LockedField>
          </o:OLEObject>
        </w:object>
      </w:r>
    </w:p>
    <w:p>
      <w:pPr>
        <w:pStyle w:val="17"/>
        <w:numPr>
          <w:numId w:val="0"/>
        </w:numPr>
        <w:spacing w:line="600" w:lineRule="exact"/>
        <w:ind w:firstLine="640" w:firstLineChars="200"/>
        <w:outlineLvl w:val="1"/>
        <w:rPr>
          <w:rStyle w:val="29"/>
          <w:rFonts w:ascii="黑体" w:hAnsi="黑体" w:eastAsia="黑体"/>
          <w:b w:val="0"/>
        </w:rPr>
      </w:pPr>
      <w:bookmarkStart w:id="28" w:name="_Toc20640"/>
      <w:bookmarkStart w:id="29" w:name="_Toc15377206"/>
      <w:bookmarkStart w:id="30" w:name="_Toc15396604"/>
      <w:r>
        <w:rPr>
          <w:rFonts w:hint="eastAsia" w:ascii="黑体" w:hAnsi="黑体" w:eastAsia="黑体"/>
          <w:sz w:val="32"/>
          <w:szCs w:val="32"/>
          <w:lang w:eastAsia="zh-CN"/>
        </w:rPr>
        <w:t>二、</w:t>
      </w:r>
      <w:r>
        <w:rPr>
          <w:rFonts w:hint="eastAsia" w:ascii="黑体" w:hAnsi="黑体" w:eastAsia="黑体"/>
          <w:sz w:val="32"/>
          <w:szCs w:val="32"/>
        </w:rPr>
        <w:t>收</w:t>
      </w:r>
      <w:r>
        <w:rPr>
          <w:rStyle w:val="29"/>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21015"/>
      <w:r>
        <w:rPr>
          <w:rFonts w:ascii="仿宋" w:hAnsi="仿宋" w:eastAsia="仿宋"/>
          <w:sz w:val="32"/>
          <w:szCs w:val="32"/>
        </w:rPr>
        <w:t>20</w:t>
      </w:r>
      <w:r>
        <w:rPr>
          <w:rFonts w:hint="eastAsia" w:ascii="仿宋" w:hAnsi="仿宋" w:eastAsia="仿宋"/>
          <w:sz w:val="32"/>
          <w:szCs w:val="32"/>
        </w:rPr>
        <w:t>21年本年收入合计</w:t>
      </w:r>
      <w:r>
        <w:rPr>
          <w:rFonts w:hint="eastAsia" w:ascii="仿宋" w:hAnsi="仿宋" w:eastAsia="仿宋"/>
          <w:sz w:val="32"/>
          <w:szCs w:val="32"/>
          <w:lang w:val="en-US" w:eastAsia="zh-CN"/>
        </w:rPr>
        <w:t>728.32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638.93</w:t>
      </w:r>
      <w:r>
        <w:rPr>
          <w:rFonts w:hint="eastAsia" w:ascii="仿宋" w:hAnsi="仿宋" w:eastAsia="仿宋"/>
          <w:sz w:val="32"/>
          <w:szCs w:val="32"/>
        </w:rPr>
        <w:t>万元，占</w:t>
      </w:r>
      <w:r>
        <w:rPr>
          <w:rFonts w:hint="eastAsia" w:ascii="仿宋" w:hAnsi="仿宋" w:eastAsia="仿宋"/>
          <w:sz w:val="32"/>
          <w:szCs w:val="32"/>
          <w:lang w:val="en-US" w:eastAsia="zh-CN"/>
        </w:rPr>
        <w:t>87.73</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89.40</w:t>
      </w:r>
      <w:r>
        <w:rPr>
          <w:rFonts w:hint="eastAsia" w:ascii="仿宋" w:hAnsi="仿宋" w:eastAsia="仿宋"/>
          <w:sz w:val="32"/>
          <w:szCs w:val="32"/>
        </w:rPr>
        <w:t>万元，占</w:t>
      </w:r>
      <w:r>
        <w:rPr>
          <w:rFonts w:hint="eastAsia" w:ascii="仿宋" w:hAnsi="仿宋" w:eastAsia="仿宋"/>
          <w:sz w:val="32"/>
          <w:szCs w:val="32"/>
          <w:lang w:val="en-US" w:eastAsia="zh-CN"/>
        </w:rPr>
        <w:t>12.27</w:t>
      </w:r>
      <w:r>
        <w:rPr>
          <w:rFonts w:ascii="仿宋" w:hAnsi="仿宋" w:eastAsia="仿宋"/>
          <w:sz w:val="32"/>
          <w:szCs w:val="32"/>
        </w:rPr>
        <w:t>%</w:t>
      </w:r>
      <w:r>
        <w:rPr>
          <w:rFonts w:hint="eastAsia" w:ascii="仿宋" w:hAnsi="仿宋" w:eastAsia="仿宋"/>
          <w:sz w:val="32"/>
          <w:szCs w:val="32"/>
        </w:rPr>
        <w:t>。</w:t>
      </w:r>
      <w:bookmarkEnd w:id="31"/>
    </w:p>
    <w:p>
      <w:pPr>
        <w:pStyle w:val="2"/>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6" o:spt="75" type="#_x0000_t75" style="height:253.95pt;width:423.05pt;" o:ole="t" filled="f" o:preferrelative="t" stroked="f" coordsize="21600,21600">
            <v:path/>
            <v:fill on="f" focussize="0,0"/>
            <v:stroke on="f"/>
            <v:imagedata r:id="rId12" blacklevel="0f" o:title=""/>
            <o:lock v:ext="edit" aspectratio="t"/>
            <w10:wrap type="none"/>
            <w10:anchorlock/>
          </v:shape>
          <o:OLEObject Type="Embed" ProgID="Excel.Chart.8" ShapeID="_x0000_i1026" DrawAspect="Content" ObjectID="_1468075726" r:id="rId11">
            <o:LockedField>false</o:LockedField>
          </o:OLEObject>
        </w:object>
      </w:r>
    </w:p>
    <w:p>
      <w:pPr>
        <w:pStyle w:val="17"/>
        <w:numPr>
          <w:numId w:val="0"/>
        </w:numPr>
        <w:spacing w:line="600" w:lineRule="exact"/>
        <w:ind w:firstLine="640" w:firstLineChars="200"/>
        <w:outlineLvl w:val="1"/>
        <w:rPr>
          <w:rStyle w:val="29"/>
          <w:rFonts w:ascii="黑体" w:hAnsi="黑体" w:eastAsia="黑体"/>
          <w:b w:val="0"/>
        </w:rPr>
      </w:pPr>
      <w:bookmarkStart w:id="32" w:name="_Toc15396605"/>
      <w:bookmarkStart w:id="33" w:name="_Toc15377207"/>
      <w:bookmarkStart w:id="34" w:name="_Toc26654"/>
      <w:r>
        <w:rPr>
          <w:rFonts w:hint="eastAsia" w:ascii="黑体" w:hAnsi="黑体" w:eastAsia="黑体"/>
          <w:sz w:val="32"/>
          <w:szCs w:val="32"/>
          <w:lang w:eastAsia="zh-CN"/>
        </w:rPr>
        <w:t>三、</w:t>
      </w:r>
      <w:r>
        <w:rPr>
          <w:rFonts w:hint="eastAsia" w:ascii="黑体" w:hAnsi="黑体" w:eastAsia="黑体"/>
          <w:sz w:val="32"/>
          <w:szCs w:val="32"/>
        </w:rPr>
        <w:t>支</w:t>
      </w:r>
      <w:r>
        <w:rPr>
          <w:rStyle w:val="29"/>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shd w:val="pct10" w:color="auto" w:fill="FFFFFF"/>
        </w:rPr>
      </w:pPr>
      <w:bookmarkStart w:id="35" w:name="_Toc22040"/>
      <w:r>
        <w:rPr>
          <w:rFonts w:ascii="仿宋" w:hAnsi="仿宋" w:eastAsia="仿宋"/>
          <w:sz w:val="32"/>
          <w:szCs w:val="32"/>
        </w:rPr>
        <w:t>20</w:t>
      </w:r>
      <w:r>
        <w:rPr>
          <w:rFonts w:hint="eastAsia" w:ascii="仿宋" w:hAnsi="仿宋" w:eastAsia="仿宋"/>
          <w:sz w:val="32"/>
          <w:szCs w:val="32"/>
        </w:rPr>
        <w:t>21年本年支出合计</w:t>
      </w:r>
      <w:r>
        <w:rPr>
          <w:rFonts w:hint="eastAsia" w:ascii="仿宋" w:hAnsi="仿宋" w:eastAsia="仿宋"/>
          <w:sz w:val="32"/>
          <w:szCs w:val="32"/>
          <w:lang w:val="en-US" w:eastAsia="zh-CN"/>
        </w:rPr>
        <w:t>768.04</w:t>
      </w:r>
      <w:r>
        <w:rPr>
          <w:rFonts w:hint="eastAsia" w:ascii="仿宋" w:hAnsi="仿宋" w:eastAsia="仿宋"/>
          <w:sz w:val="32"/>
          <w:szCs w:val="32"/>
        </w:rPr>
        <w:t>万元，其中：基本支出</w:t>
      </w:r>
      <w:r>
        <w:rPr>
          <w:rFonts w:hint="eastAsia" w:ascii="仿宋" w:hAnsi="仿宋" w:eastAsia="仿宋"/>
          <w:sz w:val="32"/>
          <w:szCs w:val="32"/>
          <w:lang w:val="en-US" w:eastAsia="zh-CN"/>
        </w:rPr>
        <w:t>400.01</w:t>
      </w:r>
      <w:r>
        <w:rPr>
          <w:rFonts w:hint="eastAsia" w:ascii="仿宋" w:hAnsi="仿宋" w:eastAsia="仿宋"/>
          <w:sz w:val="32"/>
          <w:szCs w:val="32"/>
        </w:rPr>
        <w:t>万元，占</w:t>
      </w:r>
      <w:r>
        <w:rPr>
          <w:rFonts w:hint="eastAsia" w:ascii="仿宋" w:hAnsi="仿宋" w:eastAsia="仿宋"/>
          <w:sz w:val="32"/>
          <w:szCs w:val="32"/>
          <w:lang w:val="en-US" w:eastAsia="zh-CN"/>
        </w:rPr>
        <w:t>52.08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368.03</w:t>
      </w:r>
      <w:r>
        <w:rPr>
          <w:rFonts w:hint="eastAsia" w:ascii="仿宋" w:hAnsi="仿宋" w:eastAsia="仿宋"/>
          <w:sz w:val="32"/>
          <w:szCs w:val="32"/>
        </w:rPr>
        <w:t>万元，占</w:t>
      </w:r>
      <w:r>
        <w:rPr>
          <w:rFonts w:hint="eastAsia" w:ascii="仿宋" w:hAnsi="仿宋" w:eastAsia="仿宋"/>
          <w:sz w:val="32"/>
          <w:szCs w:val="32"/>
          <w:lang w:val="en-US" w:eastAsia="zh-CN"/>
        </w:rPr>
        <w:t>47.92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35"/>
    </w:p>
    <w:p>
      <w:pPr>
        <w:pStyle w:val="2"/>
        <w:rPr>
          <w:rFonts w:hint="eastAsia" w:ascii="仿宋" w:hAnsi="仿宋" w:eastAsia="仿宋"/>
          <w:sz w:val="32"/>
          <w:szCs w:val="32"/>
          <w:shd w:val="pct10" w:color="auto" w:fill="FFFFFF"/>
          <w:lang w:eastAsia="zh-CN"/>
        </w:rPr>
      </w:pPr>
      <w:r>
        <w:rPr>
          <w:rFonts w:hint="eastAsia" w:ascii="仿宋" w:hAnsi="仿宋" w:eastAsia="仿宋" w:cs="Times New Roman"/>
          <w:kern w:val="0"/>
          <w:sz w:val="32"/>
          <w:szCs w:val="32"/>
          <w:shd w:val="pct10" w:color="auto" w:fill="FFFFFF"/>
          <w:lang w:val="en-US" w:eastAsia="zh-CN" w:bidi="ar-SA"/>
        </w:rPr>
        <w:object>
          <v:shape id="_x0000_i1027" o:spt="75" type="#_x0000_t75" style="height:209pt;width:362.55pt;" o:ole="t" filled="f" o:preferrelative="t" stroked="f" coordsize="21600,21600">
            <v:path/>
            <v:fill on="f" focussize="0,0"/>
            <v:stroke on="f"/>
            <v:imagedata r:id="rId14" blacklevel="0f" o:title=""/>
            <o:lock v:ext="edit" aspectratio="t"/>
            <w10:wrap type="none"/>
            <w10:anchorlock/>
          </v:shape>
          <o:OLEObject Type="Embed" ProgID="Excel.Chart.8" ShapeID="_x0000_i1027" DrawAspect="Content" ObjectID="_1468075727" r:id="rId13">
            <o:LockedField>false</o:LockedField>
          </o:OLEObject>
        </w:objec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36" w:name="_Toc15396606"/>
      <w:bookmarkStart w:id="37" w:name="_Toc15377208"/>
      <w:bookmarkStart w:id="38" w:name="_Toc17627"/>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6"/>
      <w:bookmarkEnd w:id="37"/>
      <w:bookmarkEnd w:id="38"/>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21年财政拨款收</w:t>
      </w:r>
      <w:r>
        <w:rPr>
          <w:rFonts w:hint="eastAsia" w:ascii="仿宋" w:hAnsi="仿宋" w:eastAsia="仿宋"/>
          <w:sz w:val="32"/>
          <w:szCs w:val="32"/>
          <w:lang w:val="en-US" w:eastAsia="zh-CN"/>
        </w:rPr>
        <w:t>入总计638.93万元，与2020年</w:t>
      </w:r>
      <w:r>
        <w:rPr>
          <w:rFonts w:hint="eastAsia" w:eastAsia="仿宋_GB2312"/>
          <w:sz w:val="32"/>
          <w:szCs w:val="32"/>
          <w:lang w:val="en-US" w:eastAsia="zh-CN"/>
        </w:rPr>
        <w:t>590.26</w:t>
      </w:r>
      <w:r>
        <w:rPr>
          <w:rFonts w:hint="eastAsia" w:ascii="仿宋" w:hAnsi="仿宋" w:eastAsia="仿宋"/>
          <w:sz w:val="32"/>
          <w:szCs w:val="32"/>
          <w:lang w:val="en-US" w:eastAsia="zh-CN"/>
        </w:rPr>
        <w:t>万元增加48.67万元，增长8.2%。2021年财政拨款支出总计720.46万元，与2020年</w:t>
      </w:r>
      <w:r>
        <w:rPr>
          <w:rFonts w:hint="eastAsia" w:eastAsia="仿宋_GB2312"/>
          <w:sz w:val="32"/>
          <w:szCs w:val="32"/>
          <w:lang w:val="en-US" w:eastAsia="zh-CN"/>
        </w:rPr>
        <w:t>509.38</w:t>
      </w:r>
      <w:r>
        <w:rPr>
          <w:rFonts w:hint="eastAsia" w:ascii="仿宋" w:hAnsi="仿宋" w:eastAsia="仿宋"/>
          <w:sz w:val="32"/>
          <w:szCs w:val="32"/>
          <w:lang w:val="en-US" w:eastAsia="zh-CN"/>
        </w:rPr>
        <w:t>万元增加211.08万元，增长41.43%。</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sz w:val="32"/>
          <w:szCs w:val="32"/>
          <w:lang w:val="en-US" w:eastAsia="zh-CN"/>
        </w:rPr>
        <w:t>本年度</w:t>
      </w:r>
      <w:r>
        <w:rPr>
          <w:rFonts w:hint="eastAsia" w:ascii="仿宋_GB2312" w:hAnsi="仿宋" w:eastAsia="仿宋_GB2312"/>
          <w:sz w:val="32"/>
          <w:szCs w:val="32"/>
          <w:lang w:val="en-US" w:eastAsia="zh-CN"/>
        </w:rPr>
        <w:t>基本公共卫生经费在上年基础上增加导致财政拨款收支同时增加。</w:t>
      </w:r>
    </w:p>
    <w:p>
      <w:pPr>
        <w:pStyle w:val="2"/>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8" o:spt="75" type="#_x0000_t75" style="height:226.2pt;width:422.25pt;" o:ole="t" filled="f" o:preferrelative="t" stroked="f" coordsize="21600,21600">
            <v:path/>
            <v:fill on="f" focussize="0,0"/>
            <v:stroke on="f"/>
            <v:imagedata r:id="rId16" blacklevel="0f" o:title=""/>
            <o:lock v:ext="edit" aspectratio="t"/>
            <w10:wrap type="none"/>
            <w10:anchorlock/>
          </v:shape>
          <o:OLEObject Type="Embed" ProgID="Excel.Chart.8" ShapeID="_x0000_i1028" DrawAspect="Content" ObjectID="_1468075728" r:id="rId15">
            <o:LockedField>false</o:LockedField>
          </o:OLEObject>
        </w:object>
      </w:r>
    </w:p>
    <w:p>
      <w:pPr>
        <w:spacing w:line="600" w:lineRule="exact"/>
        <w:ind w:firstLine="640" w:firstLineChars="200"/>
        <w:outlineLvl w:val="1"/>
        <w:rPr>
          <w:rStyle w:val="29"/>
          <w:rFonts w:ascii="黑体" w:hAnsi="黑体" w:eastAsia="黑体"/>
          <w:b w:val="0"/>
        </w:rPr>
      </w:pPr>
      <w:bookmarkStart w:id="39" w:name="_Toc15377209"/>
      <w:bookmarkStart w:id="40" w:name="_Toc15396607"/>
      <w:bookmarkStart w:id="41" w:name="_Toc28910"/>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pacing w:line="600" w:lineRule="exact"/>
        <w:ind w:firstLine="640" w:firstLineChars="200"/>
        <w:rPr>
          <w:rFonts w:hint="default"/>
          <w:lang w:val="en-US"/>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720.46</w:t>
      </w:r>
      <w:r>
        <w:rPr>
          <w:rFonts w:hint="eastAsia" w:ascii="仿宋" w:hAnsi="仿宋" w:eastAsia="仿宋"/>
          <w:sz w:val="32"/>
          <w:szCs w:val="32"/>
        </w:rPr>
        <w:t>万元，占本年支出合计的</w:t>
      </w:r>
      <w:r>
        <w:rPr>
          <w:rFonts w:hint="eastAsia" w:ascii="仿宋" w:hAnsi="仿宋" w:eastAsia="仿宋"/>
          <w:sz w:val="32"/>
          <w:szCs w:val="32"/>
          <w:lang w:val="en-US" w:eastAsia="zh-CN"/>
        </w:rPr>
        <w:t>87.73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w:t>
      </w:r>
      <w:r>
        <w:rPr>
          <w:rFonts w:hint="eastAsia" w:eastAsia="仿宋_GB2312"/>
          <w:sz w:val="32"/>
          <w:szCs w:val="32"/>
          <w:lang w:val="en-US" w:eastAsia="zh-CN"/>
        </w:rPr>
        <w:t>509.38</w:t>
      </w:r>
      <w:r>
        <w:rPr>
          <w:rFonts w:hint="eastAsia" w:ascii="仿宋" w:hAnsi="仿宋" w:eastAsia="仿宋"/>
          <w:sz w:val="32"/>
          <w:szCs w:val="32"/>
          <w:lang w:val="en-US" w:eastAsia="zh-CN"/>
        </w:rPr>
        <w:t>万元</w:t>
      </w:r>
      <w:r>
        <w:rPr>
          <w:rFonts w:hint="eastAsia" w:ascii="仿宋" w:hAnsi="仿宋" w:eastAsia="仿宋"/>
          <w:sz w:val="32"/>
          <w:szCs w:val="32"/>
        </w:rPr>
        <w:t>相比，一般公共预算财政拨款支出增加</w:t>
      </w:r>
      <w:r>
        <w:rPr>
          <w:rFonts w:hint="eastAsia" w:ascii="仿宋" w:hAnsi="仿宋" w:eastAsia="仿宋"/>
          <w:sz w:val="32"/>
          <w:szCs w:val="32"/>
          <w:lang w:val="en-US" w:eastAsia="zh-CN"/>
        </w:rPr>
        <w:t>211.08</w:t>
      </w:r>
      <w:r>
        <w:rPr>
          <w:rFonts w:hint="eastAsia" w:ascii="仿宋" w:hAnsi="仿宋" w:eastAsia="仿宋"/>
          <w:sz w:val="32"/>
          <w:szCs w:val="32"/>
        </w:rPr>
        <w:t>万元，增长</w:t>
      </w:r>
      <w:r>
        <w:rPr>
          <w:rFonts w:hint="eastAsia" w:ascii="仿宋" w:hAnsi="仿宋" w:eastAsia="仿宋"/>
          <w:sz w:val="32"/>
          <w:szCs w:val="32"/>
          <w:lang w:val="en-US" w:eastAsia="zh-CN"/>
        </w:rPr>
        <w:t>41.43</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基本公共卫生经费在上年基础上增加支出。</w:t>
      </w:r>
    </w:p>
    <w:p>
      <w:pPr>
        <w:pStyle w:val="2"/>
        <w:jc w:val="center"/>
        <w:rPr>
          <w:rFonts w:ascii="仿宋" w:hAnsi="仿宋" w:eastAsia="仿宋"/>
          <w:sz w:val="32"/>
          <w:szCs w:val="32"/>
        </w:rPr>
      </w:pPr>
      <w:r>
        <w:rPr>
          <w:rFonts w:hint="eastAsia" w:ascii="仿宋_GB2312" w:hAnsi="Times New Roman" w:eastAsia="仿宋_GB2312" w:cs="Times New Roman"/>
          <w:kern w:val="0"/>
          <w:sz w:val="30"/>
          <w:szCs w:val="24"/>
          <w:lang w:val="en-US" w:eastAsia="zh-CN" w:bidi="ar-SA"/>
        </w:rPr>
        <w:object>
          <v:shape id="_x0000_i1029" o:spt="75" type="#_x0000_t75" style="height:226.2pt;width:427.65pt;" o:ole="t" filled="f" o:preferrelative="t" stroked="f" coordsize="21600,21600">
            <v:path/>
            <v:fill on="f" focussize="0,0"/>
            <v:stroke on="f"/>
            <v:imagedata r:id="rId18" blacklevel="0f" o:title=""/>
            <o:lock v:ext="edit" aspectratio="t"/>
            <w10:wrap type="none"/>
            <w10:anchorlock/>
          </v:shape>
          <o:OLEObject Type="Embed" ProgID="Excel.Chart.8" ShapeID="_x0000_i1029" DrawAspect="Content" ObjectID="_1468075729" r:id="rId17">
            <o:LockedField>false</o:LockedField>
          </o:OLEObject>
        </w:object>
      </w:r>
    </w:p>
    <w:p>
      <w:pPr>
        <w:spacing w:line="600" w:lineRule="exact"/>
        <w:ind w:firstLine="643"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720.46</w:t>
      </w:r>
      <w:r>
        <w:rPr>
          <w:rFonts w:hint="eastAsia" w:ascii="仿宋" w:hAnsi="仿宋" w:eastAsia="仿宋"/>
          <w:sz w:val="32"/>
          <w:szCs w:val="32"/>
        </w:rPr>
        <w:t>万元，主要用于以下方</w:t>
      </w:r>
      <w:r>
        <w:rPr>
          <w:rFonts w:hint="eastAsia" w:ascii="仿宋" w:hAnsi="仿宋" w:eastAsia="仿宋" w:cs="Times New Roman"/>
          <w:sz w:val="32"/>
          <w:szCs w:val="32"/>
        </w:rPr>
        <w:t>面:一般公共服务（类）支出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%；教育支出（类）</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%；科学技术（类）支出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%；文化旅游体育与传媒（类）支出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%；社会保障和就业（类）支出</w:t>
      </w:r>
      <w:r>
        <w:rPr>
          <w:rFonts w:hint="eastAsia" w:ascii="仿宋" w:hAnsi="仿宋" w:eastAsia="仿宋" w:cs="Times New Roman"/>
          <w:sz w:val="32"/>
          <w:szCs w:val="32"/>
          <w:lang w:val="en-US" w:eastAsia="zh-CN"/>
        </w:rPr>
        <w:t>38.89</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6.08</w:t>
      </w:r>
      <w:r>
        <w:rPr>
          <w:rFonts w:hint="eastAsia" w:ascii="仿宋" w:hAnsi="仿宋" w:eastAsia="仿宋" w:cs="Times New Roman"/>
          <w:sz w:val="32"/>
          <w:szCs w:val="32"/>
        </w:rPr>
        <w:t>%；卫生健康支出</w:t>
      </w:r>
      <w:r>
        <w:rPr>
          <w:rFonts w:hint="eastAsia" w:ascii="仿宋" w:hAnsi="仿宋" w:eastAsia="仿宋" w:cs="Times New Roman"/>
          <w:sz w:val="32"/>
          <w:szCs w:val="32"/>
          <w:lang w:val="en-US" w:eastAsia="zh-CN"/>
        </w:rPr>
        <w:t>649.65</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90.17</w:t>
      </w:r>
      <w:r>
        <w:rPr>
          <w:rFonts w:hint="eastAsia" w:ascii="仿宋" w:hAnsi="仿宋" w:eastAsia="仿宋" w:cs="Times New Roman"/>
          <w:sz w:val="32"/>
          <w:szCs w:val="32"/>
        </w:rPr>
        <w:t>%；住房保障支出</w:t>
      </w:r>
      <w:r>
        <w:rPr>
          <w:rFonts w:hint="eastAsia" w:ascii="仿宋" w:hAnsi="仿宋" w:eastAsia="仿宋" w:cs="Times New Roman"/>
          <w:sz w:val="32"/>
          <w:szCs w:val="32"/>
          <w:lang w:val="en-US" w:eastAsia="zh-CN"/>
        </w:rPr>
        <w:t>31.60</w:t>
      </w:r>
      <w:r>
        <w:rPr>
          <w:rFonts w:hint="eastAsia" w:ascii="仿宋" w:hAnsi="仿宋" w:eastAsia="仿宋" w:cs="Times New Roman"/>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3.25</w:t>
      </w:r>
      <w:r>
        <w:rPr>
          <w:rFonts w:ascii="仿宋" w:hAnsi="仿宋" w:eastAsia="仿宋"/>
          <w:sz w:val="32"/>
          <w:szCs w:val="32"/>
        </w:rPr>
        <w:t>%</w:t>
      </w:r>
      <w:r>
        <w:rPr>
          <w:rFonts w:hint="eastAsia" w:ascii="仿宋" w:hAnsi="仿宋" w:eastAsia="仿宋"/>
          <w:sz w:val="32"/>
          <w:szCs w:val="32"/>
        </w:rPr>
        <w:t>。</w:t>
      </w:r>
    </w:p>
    <w:p>
      <w:pPr>
        <w:pStyle w:val="2"/>
        <w:jc w:val="center"/>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30" o:spt="75" type="#_x0000_t75" style="height:264.35pt;width:438.4pt;" o:ole="t" filled="f" o:preferrelative="t" stroked="f" coordsize="21600,21600">
            <v:path/>
            <v:fill on="f" focussize="0,0"/>
            <v:stroke on="f"/>
            <v:imagedata r:id="rId20" blacklevel="0f" o:title=""/>
            <o:lock v:ext="edit" aspectratio="t"/>
            <w10:wrap type="none"/>
            <w10:anchorlock/>
          </v:shape>
          <o:OLEObject Type="Embed" ProgID="Excel.Chart.8" ShapeID="_x0000_i1030" DrawAspect="Content" ObjectID="_1468075730" r:id="rId19">
            <o:LockedField>false</o:LockedField>
          </o:OLEObject>
        </w:object>
      </w:r>
    </w:p>
    <w:p>
      <w:pPr>
        <w:spacing w:line="600" w:lineRule="exact"/>
        <w:ind w:firstLine="643"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pPr>
        <w:spacing w:line="600" w:lineRule="exact"/>
        <w:ind w:firstLine="643" w:firstLineChars="200"/>
        <w:outlineLvl w:val="2"/>
        <w:rPr>
          <w:rFonts w:ascii="仿宋" w:hAnsi="仿宋" w:eastAsia="仿宋"/>
          <w:sz w:val="32"/>
          <w:szCs w:val="32"/>
        </w:rPr>
      </w:pPr>
      <w:bookmarkStart w:id="45" w:name="_Toc15377444"/>
      <w:bookmarkStart w:id="46" w:name="_Toc15377213"/>
      <w:bookmarkStart w:id="47" w:name="_Toc15378460"/>
      <w:r>
        <w:rPr>
          <w:rFonts w:hint="eastAsia" w:ascii="仿宋" w:hAnsi="仿宋" w:eastAsia="仿宋"/>
          <w:b/>
          <w:sz w:val="32"/>
          <w:szCs w:val="32"/>
        </w:rPr>
        <w:t>2021年一般公共预算支出决算数为</w:t>
      </w:r>
      <w:r>
        <w:rPr>
          <w:rFonts w:hint="eastAsia" w:ascii="仿宋" w:hAnsi="仿宋" w:eastAsia="仿宋"/>
          <w:b/>
          <w:sz w:val="32"/>
          <w:szCs w:val="32"/>
          <w:lang w:val="en-US" w:eastAsia="zh-CN"/>
        </w:rPr>
        <w:t>720.14万元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45"/>
      <w:bookmarkEnd w:id="46"/>
      <w:bookmarkEnd w:id="47"/>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rPr>
        <w:t>1.社会保障和就业支出（类）行政事业单位养老支出（款）机关事业单位基本养老保险缴费支出（项）:支出决算为</w:t>
      </w:r>
      <w:r>
        <w:rPr>
          <w:rStyle w:val="14"/>
          <w:rFonts w:hint="eastAsia" w:ascii="仿宋" w:hAnsi="仿宋" w:eastAsia="仿宋" w:cs="黑体"/>
          <w:b w:val="0"/>
          <w:bCs/>
          <w:sz w:val="32"/>
          <w:szCs w:val="32"/>
          <w:lang w:val="en-US" w:eastAsia="zh-CN"/>
        </w:rPr>
        <w:t>33.48</w:t>
      </w:r>
      <w:r>
        <w:rPr>
          <w:rStyle w:val="14"/>
          <w:rFonts w:hint="eastAsia" w:ascii="仿宋" w:hAnsi="仿宋" w:eastAsia="仿宋" w:cs="黑体"/>
          <w:b w:val="0"/>
          <w:bCs/>
          <w:sz w:val="32"/>
          <w:szCs w:val="32"/>
        </w:rPr>
        <w:t>万元</w:t>
      </w:r>
      <w:r>
        <w:rPr>
          <w:rStyle w:val="14"/>
          <w:rFonts w:hint="eastAsia" w:ascii="仿宋" w:hAnsi="仿宋" w:eastAsia="仿宋" w:cs="黑体"/>
          <w:b w:val="0"/>
          <w:bCs/>
          <w:sz w:val="32"/>
          <w:szCs w:val="32"/>
          <w:lang w:eastAsia="zh-CN"/>
        </w:rPr>
        <w:t>；</w:t>
      </w:r>
      <w:r>
        <w:rPr>
          <w:rStyle w:val="14"/>
          <w:rFonts w:hint="eastAsia" w:ascii="仿宋" w:hAnsi="仿宋" w:eastAsia="仿宋" w:cs="黑体"/>
          <w:b w:val="0"/>
          <w:bCs/>
          <w:sz w:val="32"/>
          <w:szCs w:val="32"/>
        </w:rPr>
        <w:t>社会保障和就业支出（类）抚恤（款）死亡抚恤（项）</w:t>
      </w:r>
      <w:r>
        <w:rPr>
          <w:rStyle w:val="14"/>
          <w:rFonts w:hint="eastAsia" w:ascii="仿宋" w:hAnsi="仿宋" w:eastAsia="仿宋" w:cs="黑体"/>
          <w:b w:val="0"/>
          <w:bCs/>
          <w:sz w:val="32"/>
          <w:szCs w:val="32"/>
          <w:lang w:eastAsia="zh-CN"/>
        </w:rPr>
        <w:t>：</w:t>
      </w:r>
      <w:r>
        <w:rPr>
          <w:rStyle w:val="14"/>
          <w:rFonts w:hint="eastAsia" w:ascii="仿宋" w:hAnsi="仿宋" w:eastAsia="仿宋" w:cs="黑体"/>
          <w:b w:val="0"/>
          <w:bCs/>
          <w:sz w:val="32"/>
          <w:szCs w:val="32"/>
        </w:rPr>
        <w:t>支出决算为</w:t>
      </w:r>
      <w:r>
        <w:rPr>
          <w:rStyle w:val="14"/>
          <w:rFonts w:hint="eastAsia" w:ascii="仿宋" w:hAnsi="仿宋" w:eastAsia="仿宋" w:cs="黑体"/>
          <w:b w:val="0"/>
          <w:bCs/>
          <w:sz w:val="32"/>
          <w:szCs w:val="32"/>
          <w:lang w:val="en-US" w:eastAsia="zh-CN"/>
        </w:rPr>
        <w:t>1.83</w:t>
      </w:r>
      <w:r>
        <w:rPr>
          <w:rStyle w:val="14"/>
          <w:rFonts w:hint="eastAsia" w:ascii="仿宋" w:hAnsi="仿宋" w:eastAsia="仿宋" w:cs="黑体"/>
          <w:b w:val="0"/>
          <w:bCs/>
          <w:sz w:val="32"/>
          <w:szCs w:val="32"/>
        </w:rPr>
        <w:t>万元</w:t>
      </w:r>
      <w:r>
        <w:rPr>
          <w:rStyle w:val="14"/>
          <w:rFonts w:hint="eastAsia" w:ascii="仿宋" w:hAnsi="仿宋" w:eastAsia="仿宋" w:cs="黑体"/>
          <w:b w:val="0"/>
          <w:bCs/>
          <w:sz w:val="32"/>
          <w:szCs w:val="32"/>
          <w:lang w:eastAsia="zh-CN"/>
        </w:rPr>
        <w:t>；</w:t>
      </w:r>
      <w:r>
        <w:rPr>
          <w:rStyle w:val="14"/>
          <w:rFonts w:hint="eastAsia" w:ascii="仿宋" w:hAnsi="仿宋" w:eastAsia="仿宋" w:cs="黑体"/>
          <w:b w:val="0"/>
          <w:bCs/>
          <w:sz w:val="32"/>
          <w:szCs w:val="32"/>
        </w:rPr>
        <w:t>社会保障和就业支出（类）抚恤（款）伤残抚恤（项）</w:t>
      </w:r>
      <w:r>
        <w:rPr>
          <w:rStyle w:val="14"/>
          <w:rFonts w:hint="eastAsia" w:ascii="仿宋" w:hAnsi="仿宋" w:eastAsia="仿宋" w:cs="黑体"/>
          <w:b w:val="0"/>
          <w:bCs/>
          <w:sz w:val="32"/>
          <w:szCs w:val="32"/>
          <w:lang w:eastAsia="zh-CN"/>
        </w:rPr>
        <w:t>：</w:t>
      </w:r>
      <w:r>
        <w:rPr>
          <w:rStyle w:val="14"/>
          <w:rFonts w:hint="eastAsia" w:ascii="仿宋" w:hAnsi="仿宋" w:eastAsia="仿宋" w:cs="黑体"/>
          <w:b w:val="0"/>
          <w:bCs/>
          <w:sz w:val="32"/>
          <w:szCs w:val="32"/>
        </w:rPr>
        <w:t>支出决算为</w:t>
      </w:r>
      <w:r>
        <w:rPr>
          <w:rStyle w:val="14"/>
          <w:rFonts w:hint="eastAsia" w:ascii="仿宋" w:hAnsi="仿宋" w:eastAsia="仿宋" w:cs="黑体"/>
          <w:b w:val="0"/>
          <w:bCs/>
          <w:sz w:val="32"/>
          <w:szCs w:val="32"/>
          <w:lang w:val="en-US" w:eastAsia="zh-CN"/>
        </w:rPr>
        <w:t>3.58</w:t>
      </w:r>
      <w:r>
        <w:rPr>
          <w:rStyle w:val="14"/>
          <w:rFonts w:hint="eastAsia" w:ascii="仿宋" w:hAnsi="仿宋" w:eastAsia="仿宋" w:cs="黑体"/>
          <w:b w:val="0"/>
          <w:bCs/>
          <w:sz w:val="32"/>
          <w:szCs w:val="32"/>
        </w:rPr>
        <w:t>万元</w:t>
      </w:r>
      <w:r>
        <w:rPr>
          <w:rStyle w:val="14"/>
          <w:rFonts w:hint="eastAsia" w:ascii="仿宋" w:hAnsi="仿宋" w:eastAsia="仿宋" w:cs="黑体"/>
          <w:b w:val="0"/>
          <w:bCs/>
          <w:sz w:val="32"/>
          <w:szCs w:val="32"/>
          <w:lang w:eastAsia="zh-CN"/>
        </w:rPr>
        <w:t>，</w:t>
      </w:r>
      <w:r>
        <w:rPr>
          <w:rStyle w:val="14"/>
          <w:rFonts w:hint="eastAsia" w:ascii="仿宋" w:hAnsi="仿宋" w:eastAsia="仿宋" w:cs="黑体"/>
          <w:b w:val="0"/>
          <w:bCs/>
          <w:sz w:val="32"/>
          <w:szCs w:val="32"/>
        </w:rPr>
        <w:t>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rPr>
        <w:t>2.卫生健康支出（类）基层医疗卫生机构（款）乡镇卫生院（项）:支出决算为</w:t>
      </w:r>
      <w:r>
        <w:rPr>
          <w:rStyle w:val="14"/>
          <w:rFonts w:hint="eastAsia" w:ascii="仿宋" w:hAnsi="仿宋" w:eastAsia="仿宋" w:cs="黑体"/>
          <w:b w:val="0"/>
          <w:bCs/>
          <w:sz w:val="32"/>
          <w:szCs w:val="32"/>
          <w:lang w:val="en-US" w:eastAsia="zh-CN"/>
        </w:rPr>
        <w:t>407.52</w:t>
      </w:r>
      <w:r>
        <w:rPr>
          <w:rStyle w:val="14"/>
          <w:rFonts w:hint="eastAsia" w:ascii="仿宋" w:hAnsi="仿宋" w:eastAsia="仿宋" w:cs="黑体"/>
          <w:b w:val="0"/>
          <w:bCs/>
          <w:sz w:val="32"/>
          <w:szCs w:val="32"/>
        </w:rPr>
        <w:t>万元，完成预算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rPr>
        <w:t>3.卫生健康支出（类）基层医疗卫生机构（款）城市社区卫生机构（项）:支出决算为</w:t>
      </w:r>
      <w:r>
        <w:rPr>
          <w:rStyle w:val="14"/>
          <w:rFonts w:hint="eastAsia" w:ascii="仿宋" w:hAnsi="仿宋" w:eastAsia="仿宋" w:cs="黑体"/>
          <w:b w:val="0"/>
          <w:bCs/>
          <w:sz w:val="32"/>
          <w:szCs w:val="32"/>
          <w:lang w:val="en-US" w:eastAsia="zh-CN"/>
        </w:rPr>
        <w:t>389.12</w:t>
      </w:r>
      <w:r>
        <w:rPr>
          <w:rStyle w:val="14"/>
          <w:rFonts w:hint="eastAsia" w:ascii="仿宋" w:hAnsi="仿宋" w:eastAsia="仿宋" w:cs="黑体"/>
          <w:b w:val="0"/>
          <w:bCs/>
          <w:sz w:val="32"/>
          <w:szCs w:val="32"/>
        </w:rPr>
        <w:t>万元</w:t>
      </w:r>
      <w:r>
        <w:rPr>
          <w:rStyle w:val="14"/>
          <w:rFonts w:hint="eastAsia" w:ascii="仿宋" w:hAnsi="仿宋" w:eastAsia="仿宋" w:cs="黑体"/>
          <w:b w:val="0"/>
          <w:bCs/>
          <w:sz w:val="32"/>
          <w:szCs w:val="32"/>
          <w:lang w:eastAsia="zh-CN"/>
        </w:rPr>
        <w:t>；</w:t>
      </w:r>
      <w:r>
        <w:rPr>
          <w:rStyle w:val="14"/>
          <w:rFonts w:hint="eastAsia" w:ascii="仿宋" w:hAnsi="仿宋" w:eastAsia="仿宋" w:cs="黑体"/>
          <w:b w:val="0"/>
          <w:bCs/>
          <w:sz w:val="32"/>
          <w:szCs w:val="32"/>
        </w:rPr>
        <w:t>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rPr>
        <w:t>4.卫生健康支出（类）公共卫生（款）基本公共卫生服务（项）:支出决算为</w:t>
      </w:r>
      <w:r>
        <w:rPr>
          <w:rStyle w:val="14"/>
          <w:rFonts w:hint="eastAsia" w:ascii="仿宋" w:hAnsi="仿宋" w:eastAsia="仿宋" w:cs="黑体"/>
          <w:b w:val="0"/>
          <w:bCs/>
          <w:sz w:val="32"/>
          <w:szCs w:val="32"/>
          <w:lang w:val="en-US" w:eastAsia="zh-CN"/>
        </w:rPr>
        <w:t>148.45</w:t>
      </w:r>
      <w:r>
        <w:rPr>
          <w:rStyle w:val="14"/>
          <w:rFonts w:hint="eastAsia" w:ascii="仿宋" w:hAnsi="仿宋" w:eastAsia="仿宋" w:cs="黑体"/>
          <w:b w:val="0"/>
          <w:bCs/>
          <w:sz w:val="32"/>
          <w:szCs w:val="32"/>
        </w:rPr>
        <w:t>万元，完成预算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rPr>
        <w:t>5.卫生健康支出（类）公共卫生（款）重大公共卫生服务（项）:支出决算为</w:t>
      </w:r>
      <w:r>
        <w:rPr>
          <w:rStyle w:val="14"/>
          <w:rFonts w:hint="eastAsia" w:ascii="仿宋" w:hAnsi="仿宋" w:eastAsia="仿宋" w:cs="黑体"/>
          <w:b w:val="0"/>
          <w:bCs/>
          <w:sz w:val="32"/>
          <w:szCs w:val="32"/>
          <w:lang w:val="en-US" w:eastAsia="zh-CN"/>
        </w:rPr>
        <w:t>21.62</w:t>
      </w:r>
      <w:r>
        <w:rPr>
          <w:rStyle w:val="14"/>
          <w:rFonts w:hint="eastAsia" w:ascii="仿宋" w:hAnsi="仿宋" w:eastAsia="仿宋" w:cs="黑体"/>
          <w:b w:val="0"/>
          <w:bCs/>
          <w:sz w:val="32"/>
          <w:szCs w:val="32"/>
        </w:rPr>
        <w:t>万元，完成预算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rPr>
        <w:t>6.卫生健康支出（类）基层医疗卫生机构（款）其他基层医疗卫生机构支出（项）:支出决算为8.95万元；完成预算100%，决算数等于预算数。</w:t>
      </w:r>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lang w:val="en-US" w:eastAsia="zh-CN"/>
        </w:rPr>
        <w:t>7</w:t>
      </w:r>
      <w:r>
        <w:rPr>
          <w:rStyle w:val="14"/>
          <w:rFonts w:hint="eastAsia" w:ascii="仿宋" w:hAnsi="仿宋" w:eastAsia="仿宋" w:cs="黑体"/>
          <w:b w:val="0"/>
          <w:bCs/>
          <w:sz w:val="32"/>
          <w:szCs w:val="32"/>
        </w:rPr>
        <w:t>.卫生健康支出（类）行政事业单位医疗（款）事业单位医疗（项）:支出决算为</w:t>
      </w:r>
      <w:r>
        <w:rPr>
          <w:rStyle w:val="14"/>
          <w:rFonts w:hint="eastAsia" w:ascii="仿宋" w:hAnsi="仿宋" w:eastAsia="仿宋" w:cs="黑体"/>
          <w:b w:val="0"/>
          <w:bCs/>
          <w:sz w:val="32"/>
          <w:szCs w:val="32"/>
          <w:lang w:val="en-US" w:eastAsia="zh-CN"/>
        </w:rPr>
        <w:t>15.54</w:t>
      </w:r>
      <w:r>
        <w:rPr>
          <w:rStyle w:val="14"/>
          <w:rFonts w:hint="eastAsia" w:ascii="仿宋" w:hAnsi="仿宋" w:eastAsia="仿宋" w:cs="黑体"/>
          <w:b w:val="0"/>
          <w:bCs/>
          <w:sz w:val="32"/>
          <w:szCs w:val="32"/>
        </w:rPr>
        <w:t>万元，完成预算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lang w:val="en-US" w:eastAsia="zh-CN"/>
        </w:rPr>
        <w:t>8</w:t>
      </w:r>
      <w:r>
        <w:rPr>
          <w:rStyle w:val="14"/>
          <w:rFonts w:hint="eastAsia" w:ascii="仿宋" w:hAnsi="仿宋" w:eastAsia="仿宋" w:cs="黑体"/>
          <w:b w:val="0"/>
          <w:bCs/>
          <w:sz w:val="32"/>
          <w:szCs w:val="32"/>
        </w:rPr>
        <w:t>.卫生健康支出（类）行政事业单位医疗（款）公务员医疗补助（项）:支出决算为</w:t>
      </w:r>
      <w:r>
        <w:rPr>
          <w:rStyle w:val="14"/>
          <w:rFonts w:hint="eastAsia" w:ascii="仿宋" w:hAnsi="仿宋" w:eastAsia="仿宋" w:cs="黑体"/>
          <w:b w:val="0"/>
          <w:bCs/>
          <w:sz w:val="32"/>
          <w:szCs w:val="32"/>
          <w:lang w:val="en-US" w:eastAsia="zh-CN"/>
        </w:rPr>
        <w:t>4.39</w:t>
      </w:r>
      <w:r>
        <w:rPr>
          <w:rStyle w:val="14"/>
          <w:rFonts w:hint="eastAsia" w:ascii="仿宋" w:hAnsi="仿宋" w:eastAsia="仿宋" w:cs="黑体"/>
          <w:b w:val="0"/>
          <w:bCs/>
          <w:sz w:val="32"/>
          <w:szCs w:val="32"/>
        </w:rPr>
        <w:t>万元，完成预算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spacing w:line="600" w:lineRule="exact"/>
        <w:ind w:firstLine="640" w:firstLineChars="200"/>
        <w:rPr>
          <w:rStyle w:val="14"/>
          <w:rFonts w:hint="eastAsia" w:ascii="仿宋" w:hAnsi="仿宋" w:eastAsia="仿宋" w:cs="黑体"/>
          <w:b w:val="0"/>
          <w:bCs/>
          <w:sz w:val="32"/>
          <w:szCs w:val="32"/>
        </w:rPr>
      </w:pPr>
      <w:r>
        <w:rPr>
          <w:rStyle w:val="14"/>
          <w:rFonts w:hint="eastAsia" w:ascii="仿宋" w:hAnsi="仿宋" w:eastAsia="仿宋" w:cs="黑体"/>
          <w:b w:val="0"/>
          <w:bCs/>
          <w:sz w:val="32"/>
          <w:szCs w:val="32"/>
          <w:lang w:val="en-US" w:eastAsia="zh-CN"/>
        </w:rPr>
        <w:t>9</w:t>
      </w:r>
      <w:r>
        <w:rPr>
          <w:rStyle w:val="14"/>
          <w:rFonts w:hint="eastAsia" w:ascii="仿宋" w:hAnsi="仿宋" w:eastAsia="仿宋" w:cs="黑体"/>
          <w:b w:val="0"/>
          <w:bCs/>
          <w:sz w:val="32"/>
          <w:szCs w:val="32"/>
        </w:rPr>
        <w:t>.卫生健康支出（类）其他卫生健康支出（款）其他卫生健康支出（项）:支出决算为</w:t>
      </w:r>
      <w:r>
        <w:rPr>
          <w:rStyle w:val="14"/>
          <w:rFonts w:hint="eastAsia" w:ascii="仿宋" w:hAnsi="仿宋" w:eastAsia="仿宋" w:cs="黑体"/>
          <w:b w:val="0"/>
          <w:bCs/>
          <w:sz w:val="32"/>
          <w:szCs w:val="32"/>
          <w:lang w:val="en-US" w:eastAsia="zh-CN"/>
        </w:rPr>
        <w:t>61.58</w:t>
      </w:r>
      <w:r>
        <w:rPr>
          <w:rStyle w:val="14"/>
          <w:rFonts w:hint="eastAsia" w:ascii="仿宋" w:hAnsi="仿宋" w:eastAsia="仿宋" w:cs="黑体"/>
          <w:b w:val="0"/>
          <w:bCs/>
          <w:sz w:val="32"/>
          <w:szCs w:val="32"/>
        </w:rPr>
        <w:t>万元，完成预算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spacing w:line="600" w:lineRule="exact"/>
        <w:ind w:firstLine="640" w:firstLineChars="200"/>
        <w:rPr>
          <w:rFonts w:ascii="仿宋" w:hAnsi="仿宋" w:eastAsia="仿宋"/>
          <w:b/>
          <w:sz w:val="32"/>
          <w:szCs w:val="32"/>
        </w:rPr>
      </w:pPr>
      <w:r>
        <w:rPr>
          <w:rStyle w:val="14"/>
          <w:rFonts w:hint="eastAsia" w:ascii="仿宋" w:hAnsi="仿宋" w:eastAsia="仿宋" w:cs="黑体"/>
          <w:b w:val="0"/>
          <w:bCs/>
          <w:sz w:val="32"/>
          <w:szCs w:val="32"/>
          <w:lang w:val="en-US" w:eastAsia="zh-CN"/>
        </w:rPr>
        <w:t>10</w:t>
      </w:r>
      <w:r>
        <w:rPr>
          <w:rStyle w:val="14"/>
          <w:rFonts w:hint="eastAsia" w:ascii="仿宋" w:hAnsi="仿宋" w:eastAsia="仿宋" w:cs="黑体"/>
          <w:b w:val="0"/>
          <w:bCs/>
          <w:sz w:val="32"/>
          <w:szCs w:val="32"/>
        </w:rPr>
        <w:t>.住房保障支出（类）住房改革支出（款）住房公积金（项）:支出决算为</w:t>
      </w:r>
      <w:r>
        <w:rPr>
          <w:rStyle w:val="14"/>
          <w:rFonts w:hint="eastAsia" w:ascii="仿宋" w:hAnsi="仿宋" w:eastAsia="仿宋" w:cs="黑体"/>
          <w:b w:val="0"/>
          <w:bCs/>
          <w:sz w:val="32"/>
          <w:szCs w:val="32"/>
          <w:lang w:val="en-US" w:eastAsia="zh-CN"/>
        </w:rPr>
        <w:t>31.60</w:t>
      </w:r>
      <w:r>
        <w:rPr>
          <w:rStyle w:val="14"/>
          <w:rFonts w:hint="eastAsia" w:ascii="仿宋" w:hAnsi="仿宋" w:eastAsia="仿宋" w:cs="黑体"/>
          <w:b w:val="0"/>
          <w:bCs/>
          <w:sz w:val="32"/>
          <w:szCs w:val="32"/>
        </w:rPr>
        <w:t>万元，完成预算</w:t>
      </w:r>
      <w:r>
        <w:rPr>
          <w:rStyle w:val="14"/>
          <w:rFonts w:hint="eastAsia" w:ascii="仿宋" w:hAnsi="仿宋" w:eastAsia="仿宋" w:cs="黑体"/>
          <w:b w:val="0"/>
          <w:bCs/>
          <w:sz w:val="32"/>
          <w:szCs w:val="32"/>
          <w:lang w:val="en-US" w:eastAsia="zh-CN"/>
        </w:rPr>
        <w:t>100</w:t>
      </w:r>
      <w:r>
        <w:rPr>
          <w:rStyle w:val="14"/>
          <w:rFonts w:hint="eastAsia" w:ascii="仿宋" w:hAnsi="仿宋" w:eastAsia="仿宋" w:cs="黑体"/>
          <w:b w:val="0"/>
          <w:bCs/>
          <w:sz w:val="32"/>
          <w:szCs w:val="32"/>
        </w:rPr>
        <w:t>%，决算数等于预算数。</w:t>
      </w:r>
    </w:p>
    <w:p>
      <w:pPr>
        <w:tabs>
          <w:tab w:val="right" w:pos="8306"/>
        </w:tabs>
        <w:spacing w:line="600" w:lineRule="exact"/>
        <w:ind w:firstLine="640"/>
        <w:outlineLvl w:val="1"/>
        <w:rPr>
          <w:rStyle w:val="29"/>
        </w:rPr>
      </w:pPr>
      <w:bookmarkStart w:id="48" w:name="_Toc15377214"/>
      <w:bookmarkStart w:id="49" w:name="_Toc15396608"/>
      <w:bookmarkStart w:id="50" w:name="_Toc3013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8"/>
      <w:bookmarkEnd w:id="49"/>
      <w:bookmarkEnd w:id="50"/>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hint="eastAsia" w:ascii="仿宋" w:hAnsi="仿宋" w:eastAsia="仿宋"/>
          <w:sz w:val="32"/>
          <w:szCs w:val="32"/>
          <w:lang w:val="en-US" w:eastAsia="zh-CN"/>
        </w:rPr>
        <w:t>361.73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361.73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51" w:name="_Toc15377215"/>
      <w:bookmarkStart w:id="52" w:name="_Toc22225"/>
      <w:bookmarkStart w:id="53" w:name="_Toc15396609"/>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1"/>
      <w:bookmarkEnd w:id="52"/>
      <w:bookmarkEnd w:id="53"/>
    </w:p>
    <w:p>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pPr>
        <w:spacing w:line="600" w:lineRule="exact"/>
        <w:ind w:firstLine="640"/>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相比无变化</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相比无变化</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特种专业技术用车（救护车）1辆</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救护车下乡</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相比无变化</w:t>
      </w:r>
      <w:r>
        <w:rPr>
          <w:rFonts w:hint="eastAsia" w:ascii="仿宋_GB2312" w:eastAsia="仿宋_GB2312"/>
          <w:sz w:val="32"/>
          <w:szCs w:val="32"/>
        </w:rPr>
        <w:t>。其中：</w:t>
      </w:r>
    </w:p>
    <w:p>
      <w:pPr>
        <w:spacing w:line="600" w:lineRule="exact"/>
        <w:ind w:firstLine="640"/>
        <w:rPr>
          <w:rFonts w:hint="eastAsia" w:ascii="仿宋_GB2312" w:hAnsi="Times New Roman" w:eastAsia="仿宋_GB2312" w:cs="Times New Roman"/>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万元，主要用于</w:t>
      </w:r>
      <w:r>
        <w:rPr>
          <w:rFonts w:hint="eastAsia" w:ascii="仿宋_GB2312" w:hAnsi="Times New Roman" w:eastAsia="仿宋_GB2312" w:cs="Times New Roman"/>
          <w:sz w:val="32"/>
          <w:szCs w:val="32"/>
        </w:rPr>
        <w:t>接待上级部门工作检查餐费。</w:t>
      </w:r>
    </w:p>
    <w:p>
      <w:pPr>
        <w:spacing w:line="600" w:lineRule="exact"/>
        <w:ind w:firstLine="643" w:firstLineChars="200"/>
        <w:rPr>
          <w:rFonts w:hint="eastAsia" w:ascii="仿宋_GB2312" w:eastAsia="仿宋_GB2312"/>
          <w:sz w:val="32"/>
          <w:szCs w:val="32"/>
          <w:lang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9"/>
        <w:rPr>
          <w:rFonts w:ascii="黑体" w:eastAsia="黑体"/>
          <w:sz w:val="32"/>
          <w:szCs w:val="32"/>
        </w:rPr>
      </w:pPr>
      <w:bookmarkStart w:id="56" w:name="_Toc15377218"/>
      <w:bookmarkStart w:id="57" w:name="_Toc15396610"/>
    </w:p>
    <w:p>
      <w:pPr>
        <w:spacing w:line="600" w:lineRule="exact"/>
        <w:ind w:firstLine="640"/>
        <w:outlineLvl w:val="1"/>
        <w:rPr>
          <w:rStyle w:val="29"/>
          <w:rFonts w:ascii="黑体" w:hAnsi="黑体" w:eastAsia="黑体"/>
        </w:rPr>
      </w:pPr>
      <w:bookmarkStart w:id="58" w:name="_Toc1497"/>
      <w:r>
        <w:rPr>
          <w:rFonts w:hint="eastAsia" w:ascii="黑体" w:eastAsia="黑体"/>
          <w:sz w:val="32"/>
          <w:szCs w:val="32"/>
        </w:rPr>
        <w:t>八、</w:t>
      </w:r>
      <w:r>
        <w:rPr>
          <w:rStyle w:val="29"/>
          <w:rFonts w:hint="eastAsia" w:ascii="黑体" w:hAnsi="黑体" w:eastAsia="黑体"/>
          <w:b w:val="0"/>
        </w:rPr>
        <w:t>政府性基金预算支出决算情况说明</w:t>
      </w:r>
      <w:bookmarkEnd w:id="56"/>
      <w:bookmarkEnd w:id="57"/>
      <w:bookmarkEnd w:id="5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0.32</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9"/>
          <w:rFonts w:ascii="黑体" w:hAnsi="黑体" w:eastAsia="黑体"/>
          <w:b w:val="0"/>
        </w:rPr>
      </w:pPr>
      <w:bookmarkStart w:id="59" w:name="_Toc24471"/>
      <w:bookmarkStart w:id="60" w:name="_Toc15396611"/>
      <w:bookmarkStart w:id="61" w:name="_Toc15377219"/>
      <w:r>
        <w:rPr>
          <w:rStyle w:val="29"/>
          <w:rFonts w:hint="eastAsia" w:ascii="黑体" w:hAnsi="黑体" w:eastAsia="黑体"/>
          <w:b w:val="0"/>
        </w:rPr>
        <w:t>国有资本经营预算支出决算情况说明</w:t>
      </w:r>
      <w:bookmarkEnd w:id="59"/>
      <w:bookmarkEnd w:id="60"/>
      <w:bookmarkEnd w:id="6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9"/>
          <w:rFonts w:ascii="黑体" w:hAnsi="黑体" w:eastAsia="黑体"/>
          <w:b w:val="0"/>
        </w:rPr>
      </w:pPr>
      <w:bookmarkStart w:id="62" w:name="_Toc17425"/>
      <w:bookmarkStart w:id="63" w:name="_Toc15377221"/>
      <w:bookmarkStart w:id="64" w:name="_Toc15396612"/>
      <w:r>
        <w:rPr>
          <w:rStyle w:val="29"/>
          <w:rFonts w:hint="eastAsia" w:ascii="黑体" w:hAnsi="黑体" w:eastAsia="黑体"/>
          <w:b w:val="0"/>
        </w:rPr>
        <w:t>其他重要事项的情况说明</w:t>
      </w:r>
      <w:bookmarkEnd w:id="62"/>
      <w:bookmarkEnd w:id="63"/>
      <w:bookmarkEnd w:id="64"/>
    </w:p>
    <w:p>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pPr>
        <w:spacing w:line="600" w:lineRule="exact"/>
        <w:ind w:firstLine="640" w:firstLineChars="200"/>
      </w:pPr>
      <w:r>
        <w:rPr>
          <w:rFonts w:ascii="仿宋_GB2312" w:eastAsia="仿宋_GB2312"/>
          <w:sz w:val="32"/>
          <w:szCs w:val="32"/>
        </w:rPr>
        <w:t>20</w:t>
      </w:r>
      <w:r>
        <w:rPr>
          <w:rFonts w:hint="eastAsia" w:ascii="仿宋_GB2312" w:eastAsia="仿宋_GB2312"/>
          <w:sz w:val="32"/>
          <w:szCs w:val="32"/>
        </w:rPr>
        <w:t>21年，</w:t>
      </w:r>
      <w:r>
        <w:rPr>
          <w:rFonts w:hint="eastAsia" w:eastAsia="仿宋_GB2312"/>
          <w:sz w:val="32"/>
          <w:szCs w:val="32"/>
          <w:lang w:eastAsia="zh-CN"/>
        </w:rPr>
        <w:t>盐边县社区卫生服务中心</w:t>
      </w:r>
      <w:r>
        <w:rPr>
          <w:rFonts w:eastAsia="仿宋_GB2312"/>
          <w:sz w:val="32"/>
          <w:szCs w:val="32"/>
        </w:rPr>
        <w:t>机关运行经费支出</w:t>
      </w:r>
      <w:r>
        <w:rPr>
          <w:rFonts w:hint="eastAsia" w:eastAsia="仿宋_GB2312"/>
          <w:sz w:val="32"/>
          <w:szCs w:val="32"/>
          <w:lang w:val="en-US" w:eastAsia="zh-CN"/>
        </w:rPr>
        <w:t>0</w:t>
      </w:r>
      <w:r>
        <w:rPr>
          <w:rFonts w:eastAsia="仿宋_GB2312"/>
          <w:sz w:val="32"/>
          <w:szCs w:val="32"/>
        </w:rPr>
        <w:t>元</w:t>
      </w:r>
      <w:r>
        <w:rPr>
          <w:rFonts w:hint="eastAsia"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eastAsia="仿宋_GB2312"/>
          <w:sz w:val="32"/>
          <w:szCs w:val="32"/>
          <w:lang w:eastAsia="zh-CN"/>
        </w:rPr>
        <w:t>盐边县社区卫生服务中心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eastAsia="仿宋_GB2312"/>
          <w:sz w:val="32"/>
          <w:szCs w:val="32"/>
          <w:lang w:eastAsia="zh-CN"/>
        </w:rPr>
        <w:t>盐边县社区卫生服务中心</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特种专业技术用车（救护车）1辆。</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_GB2312" w:hAnsi="仿宋_GB2312" w:eastAsia="仿宋_GB2312" w:cs="仿宋_GB2312"/>
          <w:sz w:val="32"/>
          <w:szCs w:val="32"/>
          <w:lang w:val="en-US" w:eastAsia="zh-CN"/>
        </w:rPr>
        <w:t>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基本药物补助项目、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个项目开展了绩效自评，2021年特定目标类部门预算项目绩效目标自评表见附件（第四部分）。</w:t>
      </w:r>
    </w:p>
    <w:p>
      <w:pPr>
        <w:autoSpaceDE w:val="0"/>
        <w:autoSpaceDN w:val="0"/>
        <w:adjustRightInd w:val="0"/>
        <w:spacing w:line="600" w:lineRule="exact"/>
        <w:ind w:firstLine="643" w:firstLineChars="200"/>
        <w:rPr>
          <w:rFonts w:ascii="仿宋" w:hAnsi="仿宋" w:eastAsia="仿宋"/>
          <w:b/>
          <w:sz w:val="32"/>
          <w:szCs w:val="32"/>
        </w:rPr>
      </w:pP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68" w:name="_Toc15396613"/>
      <w:bookmarkStart w:id="69" w:name="_Toc15377225"/>
      <w:bookmarkStart w:id="70" w:name="_Toc3830"/>
      <w:r>
        <w:rPr>
          <w:rFonts w:hint="eastAsia" w:ascii="黑体" w:hAnsi="黑体" w:eastAsia="黑体"/>
          <w:sz w:val="44"/>
          <w:szCs w:val="44"/>
        </w:rPr>
        <w:t>名</w:t>
      </w:r>
      <w:r>
        <w:rPr>
          <w:rStyle w:val="28"/>
          <w:rFonts w:hint="eastAsia" w:ascii="黑体" w:hAnsi="黑体" w:eastAsia="黑体"/>
          <w:b w:val="0"/>
        </w:rPr>
        <w:t>词解释</w:t>
      </w:r>
      <w:bookmarkEnd w:id="68"/>
      <w:bookmarkEnd w:id="69"/>
      <w:bookmarkEnd w:id="70"/>
    </w:p>
    <w:p>
      <w:pPr>
        <w:spacing w:line="600" w:lineRule="exact"/>
        <w:jc w:val="left"/>
        <w:rPr>
          <w:rFonts w:ascii="宋体"/>
          <w:b/>
          <w:sz w:val="44"/>
          <w:szCs w:val="44"/>
        </w:rPr>
      </w:pP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w:t>
      </w:r>
      <w:r>
        <w:rPr>
          <w:rFonts w:hint="eastAsia" w:ascii="仿宋" w:hAnsi="仿宋" w:eastAsia="仿宋"/>
          <w:sz w:val="32"/>
          <w:szCs w:val="32"/>
        </w:rPr>
        <w:t>指单位取得的除上述收入以外的各项收入。</w:t>
      </w:r>
      <w:bookmarkStart w:id="104" w:name="_GoBack"/>
      <w:bookmarkEnd w:id="104"/>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社会保障和就业支出（类）行政事业单位养老支出（款）机关事业单位基本养老保险缴费支出（项）：指</w:t>
      </w:r>
      <w:r>
        <w:rPr>
          <w:rFonts w:hint="eastAsia" w:ascii="仿宋_GB2312" w:eastAsia="仿宋_GB2312"/>
          <w:sz w:val="32"/>
          <w:szCs w:val="32"/>
          <w:lang w:val="en-US" w:eastAsia="zh-CN"/>
        </w:rPr>
        <w:t>机关事业单位实施养老保险制度由单位缴纳的基本养老保险费支出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卫生健康支出（类）基层医疗卫生机构（款）乡镇卫生院（项）：指</w:t>
      </w:r>
      <w:r>
        <w:rPr>
          <w:rFonts w:hint="eastAsia" w:ascii="仿宋_GB2312" w:eastAsia="仿宋_GB2312"/>
          <w:sz w:val="32"/>
          <w:szCs w:val="32"/>
          <w:lang w:val="en-US" w:eastAsia="zh-CN"/>
        </w:rPr>
        <w:t>用于乡镇卫生院的支出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卫生健康支出（类）基层医疗卫生机构（款）其他基层医疗卫生机构支出（项）：指</w:t>
      </w:r>
      <w:r>
        <w:rPr>
          <w:rFonts w:hint="eastAsia" w:ascii="仿宋_GB2312" w:eastAsia="仿宋_GB2312"/>
          <w:sz w:val="32"/>
          <w:szCs w:val="32"/>
          <w:lang w:val="en-US" w:eastAsia="zh-CN"/>
        </w:rPr>
        <w:t>除上述项目以外的其他用于基层医疗卫生机构的支出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卫生健康支出（类）公共卫生（款）基本公共卫生服务（项）：指</w:t>
      </w:r>
      <w:r>
        <w:rPr>
          <w:rFonts w:hint="eastAsia" w:ascii="仿宋_GB2312" w:eastAsia="仿宋_GB2312"/>
          <w:sz w:val="32"/>
          <w:szCs w:val="32"/>
          <w:lang w:val="en-US" w:eastAsia="zh-CN"/>
        </w:rPr>
        <w:t>基本公共卫生服务支出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卫生健康支出（类）公共卫生（款）重大公共卫生服务（项）：指</w:t>
      </w:r>
      <w:r>
        <w:rPr>
          <w:rFonts w:hint="eastAsia" w:ascii="仿宋_GB2312" w:eastAsia="仿宋_GB2312"/>
          <w:sz w:val="32"/>
          <w:szCs w:val="32"/>
          <w:lang w:val="en-US" w:eastAsia="zh-CN"/>
        </w:rPr>
        <w:t>重大疾病、重大传染病预防控制等重大公共卫生服务项目支出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卫生健康支出（类）公共卫生（款）其他公共卫生支出（项）：指</w:t>
      </w:r>
      <w:r>
        <w:rPr>
          <w:rFonts w:hint="eastAsia" w:ascii="仿宋_GB2312" w:eastAsia="仿宋_GB2312"/>
          <w:sz w:val="32"/>
          <w:szCs w:val="32"/>
          <w:lang w:val="en-US" w:eastAsia="zh-CN"/>
        </w:rPr>
        <w:t>除上述项目以外的其他用于公共卫生方面的支出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卫生健康支出（类）行政事业单位医疗（款）事业单位医疗（项）：指</w:t>
      </w:r>
      <w:r>
        <w:rPr>
          <w:rFonts w:hint="eastAsia" w:ascii="仿宋_GB2312" w:eastAsia="仿宋_GB2312"/>
          <w:sz w:val="32"/>
          <w:szCs w:val="32"/>
          <w:lang w:val="en-US" w:eastAsia="zh-CN"/>
        </w:rPr>
        <w:t>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卫生健康支出（类）行政事业单位医疗（款）公务员医疗补助（项）：指</w:t>
      </w:r>
      <w:r>
        <w:rPr>
          <w:rFonts w:hint="eastAsia" w:ascii="仿宋_GB2312" w:eastAsia="仿宋_GB2312"/>
          <w:sz w:val="32"/>
          <w:szCs w:val="32"/>
          <w:lang w:val="en-US" w:eastAsia="zh-CN"/>
        </w:rPr>
        <w:t>财政部门安排的公务员医疗补助经费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卫生健康支出（类）其他卫生健康支出（款）其他卫生健康支出（项）：指</w:t>
      </w:r>
      <w:r>
        <w:rPr>
          <w:rFonts w:hint="eastAsia" w:ascii="仿宋_GB2312" w:eastAsia="仿宋_GB2312"/>
          <w:sz w:val="32"/>
          <w:szCs w:val="32"/>
          <w:lang w:val="en-US" w:eastAsia="zh-CN"/>
        </w:rPr>
        <w:t>除上述项目以外其他用于卫生健康方面的支出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住房保障支出（类）住房改革支出（款）住房公积金（项）：指</w:t>
      </w:r>
      <w:r>
        <w:rPr>
          <w:rFonts w:hint="eastAsia" w:ascii="仿宋_GB2312" w:eastAsia="仿宋_GB2312"/>
          <w:sz w:val="32"/>
          <w:szCs w:val="32"/>
          <w:lang w:val="en-US" w:eastAsia="zh-CN"/>
        </w:rPr>
        <w:t>行政事业单位按人力资源和社会保障部、财政部规定的基本工资和津贴补贴以及规定比例为职工缴纳的住房公积金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rPr>
      </w:pPr>
      <w:bookmarkStart w:id="71" w:name="_Toc15377226"/>
      <w:r>
        <w:rPr>
          <w:rFonts w:ascii="宋体"/>
          <w:b/>
          <w:sz w:val="44"/>
          <w:szCs w:val="44"/>
        </w:rPr>
        <w:br w:type="page"/>
      </w:r>
      <w:bookmarkStart w:id="72" w:name="_Toc7424"/>
      <w:bookmarkStart w:id="73" w:name="_Toc15396614"/>
      <w:r>
        <w:rPr>
          <w:rFonts w:hint="eastAsia" w:ascii="黑体" w:hAnsi="黑体" w:eastAsia="黑体"/>
          <w:sz w:val="44"/>
          <w:szCs w:val="44"/>
        </w:rPr>
        <w:t>第</w:t>
      </w:r>
      <w:r>
        <w:rPr>
          <w:rStyle w:val="28"/>
          <w:rFonts w:hint="eastAsia" w:ascii="黑体" w:hAnsi="黑体" w:eastAsia="黑体"/>
          <w:b w:val="0"/>
        </w:rPr>
        <w:t>四部分 附件</w:t>
      </w:r>
      <w:bookmarkEnd w:id="72"/>
      <w:bookmarkEnd w:id="73"/>
    </w:p>
    <w:p>
      <w:pPr>
        <w:spacing w:line="572" w:lineRule="exact"/>
        <w:jc w:val="left"/>
        <w:outlineLvl w:val="0"/>
        <w:rPr>
          <w:rFonts w:ascii="仿宋_GB2312" w:hAnsi="仿宋_GB2312" w:eastAsia="仿宋_GB2312" w:cs="仿宋_GB2312"/>
          <w:sz w:val="32"/>
          <w:szCs w:val="32"/>
        </w:rPr>
      </w:pPr>
      <w:bookmarkStart w:id="74" w:name="_Toc24484"/>
      <w:r>
        <w:rPr>
          <w:rFonts w:hint="eastAsia" w:ascii="黑体" w:hAnsi="黑体" w:eastAsia="黑体" w:cs="黑体"/>
          <w:sz w:val="32"/>
          <w:szCs w:val="32"/>
        </w:rPr>
        <w:t>附件</w:t>
      </w:r>
      <w:bookmarkEnd w:id="74"/>
      <w:r>
        <w:rPr>
          <w:rFonts w:hint="eastAsia" w:ascii="黑体" w:hAnsi="黑体" w:eastAsia="黑体" w:cs="黑体"/>
          <w:sz w:val="32"/>
          <w:szCs w:val="32"/>
          <w:lang w:val="en-US" w:eastAsia="zh-CN"/>
        </w:rPr>
        <w:t>1:</w:t>
      </w:r>
    </w:p>
    <w:tbl>
      <w:tblPr>
        <w:tblStyle w:val="12"/>
        <w:tblpPr w:leftFromText="180" w:rightFromText="180" w:vertAnchor="text" w:horzAnchor="page" w:tblpX="1281" w:tblpY="660"/>
        <w:tblOverlap w:val="never"/>
        <w:tblW w:w="9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6"/>
        <w:gridCol w:w="879"/>
        <w:gridCol w:w="1898"/>
        <w:gridCol w:w="982"/>
        <w:gridCol w:w="1440"/>
        <w:gridCol w:w="2568"/>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43" w:type="dxa"/>
            <w:gridSpan w:val="6"/>
            <w:tcBorders>
              <w:top w:val="nil"/>
              <w:left w:val="nil"/>
              <w:bottom w:val="nil"/>
              <w:right w:val="nil"/>
            </w:tcBorders>
            <w:vAlign w:val="center"/>
          </w:tcPr>
          <w:p>
            <w:pPr>
              <w:widowControl/>
              <w:jc w:val="center"/>
              <w:textAlignment w:val="center"/>
              <w:rPr>
                <w:rFonts w:ascii="宋体" w:hAnsi="宋体" w:cs="宋体"/>
                <w:b/>
                <w:sz w:val="32"/>
                <w:szCs w:val="32"/>
              </w:rPr>
            </w:pPr>
            <w:bookmarkStart w:id="75" w:name="_Toc15396618"/>
            <w:r>
              <w:rPr>
                <w:rFonts w:hint="eastAsia" w:ascii="宋体" w:hAnsi="宋体" w:cs="宋体"/>
                <w:b/>
                <w:sz w:val="32"/>
                <w:szCs w:val="32"/>
                <w:lang w:eastAsia="zh-CN"/>
              </w:rPr>
              <w:t>基本公共卫生服务</w:t>
            </w:r>
            <w:r>
              <w:rPr>
                <w:rFonts w:hint="eastAsia" w:ascii="宋体" w:hAnsi="宋体" w:cs="宋体"/>
                <w:b/>
                <w:sz w:val="32"/>
                <w:szCs w:val="32"/>
              </w:rPr>
              <w:t>项目绩效目标自评</w:t>
            </w:r>
          </w:p>
        </w:tc>
        <w:tc>
          <w:tcPr>
            <w:tcW w:w="236" w:type="dxa"/>
            <w:tcBorders>
              <w:top w:val="nil"/>
              <w:left w:val="nil"/>
              <w:bottom w:val="nil"/>
              <w:right w:val="nil"/>
            </w:tcBorders>
            <w:vAlign w:val="center"/>
          </w:tcPr>
          <w:p>
            <w:pPr>
              <w:widowControl/>
              <w:jc w:val="center"/>
              <w:textAlignment w:val="center"/>
              <w:rPr>
                <w:rFonts w:ascii="宋体" w:hAnsi="宋体" w:cs="宋体"/>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28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eastAsia="宋体" w:cs="宋体"/>
                <w:sz w:val="24"/>
                <w:lang w:eastAsia="zh-CN"/>
              </w:rPr>
            </w:pPr>
            <w:r>
              <w:rPr>
                <w:rFonts w:hint="eastAsia" w:ascii="宋体" w:hAnsi="宋体" w:cs="宋体"/>
                <w:sz w:val="24"/>
                <w:lang w:eastAsia="zh-CN"/>
              </w:rPr>
              <w:t>盐边县卫生健康局</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both"/>
              <w:textAlignment w:val="center"/>
              <w:rPr>
                <w:rFonts w:hint="eastAsia" w:ascii="宋体" w:hAnsi="宋体" w:eastAsia="宋体" w:cs="宋体"/>
                <w:sz w:val="24"/>
                <w:lang w:eastAsia="zh-CN"/>
              </w:rPr>
            </w:pPr>
            <w:r>
              <w:rPr>
                <w:rFonts w:hint="eastAsia" w:ascii="宋体" w:hAnsi="宋体" w:cs="宋体"/>
                <w:sz w:val="21"/>
                <w:szCs w:val="21"/>
                <w:lang w:eastAsia="zh-CN"/>
              </w:rPr>
              <w:t>盐边县社区卫生服务中心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285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eastAsia="宋体" w:cs="宋体"/>
                <w:sz w:val="24"/>
                <w:lang w:val="en-US" w:eastAsia="zh-CN"/>
              </w:rPr>
            </w:pPr>
            <w:r>
              <w:rPr>
                <w:rFonts w:hint="eastAsia" w:ascii="宋体" w:hAnsi="宋体" w:cs="宋体"/>
                <w:sz w:val="24"/>
                <w:lang w:val="en-US" w:eastAsia="zh-CN"/>
              </w:rPr>
              <w:t>148.45</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148.45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trPr>
        <w:tc>
          <w:tcPr>
            <w:tcW w:w="2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eastAsia="宋体" w:cs="宋体"/>
                <w:sz w:val="24"/>
                <w:lang w:val="en-US" w:eastAsia="zh-CN"/>
              </w:rPr>
            </w:pPr>
            <w:r>
              <w:rPr>
                <w:rFonts w:hint="eastAsia" w:ascii="宋体" w:hAnsi="宋体" w:cs="宋体"/>
                <w:sz w:val="24"/>
                <w:lang w:val="en-US" w:eastAsia="zh-CN"/>
              </w:rPr>
              <w:t>148.45</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default" w:ascii="宋体" w:hAnsi="宋体" w:eastAsia="宋体" w:cs="宋体"/>
                <w:sz w:val="24"/>
                <w:lang w:val="en-US" w:eastAsia="zh-CN"/>
              </w:rPr>
            </w:pPr>
            <w:r>
              <w:rPr>
                <w:rFonts w:hint="eastAsia" w:ascii="宋体" w:hAnsi="宋体" w:cs="宋体"/>
                <w:sz w:val="24"/>
                <w:lang w:val="en-US" w:eastAsia="zh-CN"/>
              </w:rPr>
              <w:t>148.45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2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7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40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3759"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32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 xml:space="preserve">  免费向全镇居民提供14大类48小项基本公共卫生服务。提升居民健康服务管理质量，切实为人民群众提供全方位生命周期健康服务。</w:t>
            </w:r>
          </w:p>
        </w:tc>
        <w:tc>
          <w:tcPr>
            <w:tcW w:w="4008" w:type="dxa"/>
            <w:gridSpan w:val="2"/>
            <w:tcBorders>
              <w:top w:val="single" w:color="000000" w:sz="4" w:space="0"/>
              <w:left w:val="single" w:color="000000" w:sz="4" w:space="0"/>
              <w:bottom w:val="single" w:color="000000" w:sz="4" w:space="0"/>
              <w:right w:val="single" w:color="000000" w:sz="4" w:space="0"/>
            </w:tcBorders>
            <w:vAlign w:val="top"/>
          </w:tcPr>
          <w:p>
            <w:pPr>
              <w:widowControl/>
              <w:spacing w:line="32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 xml:space="preserve">    面向全镇城乡居民免费提供健康档案管理、健康教育、慢性病管理等基本公共卫生服务。各项工作均按年初计划实施执行，基本达到预期指标。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87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完成指标</w:t>
            </w:r>
          </w:p>
        </w:tc>
        <w:tc>
          <w:tcPr>
            <w:tcW w:w="1898"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数量指标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居民健康档案管理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93%</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预防接种</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0-6岁儿童健康管理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85%</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孕产妇健康管理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85%</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老年人健康管理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70%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慢性病管理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70%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严重精神障碍患者管理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85%</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中医药健康管理率</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45%</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传染病及突发公共卫生事件报告和处理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100%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卫生计生监督协管服务</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95%</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健康教育宣传</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90%以上</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质量指标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慢性病管理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60%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严重精神障碍患者管理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85%</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肺结核患者健康管理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时效指标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项目资金按要求及时拨付</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按时完成半年、年终绩效考核</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基本公共卫生服务按月推进完成</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成本指标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公共卫生服务支出</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297.49万元</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297.49万元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效益指标</w:t>
            </w: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社会效益指标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受益群众的满意度</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满意度指标</w:t>
            </w:r>
          </w:p>
        </w:tc>
        <w:tc>
          <w:tcPr>
            <w:tcW w:w="1898"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满意度指标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重点人群满意度</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群众参与率</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95%</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群众知晓率</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95%</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r>
    </w:tbl>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spacing w:line="572" w:lineRule="exact"/>
        <w:jc w:val="left"/>
        <w:outlineLvl w:val="0"/>
        <w:rPr>
          <w:rFonts w:hint="eastAsia" w:ascii="黑体" w:hAnsi="黑体" w:eastAsia="黑体" w:cs="黑体"/>
          <w:sz w:val="32"/>
          <w:szCs w:val="32"/>
          <w:lang w:val="en-US" w:eastAsia="zh-CN"/>
        </w:rPr>
        <w:sectPr>
          <w:footerReference r:id="rId7" w:type="first"/>
          <w:footerReference r:id="rId6" w:type="default"/>
          <w:pgSz w:w="11906" w:h="16838"/>
          <w:pgMar w:top="1440" w:right="1800" w:bottom="1440" w:left="1800" w:header="851" w:footer="992" w:gutter="0"/>
          <w:pgNumType w:fmt="decimal" w:start="1"/>
          <w:cols w:space="720" w:num="1"/>
          <w:titlePg/>
          <w:docGrid w:type="lines" w:linePitch="312" w:charSpace="0"/>
        </w:sectPr>
      </w:pPr>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12"/>
        <w:tblpPr w:leftFromText="180" w:rightFromText="180" w:vertAnchor="text" w:horzAnchor="page" w:tblpX="1281" w:tblpY="660"/>
        <w:tblOverlap w:val="never"/>
        <w:tblW w:w="9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6"/>
        <w:gridCol w:w="879"/>
        <w:gridCol w:w="1898"/>
        <w:gridCol w:w="982"/>
        <w:gridCol w:w="1440"/>
        <w:gridCol w:w="2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43" w:type="dxa"/>
            <w:gridSpan w:val="6"/>
            <w:tcBorders>
              <w:top w:val="nil"/>
              <w:left w:val="nil"/>
              <w:bottom w:val="nil"/>
              <w:right w:val="nil"/>
            </w:tcBorders>
            <w:vAlign w:val="center"/>
          </w:tcPr>
          <w:p>
            <w:pPr>
              <w:widowControl/>
              <w:jc w:val="center"/>
              <w:textAlignment w:val="center"/>
              <w:rPr>
                <w:rFonts w:ascii="宋体" w:hAnsi="宋体" w:cs="宋体"/>
                <w:b/>
                <w:sz w:val="32"/>
                <w:szCs w:val="32"/>
              </w:rPr>
            </w:pPr>
            <w:r>
              <w:rPr>
                <w:rFonts w:hint="eastAsia" w:ascii="宋体" w:hAnsi="宋体" w:cs="宋体"/>
                <w:b/>
                <w:sz w:val="32"/>
                <w:szCs w:val="32"/>
                <w:lang w:eastAsia="zh-CN"/>
              </w:rPr>
              <w:t>基本药物补助项目</w:t>
            </w:r>
            <w:r>
              <w:rPr>
                <w:rFonts w:hint="eastAsia" w:ascii="宋体" w:hAnsi="宋体" w:cs="宋体"/>
                <w:b/>
                <w:sz w:val="32"/>
                <w:szCs w:val="32"/>
              </w:rPr>
              <w:t>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8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eastAsia="宋体" w:cs="宋体"/>
                <w:sz w:val="24"/>
                <w:lang w:eastAsia="zh-CN"/>
              </w:rPr>
            </w:pPr>
            <w:r>
              <w:rPr>
                <w:rFonts w:hint="eastAsia" w:ascii="宋体" w:hAnsi="宋体" w:cs="宋体"/>
                <w:sz w:val="24"/>
                <w:lang w:eastAsia="zh-CN"/>
              </w:rPr>
              <w:t>盐边县卫生健康局</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both"/>
              <w:textAlignment w:val="center"/>
              <w:rPr>
                <w:rFonts w:hint="eastAsia" w:ascii="宋体" w:hAnsi="宋体" w:eastAsia="宋体" w:cs="宋体"/>
                <w:sz w:val="24"/>
                <w:lang w:eastAsia="zh-CN"/>
              </w:rPr>
            </w:pPr>
            <w:r>
              <w:rPr>
                <w:rFonts w:hint="eastAsia" w:ascii="宋体" w:hAnsi="宋体" w:cs="宋体"/>
                <w:sz w:val="21"/>
                <w:szCs w:val="21"/>
                <w:lang w:eastAsia="zh-CN"/>
              </w:rPr>
              <w:t>盐边县社区卫生服务中心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85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9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4"/>
                <w:szCs w:val="24"/>
                <w:u w:val="none"/>
                <w:lang w:val="en-US" w:eastAsia="zh-CN" w:bidi="ar"/>
              </w:rPr>
              <w:t>8.95</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8.95</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7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40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3759"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32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 xml:space="preserve"> 保证我中心实施国家基本药物制度，推进综合改革顺利进行。支持国家基本药物制度在社区卫生服务中心顺利实施。</w:t>
            </w:r>
          </w:p>
        </w:tc>
        <w:tc>
          <w:tcPr>
            <w:tcW w:w="4008" w:type="dxa"/>
            <w:gridSpan w:val="2"/>
            <w:tcBorders>
              <w:top w:val="single" w:color="000000" w:sz="4" w:space="0"/>
              <w:left w:val="single" w:color="000000" w:sz="4" w:space="0"/>
              <w:bottom w:val="single" w:color="000000" w:sz="4" w:space="0"/>
              <w:right w:val="single" w:color="000000" w:sz="4" w:space="0"/>
            </w:tcBorders>
            <w:vAlign w:val="top"/>
          </w:tcPr>
          <w:p>
            <w:pPr>
              <w:widowControl/>
              <w:spacing w:line="32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根据《财政厅省卫生健康委 省医疗保障局 省中医药管理局关于印发基本公共卫生服务等4项补助资金管理办法的通知》（川财社[2019] 76号） 《财政厅 省卫生健康委关于提前下达2020年基本药物制度中央和省级补助资金的通知》川财社〔2019〕139号 《财政厅 省卫生健康委关于下达2020年卫生健康中央和省级补助资金（第二批）的通知》川财社〔2020〕80号等文件要求，加强国家基本药物制度补助资金管理，提高资金使用效益，确保国家基本药物制度的有效实施，推进我中心综合改革，转变医疗卫生服务模式，有效控制不合理医疗费用，增强城乡居民就诊看病的“获得感”。2020年盐边县社区卫生服务中心全面实施了国家基本药物制度，依据考核方案收到了补助资金，基本药物制度在我中心专线落地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87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完成指标</w:t>
            </w:r>
          </w:p>
        </w:tc>
        <w:tc>
          <w:tcPr>
            <w:tcW w:w="1898" w:type="dxa"/>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数量指标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社区卫生服务中心全面实施国家基本药物制度覆盖率</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Arial" w:hAnsi="Arial" w:eastAsia="仿宋_GB2312" w:cs="Arial"/>
                <w:sz w:val="28"/>
                <w:szCs w:val="28"/>
                <w:lang w:val="en-US" w:eastAsia="zh-CN"/>
              </w:rPr>
              <w:t>100%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时效指标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国家基本药物制度在我中心持续实施</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常态化工作</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成本指标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社区卫生服务中心全面实行零加价</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效益指标</w:t>
            </w:r>
          </w:p>
        </w:tc>
        <w:tc>
          <w:tcPr>
            <w:tcW w:w="18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社会效益指标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基本药物制度的实施为本单位及社区居民提供的实际便利</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保持稳定</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保持稳定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879" w:type="dxa"/>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满意度指标</w:t>
            </w:r>
          </w:p>
        </w:tc>
        <w:tc>
          <w:tcPr>
            <w:tcW w:w="1898" w:type="dxa"/>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满意度指标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辖区内群众满意度</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90%</w:t>
            </w:r>
          </w:p>
        </w:tc>
        <w:tc>
          <w:tcPr>
            <w:tcW w:w="2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97.9%</w:t>
            </w:r>
          </w:p>
        </w:tc>
      </w:tr>
    </w:tbl>
    <w:p>
      <w:pPr>
        <w:pStyle w:val="2"/>
      </w:pPr>
    </w:p>
    <w:p>
      <w:pPr>
        <w:pStyle w:val="2"/>
        <w:rPr>
          <w:rFonts w:hint="eastAsia"/>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spacing w:line="600" w:lineRule="exact"/>
        <w:jc w:val="center"/>
        <w:outlineLvl w:val="0"/>
        <w:rPr>
          <w:rFonts w:hint="eastAsia" w:ascii="黑体" w:hAnsi="黑体" w:eastAsia="黑体"/>
          <w:sz w:val="44"/>
          <w:szCs w:val="44"/>
        </w:rPr>
        <w:sectPr>
          <w:pgSz w:w="11906" w:h="16838"/>
          <w:pgMar w:top="1440" w:right="1800" w:bottom="1440" w:left="1800" w:header="851" w:footer="992" w:gutter="0"/>
          <w:pgNumType w:fmt="decimal" w:start="1"/>
          <w:cols w:space="720" w:num="1"/>
          <w:titlePg/>
          <w:docGrid w:type="lines" w:linePitch="312" w:charSpace="0"/>
        </w:sectPr>
      </w:pPr>
      <w:bookmarkStart w:id="76" w:name="_Toc26269"/>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71"/>
      <w:bookmarkEnd w:id="75"/>
      <w:bookmarkEnd w:id="76"/>
      <w:bookmarkStart w:id="77" w:name="_Toc15396619"/>
    </w:p>
    <w:p>
      <w:pPr>
        <w:pStyle w:val="4"/>
        <w:rPr>
          <w:rFonts w:ascii="仿宋" w:hAnsi="仿宋" w:eastAsia="仿宋"/>
        </w:rPr>
      </w:pPr>
      <w:bookmarkStart w:id="78" w:name="_Toc25972"/>
      <w:r>
        <w:rPr>
          <w:rFonts w:hint="eastAsia" w:ascii="仿宋" w:hAnsi="仿宋" w:eastAsia="仿宋"/>
          <w:b w:val="0"/>
        </w:rPr>
        <w:t>一、收</w:t>
      </w:r>
      <w:r>
        <w:rPr>
          <w:rStyle w:val="29"/>
          <w:rFonts w:hint="eastAsia" w:ascii="仿宋" w:hAnsi="仿宋" w:eastAsia="仿宋"/>
          <w:b w:val="0"/>
          <w:bCs w:val="0"/>
        </w:rPr>
        <w:t>入支出决算总表</w:t>
      </w:r>
      <w:bookmarkEnd w:id="77"/>
      <w:bookmarkEnd w:id="78"/>
    </w:p>
    <w:p>
      <w:pPr>
        <w:pStyle w:val="4"/>
        <w:rPr>
          <w:rFonts w:ascii="仿宋" w:hAnsi="仿宋" w:eastAsia="仿宋"/>
        </w:rPr>
      </w:pPr>
      <w:bookmarkStart w:id="79" w:name="_Toc27742"/>
      <w:bookmarkStart w:id="80" w:name="_Toc15396620"/>
      <w:r>
        <w:rPr>
          <w:rFonts w:hint="eastAsia" w:ascii="仿宋" w:hAnsi="仿宋" w:eastAsia="仿宋"/>
          <w:b w:val="0"/>
        </w:rPr>
        <w:t>二、收</w:t>
      </w:r>
      <w:r>
        <w:rPr>
          <w:rStyle w:val="29"/>
          <w:rFonts w:hint="eastAsia" w:ascii="仿宋" w:hAnsi="仿宋" w:eastAsia="仿宋"/>
          <w:b w:val="0"/>
          <w:bCs w:val="0"/>
        </w:rPr>
        <w:t>入决算表</w:t>
      </w:r>
      <w:bookmarkEnd w:id="79"/>
      <w:bookmarkEnd w:id="80"/>
    </w:p>
    <w:p>
      <w:pPr>
        <w:pStyle w:val="4"/>
        <w:rPr>
          <w:rFonts w:ascii="仿宋" w:hAnsi="仿宋" w:eastAsia="仿宋"/>
        </w:rPr>
      </w:pPr>
      <w:bookmarkStart w:id="81" w:name="_Toc15396621"/>
      <w:bookmarkStart w:id="82" w:name="_Toc20798"/>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1"/>
      <w:bookmarkEnd w:id="82"/>
    </w:p>
    <w:p>
      <w:pPr>
        <w:pStyle w:val="4"/>
        <w:rPr>
          <w:rFonts w:ascii="仿宋" w:hAnsi="仿宋" w:eastAsia="仿宋"/>
          <w:b w:val="0"/>
        </w:rPr>
      </w:pPr>
      <w:bookmarkStart w:id="83" w:name="_Toc15396622"/>
      <w:bookmarkStart w:id="84" w:name="_Toc27120"/>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3"/>
      <w:bookmarkEnd w:id="84"/>
    </w:p>
    <w:p>
      <w:pPr>
        <w:pStyle w:val="4"/>
        <w:rPr>
          <w:rStyle w:val="29"/>
          <w:rFonts w:ascii="仿宋" w:hAnsi="仿宋" w:eastAsia="仿宋"/>
          <w:b w:val="0"/>
          <w:bCs w:val="0"/>
        </w:rPr>
      </w:pPr>
      <w:bookmarkStart w:id="85" w:name="_Toc27988"/>
      <w:bookmarkStart w:id="86"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5"/>
      <w:bookmarkEnd w:id="86"/>
      <w:bookmarkStart w:id="87" w:name="_Toc15396624"/>
    </w:p>
    <w:p>
      <w:pPr>
        <w:pStyle w:val="4"/>
        <w:rPr>
          <w:rFonts w:ascii="仿宋" w:hAnsi="仿宋" w:eastAsia="仿宋"/>
        </w:rPr>
      </w:pPr>
      <w:bookmarkStart w:id="88" w:name="_Toc20587"/>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7"/>
      <w:bookmarkEnd w:id="88"/>
    </w:p>
    <w:p>
      <w:pPr>
        <w:pStyle w:val="4"/>
        <w:rPr>
          <w:rFonts w:ascii="仿宋" w:hAnsi="仿宋" w:eastAsia="仿宋"/>
        </w:rPr>
      </w:pPr>
      <w:bookmarkStart w:id="89" w:name="_Toc15396625"/>
      <w:bookmarkStart w:id="90" w:name="_Toc7758"/>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89"/>
      <w:bookmarkEnd w:id="90"/>
    </w:p>
    <w:p>
      <w:pPr>
        <w:pStyle w:val="4"/>
        <w:rPr>
          <w:rFonts w:ascii="仿宋" w:hAnsi="仿宋" w:eastAsia="仿宋"/>
        </w:rPr>
      </w:pPr>
      <w:bookmarkStart w:id="91" w:name="_Toc21088"/>
      <w:bookmarkStart w:id="92"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1"/>
      <w:bookmarkEnd w:id="92"/>
    </w:p>
    <w:p>
      <w:pPr>
        <w:pStyle w:val="4"/>
        <w:rPr>
          <w:rFonts w:ascii="仿宋" w:hAnsi="仿宋" w:eastAsia="仿宋"/>
        </w:rPr>
      </w:pPr>
      <w:bookmarkStart w:id="93" w:name="_Toc15396627"/>
      <w:bookmarkStart w:id="94" w:name="_Toc4970"/>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3"/>
      <w:bookmarkEnd w:id="94"/>
    </w:p>
    <w:p>
      <w:pPr>
        <w:pStyle w:val="4"/>
        <w:rPr>
          <w:rFonts w:ascii="仿宋" w:hAnsi="仿宋" w:eastAsia="仿宋"/>
        </w:rPr>
      </w:pPr>
      <w:bookmarkStart w:id="95" w:name="_Toc15396628"/>
      <w:bookmarkStart w:id="96" w:name="_Toc21820"/>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95"/>
      <w:bookmarkEnd w:id="96"/>
    </w:p>
    <w:p>
      <w:pPr>
        <w:pStyle w:val="4"/>
        <w:rPr>
          <w:rFonts w:ascii="仿宋" w:hAnsi="仿宋" w:eastAsia="仿宋"/>
        </w:rPr>
      </w:pPr>
      <w:bookmarkStart w:id="97" w:name="_Toc27362"/>
      <w:bookmarkStart w:id="98" w:name="_Toc15396629"/>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7"/>
      <w:bookmarkEnd w:id="98"/>
    </w:p>
    <w:p>
      <w:pPr>
        <w:pStyle w:val="4"/>
        <w:rPr>
          <w:rFonts w:ascii="仿宋" w:hAnsi="仿宋" w:eastAsia="仿宋"/>
        </w:rPr>
      </w:pPr>
      <w:bookmarkStart w:id="99" w:name="_Toc6863"/>
      <w:bookmarkStart w:id="100" w:name="_Toc15396630"/>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99"/>
      <w:bookmarkEnd w:id="100"/>
    </w:p>
    <w:p>
      <w:pPr>
        <w:pStyle w:val="4"/>
        <w:rPr>
          <w:rStyle w:val="29"/>
          <w:rFonts w:ascii="仿宋" w:hAnsi="仿宋" w:eastAsia="仿宋"/>
          <w:b w:val="0"/>
          <w:bCs w:val="0"/>
        </w:rPr>
      </w:pPr>
      <w:bookmarkStart w:id="101" w:name="_Toc15396631"/>
      <w:bookmarkStart w:id="102" w:name="_Toc29145"/>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01"/>
      <w:bookmarkEnd w:id="102"/>
    </w:p>
    <w:p>
      <w:pPr>
        <w:rPr>
          <w:rFonts w:eastAsia="仿宋"/>
        </w:rPr>
      </w:pPr>
      <w:bookmarkStart w:id="103" w:name="_Toc19449"/>
      <w:r>
        <w:rPr>
          <w:rStyle w:val="29"/>
          <w:rFonts w:hint="eastAsia" w:ascii="仿宋" w:hAnsi="仿宋" w:eastAsia="仿宋"/>
          <w:b w:val="0"/>
          <w:bCs w:val="0"/>
        </w:rPr>
        <w:t>十四、国有资本经营预算财政拨款支出决算表</w:t>
      </w:r>
      <w:bookmarkEnd w:id="103"/>
    </w:p>
    <w:sectPr>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17</w:t>
                </w:r>
                <w:r>
                  <w:fldChar w:fldCharType="end"/>
                </w:r>
              </w:p>
            </w:txbxContent>
          </v:textbox>
        </v:shape>
      </w:pic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17</w:t>
                </w:r>
                <w:r>
                  <w:fldChar w:fldCharType="end"/>
                </w:r>
              </w:p>
            </w:txbxContent>
          </v:textbox>
        </v:shape>
      </w:pic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C6F04E2"/>
    <w:multiLevelType w:val="singleLevel"/>
    <w:tmpl w:val="5C6F04E2"/>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ZkMWJhN2YyYWU1ZWRlMWQ0NzVhN2I3YjE2ZmI5YT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0F08"/>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1FEE"/>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E1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50BB"/>
    <w:rsid w:val="00F36D8F"/>
    <w:rsid w:val="00F417B1"/>
    <w:rsid w:val="00F45853"/>
    <w:rsid w:val="00F602DF"/>
    <w:rsid w:val="00F754A1"/>
    <w:rsid w:val="00F81FD9"/>
    <w:rsid w:val="00F841AA"/>
    <w:rsid w:val="00F84A94"/>
    <w:rsid w:val="00F87E96"/>
    <w:rsid w:val="00FA23E8"/>
    <w:rsid w:val="00FC22E2"/>
    <w:rsid w:val="00FD3CC1"/>
    <w:rsid w:val="00FF1E02"/>
    <w:rsid w:val="00FF30B4"/>
    <w:rsid w:val="03BA492B"/>
    <w:rsid w:val="04914F5D"/>
    <w:rsid w:val="0781725F"/>
    <w:rsid w:val="07D56CE9"/>
    <w:rsid w:val="0A2032A3"/>
    <w:rsid w:val="0AA23575"/>
    <w:rsid w:val="0B6308FC"/>
    <w:rsid w:val="0B7D714C"/>
    <w:rsid w:val="0B8A37D8"/>
    <w:rsid w:val="0C696107"/>
    <w:rsid w:val="0D06075B"/>
    <w:rsid w:val="0D4E5EA5"/>
    <w:rsid w:val="0EE84E68"/>
    <w:rsid w:val="0F59233E"/>
    <w:rsid w:val="0F5F7F75"/>
    <w:rsid w:val="10C055FF"/>
    <w:rsid w:val="118107EC"/>
    <w:rsid w:val="11DD6519"/>
    <w:rsid w:val="12E3738C"/>
    <w:rsid w:val="15307F29"/>
    <w:rsid w:val="15A96E6B"/>
    <w:rsid w:val="15E6198C"/>
    <w:rsid w:val="16BB723D"/>
    <w:rsid w:val="18015F3F"/>
    <w:rsid w:val="18C4381F"/>
    <w:rsid w:val="198F5897"/>
    <w:rsid w:val="1A7358EE"/>
    <w:rsid w:val="1B0C63A5"/>
    <w:rsid w:val="1B9A1657"/>
    <w:rsid w:val="1BE8440E"/>
    <w:rsid w:val="1C8C12EE"/>
    <w:rsid w:val="1CD21354"/>
    <w:rsid w:val="1D155CEE"/>
    <w:rsid w:val="1F0D52AF"/>
    <w:rsid w:val="1F312E28"/>
    <w:rsid w:val="20F57F95"/>
    <w:rsid w:val="22C9554D"/>
    <w:rsid w:val="230C2FED"/>
    <w:rsid w:val="23593B74"/>
    <w:rsid w:val="240371BF"/>
    <w:rsid w:val="24A0301A"/>
    <w:rsid w:val="251F4733"/>
    <w:rsid w:val="25C741E6"/>
    <w:rsid w:val="25D565A0"/>
    <w:rsid w:val="25F825E6"/>
    <w:rsid w:val="261F6C83"/>
    <w:rsid w:val="27842671"/>
    <w:rsid w:val="29FD04D3"/>
    <w:rsid w:val="2A511F92"/>
    <w:rsid w:val="2ABE7A3E"/>
    <w:rsid w:val="2CD45423"/>
    <w:rsid w:val="2D43198F"/>
    <w:rsid w:val="2D52226A"/>
    <w:rsid w:val="2E5D4ACB"/>
    <w:rsid w:val="2E872BEF"/>
    <w:rsid w:val="2EFA178C"/>
    <w:rsid w:val="2FCB6FBE"/>
    <w:rsid w:val="30B46D73"/>
    <w:rsid w:val="3106000F"/>
    <w:rsid w:val="319F7F4E"/>
    <w:rsid w:val="31B34BCA"/>
    <w:rsid w:val="32443DEB"/>
    <w:rsid w:val="330F26D0"/>
    <w:rsid w:val="337820FF"/>
    <w:rsid w:val="3415088C"/>
    <w:rsid w:val="341D31C7"/>
    <w:rsid w:val="3620001E"/>
    <w:rsid w:val="36C07327"/>
    <w:rsid w:val="377E6525"/>
    <w:rsid w:val="39AE70AB"/>
    <w:rsid w:val="39BB1242"/>
    <w:rsid w:val="3A4D7558"/>
    <w:rsid w:val="3C0C0783"/>
    <w:rsid w:val="3C3C60E0"/>
    <w:rsid w:val="3CA3541C"/>
    <w:rsid w:val="3CD62A5B"/>
    <w:rsid w:val="3D440278"/>
    <w:rsid w:val="3D464BBC"/>
    <w:rsid w:val="3F3A6425"/>
    <w:rsid w:val="3F9F3A96"/>
    <w:rsid w:val="4080549A"/>
    <w:rsid w:val="40CF45A9"/>
    <w:rsid w:val="43654FA1"/>
    <w:rsid w:val="443B107F"/>
    <w:rsid w:val="446A2C06"/>
    <w:rsid w:val="45E728E4"/>
    <w:rsid w:val="46E17376"/>
    <w:rsid w:val="47260B16"/>
    <w:rsid w:val="48161192"/>
    <w:rsid w:val="493C27E9"/>
    <w:rsid w:val="496F39ED"/>
    <w:rsid w:val="49FF41D3"/>
    <w:rsid w:val="4BE068DB"/>
    <w:rsid w:val="4BF6002B"/>
    <w:rsid w:val="4C9359B0"/>
    <w:rsid w:val="4ECE2238"/>
    <w:rsid w:val="4F9C0902"/>
    <w:rsid w:val="4FE665D9"/>
    <w:rsid w:val="50F13E0C"/>
    <w:rsid w:val="51DB4B86"/>
    <w:rsid w:val="5242269F"/>
    <w:rsid w:val="544D59CA"/>
    <w:rsid w:val="5477143A"/>
    <w:rsid w:val="55333C3E"/>
    <w:rsid w:val="553810DC"/>
    <w:rsid w:val="55846583"/>
    <w:rsid w:val="57E8423C"/>
    <w:rsid w:val="593B3146"/>
    <w:rsid w:val="594E7013"/>
    <w:rsid w:val="59E677F7"/>
    <w:rsid w:val="5AAB3F37"/>
    <w:rsid w:val="5B243716"/>
    <w:rsid w:val="5BC90AD6"/>
    <w:rsid w:val="5C086ED1"/>
    <w:rsid w:val="5D5705D7"/>
    <w:rsid w:val="5D6F79EA"/>
    <w:rsid w:val="5EA51127"/>
    <w:rsid w:val="5F1654C2"/>
    <w:rsid w:val="5FF31A77"/>
    <w:rsid w:val="60AF11AF"/>
    <w:rsid w:val="630F5E77"/>
    <w:rsid w:val="63A958E2"/>
    <w:rsid w:val="63AB78C7"/>
    <w:rsid w:val="64CA39A1"/>
    <w:rsid w:val="64F96352"/>
    <w:rsid w:val="651D4EFF"/>
    <w:rsid w:val="654D112D"/>
    <w:rsid w:val="65743C5A"/>
    <w:rsid w:val="65A27F7B"/>
    <w:rsid w:val="65B84383"/>
    <w:rsid w:val="671F43AE"/>
    <w:rsid w:val="672C7BCD"/>
    <w:rsid w:val="674B2C96"/>
    <w:rsid w:val="68E43867"/>
    <w:rsid w:val="6AE97717"/>
    <w:rsid w:val="6C4A05C8"/>
    <w:rsid w:val="6C6D508C"/>
    <w:rsid w:val="6CDC3218"/>
    <w:rsid w:val="6FA06E8A"/>
    <w:rsid w:val="71DF1D60"/>
    <w:rsid w:val="71E87DF6"/>
    <w:rsid w:val="72734D90"/>
    <w:rsid w:val="73267938"/>
    <w:rsid w:val="74FA70BA"/>
    <w:rsid w:val="77B61C04"/>
    <w:rsid w:val="79E7B28D"/>
    <w:rsid w:val="7A0400BD"/>
    <w:rsid w:val="7C011760"/>
    <w:rsid w:val="7C7236B9"/>
    <w:rsid w:val="7E954220"/>
    <w:rsid w:val="7F236F95"/>
    <w:rsid w:val="7F430BF5"/>
    <w:rsid w:val="7F530842"/>
    <w:rsid w:val="7F9F20EE"/>
    <w:rsid w:val="9E3A10E2"/>
    <w:rsid w:val="F2E1F9D4"/>
    <w:rsid w:val="F788081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List Paragraph"/>
    <w:basedOn w:val="1"/>
    <w:qFormat/>
    <w:uiPriority w:val="34"/>
    <w:pPr>
      <w:ind w:firstLine="420" w:firstLineChars="200"/>
    </w:p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19">
    <w:name w:val="TOC 标题2"/>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0">
    <w:name w:val="WPSOffice手动目录 1"/>
    <w:uiPriority w:val="0"/>
    <w:pPr>
      <w:ind w:leftChars="0"/>
    </w:pPr>
    <w:rPr>
      <w:rFonts w:ascii="Times New Roman" w:hAnsi="Times New Roman" w:eastAsia="宋体" w:cs="Times New Roman"/>
      <w:sz w:val="20"/>
      <w:szCs w:val="20"/>
      <w:lang w:val="en-US" w:eastAsia="zh-CN" w:bidi="ar-SA"/>
    </w:rPr>
  </w:style>
  <w:style w:type="paragraph" w:customStyle="1" w:styleId="21">
    <w:name w:val="WPSOffice手动目录 2"/>
    <w:uiPriority w:val="0"/>
    <w:pPr>
      <w:ind w:leftChars="200"/>
    </w:pPr>
    <w:rPr>
      <w:rFonts w:ascii="Times New Roman" w:hAnsi="Times New Roman" w:eastAsia="宋体" w:cs="Times New Roman"/>
      <w:sz w:val="20"/>
      <w:szCs w:val="20"/>
      <w:lang w:val="en-US" w:eastAsia="zh-CN" w:bidi="ar-SA"/>
    </w:rPr>
  </w:style>
  <w:style w:type="character" w:customStyle="1" w:styleId="22">
    <w:name w:val="Header Char"/>
    <w:basedOn w:val="13"/>
    <w:semiHidden/>
    <w:qFormat/>
    <w:uiPriority w:val="99"/>
    <w:rPr>
      <w:rFonts w:ascii="Times New Roman" w:hAnsi="Times New Roman"/>
      <w:sz w:val="18"/>
      <w:szCs w:val="18"/>
    </w:rPr>
  </w:style>
  <w:style w:type="character" w:customStyle="1" w:styleId="23">
    <w:name w:val="页眉 Char"/>
    <w:link w:val="9"/>
    <w:semiHidden/>
    <w:qFormat/>
    <w:locked/>
    <w:uiPriority w:val="99"/>
    <w:rPr>
      <w:sz w:val="18"/>
    </w:rPr>
  </w:style>
  <w:style w:type="character" w:customStyle="1" w:styleId="24">
    <w:name w:val="Footer Char"/>
    <w:basedOn w:val="13"/>
    <w:semiHidden/>
    <w:qFormat/>
    <w:uiPriority w:val="99"/>
    <w:rPr>
      <w:rFonts w:ascii="Times New Roman" w:hAnsi="Times New Roman"/>
      <w:sz w:val="18"/>
      <w:szCs w:val="18"/>
    </w:rPr>
  </w:style>
  <w:style w:type="character" w:customStyle="1" w:styleId="25">
    <w:name w:val="页脚 Char"/>
    <w:link w:val="8"/>
    <w:qFormat/>
    <w:locked/>
    <w:uiPriority w:val="99"/>
    <w:rPr>
      <w:sz w:val="18"/>
    </w:rPr>
  </w:style>
  <w:style w:type="character" w:customStyle="1" w:styleId="26">
    <w:name w:val="Body Text Char"/>
    <w:basedOn w:val="13"/>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character" w:customStyle="1" w:styleId="28">
    <w:name w:val="标题 1 Char"/>
    <w:basedOn w:val="13"/>
    <w:link w:val="3"/>
    <w:qFormat/>
    <w:uiPriority w:val="9"/>
    <w:rPr>
      <w:rFonts w:ascii="Times New Roman" w:hAnsi="Times New Roman"/>
      <w:b/>
      <w:bCs/>
      <w:kern w:val="44"/>
      <w:sz w:val="44"/>
      <w:szCs w:val="44"/>
    </w:rPr>
  </w:style>
  <w:style w:type="character" w:customStyle="1" w:styleId="29">
    <w:name w:val="标题 2 Char"/>
    <w:basedOn w:val="13"/>
    <w:link w:val="4"/>
    <w:qFormat/>
    <w:uiPriority w:val="9"/>
    <w:rPr>
      <w:rFonts w:ascii="Cambria" w:hAnsi="Cambria" w:eastAsia="宋体" w:cs="黑体"/>
      <w:b/>
      <w:bCs/>
      <w:kern w:val="2"/>
      <w:sz w:val="32"/>
      <w:szCs w:val="32"/>
    </w:rPr>
  </w:style>
  <w:style w:type="character" w:customStyle="1" w:styleId="30">
    <w:name w:val="批注框文本 Char"/>
    <w:basedOn w:val="13"/>
    <w:link w:val="7"/>
    <w:semiHidden/>
    <w:qFormat/>
    <w:uiPriority w:val="99"/>
    <w:rPr>
      <w:rFonts w:ascii="Times New Roman" w:hAnsi="Times New Roman"/>
      <w:kern w:val="2"/>
      <w:sz w:val="18"/>
      <w:szCs w:val="18"/>
    </w:rPr>
  </w:style>
  <w:style w:type="character" w:customStyle="1" w:styleId="31">
    <w:name w:val="标题 3 Char"/>
    <w:basedOn w:val="13"/>
    <w:link w:val="5"/>
    <w:qFormat/>
    <w:uiPriority w:val="9"/>
    <w:rPr>
      <w:rFonts w:ascii="Times New Roman" w:hAnsi="Times New Roman"/>
      <w:b/>
      <w:bCs/>
      <w:kern w:val="2"/>
      <w:sz w:val="32"/>
      <w:szCs w:val="32"/>
    </w:rPr>
  </w:style>
  <w:style w:type="character" w:customStyle="1" w:styleId="32">
    <w:name w:val="font11"/>
    <w:basedOn w:val="13"/>
    <w:qFormat/>
    <w:uiPriority w:val="0"/>
    <w:rPr>
      <w:rFonts w:hint="default" w:ascii="Times New Roman" w:hAnsi="Times New Roman" w:cs="Times New Roman"/>
      <w:color w:val="000000"/>
      <w:sz w:val="24"/>
      <w:szCs w:val="24"/>
      <w:u w:val="none"/>
    </w:rPr>
  </w:style>
  <w:style w:type="character" w:customStyle="1" w:styleId="33">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6924</Words>
  <Characters>7730</Characters>
  <Lines>44</Lines>
  <Paragraphs>12</Paragraphs>
  <TotalTime>0</TotalTime>
  <ScaleCrop>false</ScaleCrop>
  <LinksUpToDate>false</LinksUpToDate>
  <CharactersWithSpaces>7801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2022-10-07T01:09:00Z</dcterms:created>
  <dc:creator>曹颖</dc:creator>
  <cp:lastModifiedBy>卿超</cp:lastModifiedBy>
  <cp:lastPrinted>2022-08-06T02:23:00Z</cp:lastPrinted>
  <dcterms:modified xsi:type="dcterms:W3CDTF">2022-11-01T03:29:55Z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4ED74F763A494676A0E4815235DF4C26</vt:lpwstr>
  </property>
</Properties>
</file>