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盐边县司法局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政法队伍教育整顿工作经费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绩效自评报告</w:t>
      </w:r>
    </w:p>
    <w:p>
      <w:pPr>
        <w:autoSpaceDE w:val="0"/>
        <w:autoSpaceDN w:val="0"/>
        <w:adjustRightInd w:val="0"/>
        <w:spacing w:line="600" w:lineRule="exact"/>
        <w:ind w:firstLine="880" w:firstLineChars="200"/>
        <w:jc w:val="left"/>
        <w:rPr>
          <w:rFonts w:hint="eastAsia" w:ascii="黑体" w:hAnsi="黑体" w:eastAsia="黑体" w:cs="黑体"/>
          <w:sz w:val="44"/>
          <w:szCs w:val="44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一、项目概况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（一）项目基本情况</w:t>
      </w:r>
    </w:p>
    <w:p>
      <w:pPr>
        <w:spacing w:line="560" w:lineRule="exact"/>
        <w:ind w:firstLine="66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  <w:lang w:val="en-US" w:eastAsia="zh-CN"/>
        </w:rPr>
        <w:t>2021年全省开展政法队伍教育整顿工作，为保障政法队伍教育整顿工作有序推进，申请政法队伍教育整顿工作经费11.18万元。</w:t>
      </w:r>
    </w:p>
    <w:p>
      <w:pPr>
        <w:spacing w:line="560" w:lineRule="exact"/>
        <w:ind w:firstLine="640" w:firstLineChars="200"/>
        <w:rPr>
          <w:rFonts w:eastAsia="仿宋_GB2312"/>
          <w:b w:val="0"/>
          <w:bCs w:val="0"/>
          <w:sz w:val="32"/>
          <w:szCs w:val="32"/>
        </w:rPr>
      </w:pPr>
      <w:r>
        <w:rPr>
          <w:rFonts w:eastAsia="仿宋_GB2312"/>
          <w:b w:val="0"/>
          <w:bCs w:val="0"/>
          <w:sz w:val="32"/>
          <w:szCs w:val="32"/>
        </w:rPr>
        <w:t>2.项目立项、资金申报的依据。</w:t>
      </w:r>
    </w:p>
    <w:p>
      <w:pPr>
        <w:spacing w:line="560" w:lineRule="exact"/>
        <w:ind w:firstLine="640" w:firstLineChars="200"/>
        <w:jc w:val="left"/>
        <w:rPr>
          <w:rFonts w:hint="default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根据盐边县政法队伍教育整顿领导小组办公室《关于请求拨付全县政法队伍教育整顿工作经费的请示》（盐政整顿办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〔2021〕41号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），下达县政法委工作经费11.18万元。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盐边县司法局严格按照项目目标任务，资金使用方向，严格审核把关，按工作开展进度及时报送计划、支付，严格执行专款专用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/>
          <w:kern w:val="0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4.资金分配的原则及考虑因素。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>政法队伍教育整顿工作经费11.18万元，按实际工作开展需求：宣传费及办公费7.04万元，印刷费1.2万元，差旅费1.82万元，车辆运行维护费1.00万元，其他业务费0.13万元。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（二）项目绩效目标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/>
          <w:kern w:val="0"/>
          <w:sz w:val="32"/>
          <w:szCs w:val="32"/>
        </w:rPr>
        <w:t>项目主要内容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2021年全省开展政法队伍教育整顿工作，为保障政法队伍教育整顿工作有序推进，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根据盐边县政法队伍教育整顿领导小组办公室《关于请求拨付全县政法队伍教育整顿工作经费的请示》（盐政整顿办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〔2021〕41号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），下达县司法局工作经费11.18万元。</w:t>
      </w:r>
    </w:p>
    <w:p>
      <w:pPr>
        <w:spacing w:line="560" w:lineRule="exact"/>
        <w:ind w:firstLine="640" w:firstLineChars="20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盐边县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司法局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政法队伍教育整顿工作经费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及时下拨支出，</w:t>
      </w:r>
      <w:r>
        <w:rPr>
          <w:rFonts w:hint="eastAsia" w:eastAsia="仿宋_GB2312"/>
          <w:sz w:val="32"/>
          <w:szCs w:val="32"/>
          <w:lang w:eastAsia="zh-CN"/>
        </w:rPr>
        <w:t>有力保障了县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司法局</w:t>
      </w:r>
      <w:r>
        <w:rPr>
          <w:rFonts w:hint="eastAsia" w:eastAsia="仿宋_GB2312"/>
          <w:sz w:val="32"/>
          <w:szCs w:val="32"/>
          <w:lang w:eastAsia="zh-CN"/>
        </w:rPr>
        <w:t>政法队伍教育整顿的顺利开展，对提升司法局整体素质，促进司法局业务的发展具有巨大作用。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eastAsia="仿宋_GB2312"/>
          <w:sz w:val="32"/>
          <w:szCs w:val="32"/>
          <w:lang w:val="en-US" w:eastAsia="zh-CN"/>
        </w:rPr>
        <w:t>项目分析评价申报内容与实际相符，申报目标合理可行。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二、项目资金申报及使用情况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（一）项目资金申报及批复情况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根据盐边县政法队伍教育整顿领导小组办公室《关于请求拨付全县政法队伍教育整顿工作经费的请示》（盐政整顿办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〔2021〕41号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），经县政府同意，下达政法委政法队伍教育整顿工作经费11.18万元。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（二）资金计划、到位及使用情况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1.资金计划</w:t>
      </w:r>
    </w:p>
    <w:p>
      <w:pPr>
        <w:spacing w:line="560" w:lineRule="exact"/>
        <w:ind w:firstLine="66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2021年全省开展政法队伍教育整顿工作，为保障政法队伍教育整顿工作有序推进，申请政法队伍教育整顿工作经费11.18万元。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2.资金到位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2021年5月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由盐财资行【2021】174号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下达解决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盐边县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司法局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政法队伍教育整顿工作经费11.18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万元，资金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到位率100%。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3.资金使用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盐边县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司法局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政法队伍教育整顿工作经费</w:t>
      </w:r>
      <w:r>
        <w:rPr>
          <w:rFonts w:hint="eastAsia" w:eastAsia="仿宋_GB2312"/>
          <w:sz w:val="32"/>
          <w:szCs w:val="32"/>
          <w:lang w:eastAsia="zh-CN"/>
        </w:rPr>
        <w:t>到位后，县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司法局</w:t>
      </w:r>
      <w:r>
        <w:rPr>
          <w:rFonts w:hint="eastAsia" w:eastAsia="仿宋_GB2312"/>
          <w:sz w:val="32"/>
          <w:szCs w:val="32"/>
          <w:lang w:eastAsia="zh-CN"/>
        </w:rPr>
        <w:t>严格按财经纪律、财务管理等相关规定，严格审核各项支出，及时支付，专款专用，资金支付完成</w:t>
      </w:r>
      <w:r>
        <w:rPr>
          <w:rFonts w:hint="eastAsia" w:eastAsia="仿宋_GB2312"/>
          <w:sz w:val="32"/>
          <w:szCs w:val="32"/>
          <w:lang w:val="en-US" w:eastAsia="zh-CN"/>
        </w:rPr>
        <w:t>100%。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（三）项目财务管理情况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单位严格执行《行政事业单位财务管理制度》，严格按照上级要求上报专项资金使用计划，并在实施过程中做到资金专项专用。所有支出严格按照财务会计管理规定，做到专项资金使用有计划、审批有手续、支出合理规范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三、项目实施及管理情况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（一）项目组织架构及实施流程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我单位严格按照政府采购流程及报销流程，审核、把关，由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财务人员将计划录入平台后，再由县财政局进行审批后执行。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（二）项目管理情况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盐边县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司法局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政法队伍教育整顿工作经费</w:t>
      </w:r>
      <w:r>
        <w:rPr>
          <w:rFonts w:hint="eastAsia" w:eastAsia="仿宋_GB2312"/>
          <w:sz w:val="32"/>
          <w:szCs w:val="32"/>
          <w:lang w:eastAsia="zh-CN"/>
        </w:rPr>
        <w:t>支出严格按照财务管理制度执行。凭原始凭证进行审核报销，并对项目实施进度、资金支付真实性、必要性、及时性进行时时跟踪管理。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（三）项目监管情况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盐边县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司法局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政法队伍教育整顿工作经费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支出，县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司法局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严格按照财经纪律，对项目后期实施进度、项目质效进行跟踪管理。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四、项目绩效情况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（一）项目完成情况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政法队伍教育整顿开展以来，盐边县司法局始终将政法队伍教育整顿作为首要政治任务，迅速把思想和行动统一到中央和省委、市委、县委部署要求上来，局党组切实扛起全面从严管党治警的主体责任，围绕“五个过硬”要求，突出“四项任务”，狠抓“三个环节”，高标准谋划、高效率推进、高质量落实，确保教育整顿深入开展、取得实效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（二）项目效益情况</w:t>
      </w:r>
    </w:p>
    <w:p>
      <w:pPr>
        <w:pStyle w:val="3"/>
        <w:spacing w:line="576" w:lineRule="exact"/>
        <w:ind w:firstLine="640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r>
        <w:rPr>
          <w:rFonts w:hint="eastAsia" w:ascii="仿宋_GB2312" w:hAnsi="Times New Roman" w:eastAsia="仿宋_GB2312" w:cs="Times New Roman"/>
          <w:sz w:val="32"/>
          <w:szCs w:val="32"/>
        </w:rPr>
        <w:t>盐边县司法局将持续总结教育整顿中暴露的突出问题，探索队伍建设、司法执法的全面从严管党治警制度机制，通过加强干部队伍思政教育和专业培训，进一步增强“四个意识”、坚定“四个自信”、做到“两个维护”，筑牢忠诚干净担当政治本色的思想基础；继续探索“我为群众办实事”常态化工作机制，通过持续开展“遵法评理会”建设、率先探索行政裁决和人民调解购买服务试点工作、全覆盖开通基层司法所“远程探视”平台，继续拓展司法便民、利民各项举措，坚持以奋发有为、昂扬向上的精神状态，将“我为群众办实事”实践活动开展得有声有色，不断提高人民群众的获得感和满意度，以实际行动推动我县司法行政系统队伍教育整顿工作深入开展、抓出成效。</w:t>
      </w:r>
    </w:p>
    <w:bookmarkEnd w:id="0"/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五、评价结论及建议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（一）评价结论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该项目的及时、完整实施，</w:t>
      </w:r>
      <w:r>
        <w:rPr>
          <w:rFonts w:hint="eastAsia" w:eastAsia="仿宋_GB2312"/>
          <w:sz w:val="32"/>
          <w:szCs w:val="32"/>
          <w:lang w:eastAsia="zh-CN"/>
        </w:rPr>
        <w:t>有力保障了县司法局政法队伍教育整顿的顺利开展，对提升司法局整体素质，促进司法局业务的发展具有巨大作用。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项目执行率100%，满意度100%。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（二）存在的问题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（三）相关建议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1.加强预算管理，细化项目管理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编年年度预算时，在进行调查研究的基础上，充分论证项目立项的必要性、经济型、绩效目标合理性、实施方案可行性，项目实施达到预期效果，发挥最大效益。认真细化方案，明确责任人，做好各项支出绩效目标执行中的控制挂不努力，确保资金对应绩效目标执行，强化项目管理，确保项目按计划推进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2.严格人员管理，提高绩效目标管理水平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加强财务人员培训，熟练掌握预算编制和预算执行等各项政策，严格遵守各项财经纪律，不断提高业务能力，不断提高绩效目标管理水平。</w:t>
      </w:r>
    </w:p>
    <w:p/>
    <w:sectPr>
      <w:pgSz w:w="12240" w:h="15840"/>
      <w:pgMar w:top="1440" w:right="1463" w:bottom="1440" w:left="146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76C02"/>
    <w:rsid w:val="00E50031"/>
    <w:rsid w:val="023C6B06"/>
    <w:rsid w:val="02F31C5D"/>
    <w:rsid w:val="0834121B"/>
    <w:rsid w:val="0EA22A71"/>
    <w:rsid w:val="132A0266"/>
    <w:rsid w:val="1429758C"/>
    <w:rsid w:val="148A6357"/>
    <w:rsid w:val="14A00925"/>
    <w:rsid w:val="187538A8"/>
    <w:rsid w:val="19E7032A"/>
    <w:rsid w:val="1A0F075E"/>
    <w:rsid w:val="1D8242BF"/>
    <w:rsid w:val="1E334E75"/>
    <w:rsid w:val="1F6D1574"/>
    <w:rsid w:val="26BA3466"/>
    <w:rsid w:val="26C73258"/>
    <w:rsid w:val="281614CF"/>
    <w:rsid w:val="28B413F8"/>
    <w:rsid w:val="2D001580"/>
    <w:rsid w:val="2E07054A"/>
    <w:rsid w:val="2F7846CD"/>
    <w:rsid w:val="2F971D6C"/>
    <w:rsid w:val="30160024"/>
    <w:rsid w:val="324032D0"/>
    <w:rsid w:val="32AA67B4"/>
    <w:rsid w:val="33F40163"/>
    <w:rsid w:val="3B5D65EE"/>
    <w:rsid w:val="3E9720C8"/>
    <w:rsid w:val="3F7D71E4"/>
    <w:rsid w:val="40522882"/>
    <w:rsid w:val="471D1E55"/>
    <w:rsid w:val="471F4BB5"/>
    <w:rsid w:val="489F4C9D"/>
    <w:rsid w:val="48BE3E2F"/>
    <w:rsid w:val="498B1310"/>
    <w:rsid w:val="4D923D11"/>
    <w:rsid w:val="4E90497B"/>
    <w:rsid w:val="52E727E3"/>
    <w:rsid w:val="537F024E"/>
    <w:rsid w:val="53F716D5"/>
    <w:rsid w:val="5524518F"/>
    <w:rsid w:val="563342D4"/>
    <w:rsid w:val="58580813"/>
    <w:rsid w:val="608162CB"/>
    <w:rsid w:val="62627BF0"/>
    <w:rsid w:val="698E4187"/>
    <w:rsid w:val="69D76C02"/>
    <w:rsid w:val="6AEE7933"/>
    <w:rsid w:val="6EE4299A"/>
    <w:rsid w:val="6EF61732"/>
    <w:rsid w:val="70A414F7"/>
    <w:rsid w:val="721E0A11"/>
    <w:rsid w:val="74D81160"/>
    <w:rsid w:val="75A5081F"/>
    <w:rsid w:val="77EC792C"/>
    <w:rsid w:val="7BEC4627"/>
    <w:rsid w:val="7D9864FB"/>
    <w:rsid w:val="7EBB7F00"/>
    <w:rsid w:val="7EE60427"/>
    <w:rsid w:val="7EF405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2022-05-06T08:27:00Z</dcterms:created>
  <dc:creator>Owner</dc:creator>
  <cp:lastModifiedBy>Administrator</cp:lastModifiedBy>
  <dcterms:modified xsi:type="dcterms:W3CDTF">2022-05-27T08:15:18Z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