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left"/>
        <w:rPr>
          <w:rFonts w:eastAsia="方正小标宋简体"/>
          <w:color w:val="000000"/>
          <w:kern w:val="0"/>
          <w:sz w:val="44"/>
          <w:szCs w:val="44"/>
          <w:lang w:val="en-US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  <w:t>盐边县就业创业促进中心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  <w:t>2021年中央就业创业补助资金绩效自评报告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1.说明项目主管部门（单位）在该项目管理中的职能。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该项目实施单位为盐边县就业创业促进中心，项目名称为：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2021年中央就业创业补助资金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。该项目实施内容为：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了其他各类群体，发挥政策执行部门、用人单位促进就业、稳定就业的主动性，调动城乡劳动者提升能力、主动就业、积极创业的积极性，促进了城乡劳动者的平等就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。资金该笔项目资金主要按照定向转移支付模式进行分配管理，根据本地实际统筹安排使用，全额用于就业创业领域最急需、最迫切的项目，确保资金落实到位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依据川财社【2021】44号对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2021年中央就业创业补助资金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等文件要求，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2021年中央就业创业补助资金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共计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580000元。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该笔项目资金的管理，依据盐边财政关于项目资金的使用要求进行资金管理，专款专用，及时用于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就业创业领域最急需、最迫切的项目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川财社【2021】44号文件要求及该工作实际情况，提高城乡劳动者提升能力、主动就业、积极创业的积极性，促进城乡劳动者的平等就业。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1.项目主要内容。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了其他各类群体，发挥政策执行部门、用人单位促进就业、稳定就业的主动性，调动城乡劳动者提升能力、主动就业、积极创业的积极性，促进了城乡劳动者的平等就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2.项目应实现的具体绩效目标，包括目标的量化、细化情况以及项目实施进度计划等。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项目应实现的具体绩效目标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其他各类群体，发挥政策执行部门、用人单位促进就业、稳定就业的主动性，调动城乡劳动者提升能力、主动就业、积极创业的积极性，促进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。年终决算时，纳入项目支出的资金共计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580000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3.分析评价申报内容是否与实际相符，申报目标是否合理可行。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分析评价申报内容与实际相符，申报目标合理可行。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川财社【2021】44号文件要求</w:t>
      </w:r>
      <w:r>
        <w:rPr>
          <w:rFonts w:hint="eastAsia" w:eastAsia="仿宋_GB2312"/>
          <w:color w:val="0000FF"/>
          <w:sz w:val="32"/>
          <w:szCs w:val="32"/>
          <w:lang w:val="en-US" w:eastAsia="zh-CN"/>
        </w:rPr>
        <w:t>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2021年11月县财政局拨付资金。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（二）资金计划、到位及使用情况。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1.资金计划。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川财社【2021】44号文件要求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，县级财政拨付该笔专项资金。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2.资金到位。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2021年11月，该笔项目资金由县财政局拨付至财政大平台。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3.资金使用。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我中心于2021年11-12</w:t>
      </w:r>
      <w:bookmarkStart w:id="0" w:name="_GoBack"/>
      <w:bookmarkEnd w:id="0"/>
      <w:r>
        <w:rPr>
          <w:rFonts w:hint="eastAsia" w:eastAsia="仿宋_GB2312"/>
          <w:color w:val="auto"/>
          <w:sz w:val="32"/>
          <w:szCs w:val="32"/>
          <w:lang w:val="en-US" w:eastAsia="zh-CN"/>
        </w:rPr>
        <w:t>月，通过财政大平台逐次逐笔拨付，以直接支付方式支付。依据资金使用申报流程，申报该项目支出的用款计划，并将该笔资金以直接支付方式全额划转，资金划转安全、及时、规范，资金支付合规合法、与预算相符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（三）项目财务管理情况。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我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（一）项目组织架构及实施流程。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1" o:spid="_x0000_s1026" style="position:absolute;left:0;margin-left:192.5pt;margin-top:18.65pt;height:0.05pt;width:84.75pt;rotation:0f;z-index:251658240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eastAsia="zh-CN"/>
        </w:rPr>
        <w:t>财务室：资金使用申报</w: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    财政局：资金审批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2" o:spid="_x0000_s1027" style="position:absolute;left:0;margin-left:315.5pt;margin-top:1.9pt;height:56.25pt;width:1.5pt;rotation:0f;z-index:251659264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6" o:spid="_x0000_s1028" style="position:absolute;left:0;flip:x;margin-left:175.55pt;margin-top:18.2pt;height:0.05pt;width:66.75pt;rotation:0f;z-index:251660288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银行：支付          财政局：直接支付划转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依据川财社【2021】44号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对2021年中央就业创业补助资金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等文件要求，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2021年11月该笔项目资金由县财政局拨付至大平台，依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据资金使用申报流程，申报该项目支出的用款计划，并将该笔资金以直接支付方式支付，资金划转安全、及时、规范，资金支付合规合法、与预算相符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（三）项目监管情况。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四、项目绩效情况</w:t>
      </w:r>
      <w:r>
        <w:rPr>
          <w:rFonts w:eastAsia="黑体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了各项就业创业的政策，重点支持了就业困难人员、建档立卡贫困劳动力、大学生、退役军人、农民工等群体就业创业，同时兼顾了其他各类群体，发挥政策执行部门、用人单位促进就业、稳定就业的主动性，调动了城乡劳动者提升能力、主动就业、积极创业的积极性，促进了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（二）项目效益情况。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发挥政策执行部门、用人单位促进就业、稳定就业的主动性，调动了城乡劳动者提升能力、主动就业、积极创业的积极性，促进了城乡劳动者的平等就业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经初步评价，我中心</w:t>
      </w:r>
      <w:r>
        <w:rPr>
          <w:rFonts w:eastAsia="仿宋_GB2312"/>
          <w:color w:val="auto"/>
          <w:sz w:val="32"/>
          <w:szCs w:val="32"/>
        </w:rPr>
        <w:t>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专项</w:t>
      </w:r>
      <w:r>
        <w:rPr>
          <w:rFonts w:eastAsia="仿宋_GB2312"/>
          <w:color w:val="auto"/>
          <w:sz w:val="32"/>
          <w:szCs w:val="32"/>
        </w:rPr>
        <w:t>资金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2021年中央就业创业补助资金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，项目资金申报与项目实际相符；资金支出时间节点较为及时，不存在截留挪用专项资金的违规情况；资金支出按程序审批，合法、合规；资金使用目标明确，受益群体满意度较高，全面达到预期目标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未在受益群众中全面、全覆盖组织开展满意度调查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主要原因为：该项工作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受益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对象基数大，覆盖人数较多，涉及地域较广，安排全覆盖满意度专项调查较为困难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在每一次下乡工作中，积极进行该工作的满意度调查，扩大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满意度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调查的覆盖率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仿宋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287" w:usb1="080E0000" w:usb2="00000010" w:usb3="00000000" w:csb0="0004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Plain Text"/>
    <w:uiPriority w:val="0"/>
    <w:rPr>
      <w:rFonts w:ascii="宋体" w:hAnsi="Courier New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1083</Characters>
  <Lines>9</Lines>
  <Paragraphs>2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hp3330</cp:lastModifiedBy>
  <dcterms:modified xsi:type="dcterms:W3CDTF">2022-05-20T05:38:12Z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ICV">
    <vt:lpwstr>7A6F0BFEA6F04BD4834EC0714B41E695</vt:lpwstr>
  </property>
</Properties>
</file>