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left"/>
        <w:rPr>
          <w:rFonts w:eastAsia="方正小标宋简体"/>
          <w:color w:val="000000"/>
          <w:kern w:val="0"/>
          <w:sz w:val="44"/>
          <w:szCs w:val="44"/>
          <w:lang w:val="en-US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  <w:t>盐边县就业创业促进中心</w:t>
      </w:r>
    </w:p>
    <w:p>
      <w:pPr>
        <w:spacing w:line="640" w:lineRule="exact"/>
        <w:jc w:val="center"/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  <w:t>2020年度中央和省级财政就业创业补助资金</w:t>
      </w:r>
    </w:p>
    <w:p>
      <w:pPr>
        <w:spacing w:line="640" w:lineRule="exact"/>
        <w:jc w:val="center"/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_GBK"/>
          <w:kern w:val="2"/>
          <w:sz w:val="36"/>
          <w:szCs w:val="36"/>
          <w:lang w:val="en-US" w:eastAsia="zh-CN" w:bidi="ar-SA"/>
        </w:rPr>
        <w:t>(中央308万省级63万）绩效自评报告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1.说明项目主管部门（单位）在该项目管理中的职能。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该项目实施单位为盐边县就业创业促进中心，项目名称为：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2020年度中央和省级财政就业创业补助资金(中央308万省级63万）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。该项目实施内容为：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了其他各类群体，发挥政策执行部门、用人单位促进就业、稳定就业的主动性，调动城乡劳动者提升能力、主动就业、积极创业的积极性，促进了城乡劳动者的平等就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。资金该笔项目资金主要按照定向转移支付模式进行分配管理，根据本地实际统筹安排使用，全额用于就业创业领域最急需、最迫切的项目，确保资金落实到位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2.项目立项、资金申报的依据。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依据川财社【2019】121号对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2020年度中央和省级财政就业创业补助资金(中央308万省级63万）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等文件要求，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2021年中央和省级财政就业创业补助资金（上年结转和结余）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共计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117440元。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该笔项目资金的管理，依据盐边财政关于项目资金的使用要求进行资金管理，专款专用，及时用于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就业创业领域最急需、最迫切的项目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川财社【2019】121号文件要求及该工作实际情况，提高城乡劳动者提升能力、主动就业、积极创业的积极性，促进城乡劳动者的平等就业。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1.项目主要内容。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了其他各类群体，发挥政策执行部门、用人单位促进就业、稳定就业的主动性，调动城乡劳动者提升能力、主动就业、积极创业的积极性，促进了城乡劳动者的平等就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2.项目应实现的具体绩效目标，包括目标的量化、细化情况以及项目实施进度计划等。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项目应实现的具体绩效目标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重点支持就业困难人员、建档立卡贫困劳动力、大学生、退役军人、农民工等群体就业创业，同时兼顾其他各类群体，发挥政策执行部门、用人单位促进就业、稳定就业的主动性，调动城乡劳动者提升能力、主动就业、积极创业的积极性，促进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。年终决算时，纳入项目支出的资金共计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117440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3.分析评价申报内容是否与实际相符，申报目标是否合理可行。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分析评价申报内容与实际相符，申报目标合理可行。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川财社【2019】121号文件要求</w:t>
      </w:r>
      <w:r>
        <w:rPr>
          <w:rFonts w:hint="eastAsia" w:eastAsia="仿宋_GB2312"/>
          <w:color w:val="0000FF"/>
          <w:sz w:val="32"/>
          <w:szCs w:val="32"/>
          <w:lang w:val="en-US" w:eastAsia="zh-CN"/>
        </w:rPr>
        <w:t>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2021年11月县财政局拨付资金。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（二）资金计划、到位及使用情况。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1.资金计划。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川财社【2019】121号文件要求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，县级财政拨付该笔专项资金。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2.资金到位。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2021年11月，该笔项目资金由县财政局拨付至财政大平台。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3.资金使用。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我中心于2021年11月，通过财政大平台逐次拨付，通过直接支付方式支付至受补贴的人员本人账户。依据资金使用申报流程，申报该项目支出的用款计划，并将该笔资金以直接支付方式全额划转，资金划转安全、及时、规范，资金支付合规合法、与预算相符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（三）项目财务管理情况。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我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中心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（一）项目组织架构及实施流程。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1" o:spid="_x0000_s1026" style="position:absolute;left:0;margin-left:192.5pt;margin-top:18.65pt;height:0.05pt;width:84.75pt;rotation:0f;z-index:251658240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eastAsia="zh-CN"/>
        </w:rPr>
        <w:t>财务室：资金使用申报</w: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    财政局：资金审批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2" o:spid="_x0000_s1027" style="position:absolute;left:0;margin-left:315.5pt;margin-top:1.9pt;height:56.25pt;width:1.5pt;rotation:0f;z-index:251659264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箭头 6" o:spid="_x0000_s1028" style="position:absolute;left:0;flip:x;margin-left:175.55pt;margin-top:18.2pt;height:0.05pt;width:66.75pt;rotation:0f;z-index:251660288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eastAsia="楷体_GB2312"/>
          <w:sz w:val="32"/>
          <w:szCs w:val="32"/>
          <w:lang w:val="en-US" w:eastAsia="zh-CN"/>
        </w:rPr>
        <w:t xml:space="preserve">       银行：支付          财政局：直接支付划转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（二）项目管理情况。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依据川财社【2019】121号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对22020年度中央和省级财政就业创业补助资金(中央308万省级63万）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等文件要求，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落实各项就业创业的政策，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2021年11月该笔项目资金由县财政局拨付至大平台，依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据资金使用申报流程，申报该项目支出的用款计划，并将该笔资金以直接支付方式逐笔支付至受补贴的人员本人账户，资金划转安全、及时、规范，资金支付合规合法、与预算相符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（三）项目监管情况。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《行政事业单位财务管理制度》等财务管理制度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权限管理规范，内控较为严谨，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账务处理及时，会计核算规范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，该笔项目资金从申报到支付，均严格遵守资金使用流程，专款专用，依法依规进行全流程、精细化管理，确保资金安全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四、项目绩效情况</w:t>
      </w:r>
      <w:r>
        <w:rPr>
          <w:rFonts w:eastAsia="黑体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（一）项目完成情况。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落实了各项就业创业的政策，重点支持了就业困难人员、建档立卡贫困劳动力、大学生、退役军人、农民工等群体就业创业，同时兼顾了其他各类群体，发挥政策执行部门、用人单位促进就业、稳定就业的主动性，调动了城乡劳动者提升能力、主动就业、积极创业的积极性，促进了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（二）项目效益情况。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发挥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政策执行部门、用人单位促进就业、稳定就业的主动性，调动了城乡劳动者提升能力、主动就业、积极创业的积极性，促进了城乡劳动者的平等就业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经初步评价，我中心</w:t>
      </w:r>
      <w:r>
        <w:rPr>
          <w:rFonts w:eastAsia="仿宋_GB2312"/>
          <w:color w:val="auto"/>
          <w:sz w:val="32"/>
          <w:szCs w:val="32"/>
        </w:rPr>
        <w:t>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专项</w:t>
      </w:r>
      <w:r>
        <w:rPr>
          <w:rFonts w:eastAsia="仿宋_GB2312"/>
          <w:color w:val="auto"/>
          <w:sz w:val="32"/>
          <w:szCs w:val="32"/>
        </w:rPr>
        <w:t>资金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2021年中央和省级财政就业创业补助资金（中央）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，项目资金申报与项目实际相符；资金支出时间节点较为及时，不存在截留挪用专项资金的违规情况；资金支出按程序审批，合法、合规；资金使用目标明确，受益群体满意度较高，全面达到预期目标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未在受益群众中全面、全覆盖组织开展满意度调查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主要原因为：该项工作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受益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对象基数大，覆盖人数较多，涉及地域较广，安排全覆盖满意度专项调查较为困难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（三）相关建议。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在每一次下乡工作中，积极进行该工作的满意度调查，扩大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满意度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调查的覆盖率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仿宋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287" w:usb1="080E0000" w:usb2="00000010" w:usb3="00000000" w:csb0="0004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Plain Text"/>
    <w:uiPriority w:val="0"/>
    <w:rPr>
      <w:rFonts w:ascii="宋体" w:hAnsi="Courier New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1083</Characters>
  <Lines>9</Lines>
  <Paragraphs>2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hp3330</cp:lastModifiedBy>
  <dcterms:modified xsi:type="dcterms:W3CDTF">2022-05-20T03:51:01Z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  <property fmtid="{D5CDD505-2E9C-101B-9397-08002B2CF9AE}" pid="3" name="ICV">
    <vt:lpwstr>7A6F0BFEA6F04BD4834EC0714B41E695</vt:lpwstr>
  </property>
</Properties>
</file>