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40" w:lineRule="exact"/>
        <w:jc w:val="center"/>
        <w:rPr>
          <w:rFonts w:hint="eastAsia" w:eastAsia="方正小标宋_GBK"/>
          <w:sz w:val="44"/>
          <w:szCs w:val="44"/>
          <w:lang w:eastAsia="zh-CN"/>
        </w:rPr>
      </w:pPr>
      <w:r>
        <w:rPr>
          <w:rFonts w:hint="eastAsia" w:eastAsia="方正小标宋_GBK"/>
          <w:sz w:val="44"/>
          <w:szCs w:val="44"/>
          <w:lang w:eastAsia="zh-CN"/>
        </w:rPr>
        <w:t>盐边县统计局</w:t>
      </w:r>
    </w:p>
    <w:p>
      <w:pPr>
        <w:spacing w:line="640" w:lineRule="exact"/>
        <w:jc w:val="center"/>
        <w:rPr>
          <w:rFonts w:eastAsia="方正小标宋_GBK"/>
          <w:sz w:val="44"/>
          <w:szCs w:val="44"/>
        </w:rPr>
      </w:pPr>
      <w:r>
        <w:rPr>
          <w:rFonts w:eastAsia="方正小标宋_GBK"/>
          <w:sz w:val="44"/>
          <w:szCs w:val="44"/>
        </w:rPr>
        <w:t>专项（</w:t>
      </w:r>
      <w:r>
        <w:rPr>
          <w:rFonts w:hint="eastAsia" w:eastAsia="方正小标宋_GBK"/>
          <w:sz w:val="44"/>
          <w:szCs w:val="44"/>
          <w:lang w:eastAsia="zh-CN"/>
        </w:rPr>
        <w:t>劳动力调查</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盐边县统计局劳动力调查</w:t>
      </w:r>
      <w:r>
        <w:rPr>
          <w:rFonts w:eastAsia="方正楷体_GBK"/>
          <w:b/>
          <w:sz w:val="32"/>
          <w:szCs w:val="32"/>
        </w:rPr>
        <w:t>项目）</w:t>
      </w:r>
    </w:p>
    <w:p>
      <w:pPr>
        <w:spacing w:line="600" w:lineRule="exact"/>
        <w:rPr>
          <w:sz w:val="32"/>
          <w:szCs w:val="32"/>
          <w:lang w:val="zh-CN"/>
        </w:rPr>
      </w:pP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eastAsia="黑体"/>
          <w:sz w:val="32"/>
          <w:szCs w:val="32"/>
        </w:rPr>
        <w:t>一、</w:t>
      </w:r>
      <w:r>
        <w:rPr>
          <w:rFonts w:ascii="Times New Roman" w:hAnsi="Times New Roman" w:eastAsia="方正仿宋_GBK" w:cstheme="minorBidi"/>
          <w:b/>
          <w:kern w:val="2"/>
          <w:sz w:val="32"/>
          <w:szCs w:val="32"/>
          <w:lang w:val="en-US" w:eastAsia="zh-CN" w:bidi="ar-SA"/>
        </w:rPr>
        <w:t>项目概况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Times New Roman" w:hAnsi="Times New Roman" w:eastAsia="方正仿宋_GBK" w:cstheme="minorBidi"/>
          <w:b/>
          <w:kern w:val="2"/>
          <w:sz w:val="32"/>
          <w:szCs w:val="32"/>
          <w:lang w:val="en-US" w:eastAsia="zh-CN" w:bidi="ar-SA"/>
        </w:rPr>
        <w:t>（一）项目基本情况。</w:t>
      </w:r>
    </w:p>
    <w:p>
      <w:p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县</w:t>
      </w:r>
      <w:r>
        <w:rPr>
          <w:rFonts w:hint="eastAsia" w:ascii="Times New Roman" w:hAnsi="Times New Roman" w:eastAsia="方正仿宋_GBK"/>
          <w:sz w:val="32"/>
          <w:szCs w:val="32"/>
          <w:lang w:eastAsia="zh-CN"/>
        </w:rPr>
        <w:t>统计</w:t>
      </w:r>
      <w:r>
        <w:rPr>
          <w:rFonts w:ascii="Times New Roman" w:hAnsi="Times New Roman" w:eastAsia="方正仿宋_GBK"/>
          <w:sz w:val="32"/>
          <w:szCs w:val="32"/>
        </w:rPr>
        <w:t>局是项目监督管理的实施主体，</w:t>
      </w:r>
      <w:r>
        <w:rPr>
          <w:rFonts w:hint="eastAsia" w:ascii="Times New Roman" w:hAnsi="Times New Roman" w:eastAsia="方正仿宋_GBK"/>
          <w:sz w:val="32"/>
          <w:szCs w:val="32"/>
          <w:lang w:val="en-US" w:eastAsia="zh-CN"/>
        </w:rPr>
        <w:t>负</w:t>
      </w:r>
      <w:bookmarkStart w:id="0" w:name="_GoBack"/>
      <w:bookmarkEnd w:id="0"/>
      <w:r>
        <w:rPr>
          <w:rFonts w:hint="eastAsia" w:ascii="Times New Roman" w:hAnsi="Times New Roman" w:eastAsia="方正仿宋_GBK"/>
          <w:sz w:val="32"/>
          <w:szCs w:val="32"/>
          <w:lang w:val="en-US" w:eastAsia="zh-CN"/>
        </w:rPr>
        <w:t>责全县</w:t>
      </w:r>
      <w:r>
        <w:rPr>
          <w:rFonts w:hint="eastAsia" w:eastAsia="方正仿宋_GBK"/>
          <w:sz w:val="32"/>
          <w:szCs w:val="32"/>
          <w:lang w:val="en-US" w:eastAsia="zh-CN"/>
        </w:rPr>
        <w:t>劳动力</w:t>
      </w:r>
      <w:r>
        <w:rPr>
          <w:rFonts w:hint="eastAsia" w:ascii="Times New Roman" w:hAnsi="Times New Roman" w:eastAsia="方正仿宋_GBK"/>
          <w:sz w:val="32"/>
          <w:szCs w:val="32"/>
          <w:lang w:val="en-US" w:eastAsia="zh-CN"/>
        </w:rPr>
        <w:t>调查的基础数据采集，并对原始分户数据的真实性、准确性、完整性、上报及时性负责。</w:t>
      </w:r>
    </w:p>
    <w:p>
      <w:pPr>
        <w:numPr>
          <w:ilvl w:val="0"/>
          <w:numId w:val="0"/>
        </w:numPr>
        <w:spacing w:line="560" w:lineRule="exact"/>
        <w:ind w:firstLine="640"/>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方正仿宋_GBK"/>
          <w:sz w:val="32"/>
          <w:szCs w:val="32"/>
          <w:lang w:val="en-US" w:eastAsia="zh-CN"/>
        </w:rPr>
        <w:t>该项目根据《四川省人民政府办公厅关于加强劳动力调查工作的通知》（川办函〔2021〕4号，此件为密件）以及《攀枝花市人民政府办公室关于加强劳动力调查工作的通知》（攀办发〔2021〕75 号）文件要求强化经费保障，调查所需资金主要由地方政府予以保障。</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3.根据《国务院办公厅关于建立劳动力调查制度的通知》（国办发[2004]72号）《全国劳动力调查制度》和《攀枝花市劳动力调查工作制度》的相关要求制定资金管理办法、资金支持项目条件、范围、方式等。</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4.该项目的资金直接拨付辅助调查员，按照工作职责、盐边县当地的物价及消费水平进行资金分配。</w:t>
      </w:r>
    </w:p>
    <w:p>
      <w:pPr>
        <w:spacing w:line="560" w:lineRule="exact"/>
        <w:ind w:firstLine="640" w:firstLineChars="200"/>
        <w:rPr>
          <w:rFonts w:eastAsia="仿宋_GB2312"/>
          <w:sz w:val="32"/>
          <w:szCs w:val="32"/>
        </w:rPr>
      </w:pPr>
      <w:r>
        <w:rPr>
          <w:rFonts w:ascii="Times New Roman" w:hAnsi="Times New Roman" w:eastAsia="方正仿宋_GBK" w:cstheme="minorBidi"/>
          <w:b/>
          <w:kern w:val="2"/>
          <w:sz w:val="32"/>
          <w:szCs w:val="32"/>
          <w:lang w:val="en-US" w:eastAsia="zh-CN" w:bidi="ar-SA"/>
        </w:rPr>
        <w:t>（二）项目绩效目标。</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方正仿宋_GBK"/>
          <w:sz w:val="32"/>
          <w:szCs w:val="32"/>
          <w:lang w:val="en-US" w:eastAsia="zh-CN"/>
        </w:rPr>
        <w:t xml:space="preserve">    </w:t>
      </w:r>
      <w:r>
        <w:rPr>
          <w:rFonts w:hint="eastAsia" w:ascii="Times New Roman" w:hAnsi="Times New Roman" w:eastAsia="方正仿宋_GBK"/>
          <w:sz w:val="32"/>
          <w:szCs w:val="32"/>
          <w:lang w:val="en-US" w:eastAsia="zh-CN"/>
        </w:rPr>
        <w:t>该项目属国家常规统计调查工作，每月10日零时，入户登记国家抽取的16个调查户样本。月度劳动力调查将及时、准确地反映我县城乡劳动力资源、就业和失业人口状况，包括总量、结构、分布等各个方面，为政府准确判断当前就业形势，制定和调整就业政策，改善宏观调控，加强就业服务提供有力的数据支撑。</w:t>
      </w:r>
    </w:p>
    <w:p>
      <w:pPr>
        <w:numPr>
          <w:ilvl w:val="0"/>
          <w:numId w:val="0"/>
        </w:numPr>
        <w:spacing w:line="560" w:lineRule="exact"/>
        <w:rPr>
          <w:rFonts w:eastAsia="仿宋_GB2312"/>
          <w:color w:val="FF0000"/>
          <w:kern w:val="0"/>
          <w:sz w:val="32"/>
          <w:szCs w:val="32"/>
        </w:rPr>
      </w:pPr>
      <w:r>
        <w:rPr>
          <w:rFonts w:hint="eastAsia" w:eastAsia="方正仿宋_GBK"/>
          <w:sz w:val="32"/>
          <w:szCs w:val="32"/>
          <w:lang w:val="en-US" w:eastAsia="zh-CN"/>
        </w:rPr>
        <w:t xml:space="preserve">    </w:t>
      </w:r>
      <w:r>
        <w:rPr>
          <w:rFonts w:hint="eastAsia" w:ascii="Times New Roman" w:hAnsi="Times New Roman" w:eastAsia="方正仿宋_GBK"/>
          <w:sz w:val="32"/>
          <w:szCs w:val="32"/>
          <w:lang w:val="en-US" w:eastAsia="zh-CN"/>
        </w:rPr>
        <w:t>按照《攀枝花市人民政府办公室关于加强劳动力调查工作的通知》要求，我县调查点涉及5个乡镇，7个村（居）委会，每个（居）委会每月抽取调查16户，共112户，每个抽中村（居）委会聘辅助调查员1名，具体承担调查任务。</w:t>
      </w:r>
    </w:p>
    <w:p>
      <w:pPr>
        <w:pStyle w:val="8"/>
        <w:spacing w:line="560" w:lineRule="exact"/>
        <w:ind w:firstLine="634" w:firstLineChars="198"/>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申报内容与实际相符，申报目标合理可行。</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二、项目资金申报及使用情况</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（一）项目资金申报及批复情况。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eastAsia="方正仿宋_GBK"/>
          <w:sz w:val="32"/>
          <w:szCs w:val="32"/>
          <w:lang w:val="en-US" w:eastAsia="zh-CN"/>
        </w:rPr>
        <w:t>根据</w:t>
      </w:r>
      <w:r>
        <w:rPr>
          <w:rFonts w:hint="eastAsia" w:ascii="Times New Roman" w:hAnsi="Times New Roman" w:eastAsia="方正仿宋_GBK"/>
          <w:sz w:val="32"/>
          <w:szCs w:val="32"/>
          <w:lang w:val="en-US" w:eastAsia="zh-CN"/>
        </w:rPr>
        <w:t>《四川省人民政府办公厅关于加强劳动力调查工作的通知》（川办函〔2021〕4号，此件为密件）以及《攀枝花市人民政府办公室关于加强劳动力调查工作的通知》（攀办发〔2021〕75 号）文件</w:t>
      </w:r>
      <w:r>
        <w:rPr>
          <w:rFonts w:hint="eastAsia" w:eastAsia="方正仿宋_GBK"/>
          <w:sz w:val="32"/>
          <w:szCs w:val="32"/>
          <w:lang w:val="en-US" w:eastAsia="zh-CN"/>
        </w:rPr>
        <w:t>的</w:t>
      </w:r>
      <w:r>
        <w:rPr>
          <w:rFonts w:hint="eastAsia" w:ascii="Times New Roman" w:hAnsi="Times New Roman" w:eastAsia="方正仿宋_GBK" w:cs="Times New Roman"/>
          <w:kern w:val="2"/>
          <w:sz w:val="32"/>
          <w:szCs w:val="32"/>
          <w:lang w:val="en-US" w:eastAsia="zh-CN" w:bidi="ar-SA"/>
        </w:rPr>
        <w:t>相关要求，共下达资金</w:t>
      </w:r>
      <w:r>
        <w:rPr>
          <w:rFonts w:hint="eastAsia" w:eastAsia="方正仿宋_GBK" w:cs="Times New Roman"/>
          <w:kern w:val="2"/>
          <w:sz w:val="32"/>
          <w:szCs w:val="32"/>
          <w:lang w:val="en-US" w:eastAsia="zh-CN" w:bidi="ar-SA"/>
        </w:rPr>
        <w:t>2.29</w:t>
      </w:r>
      <w:r>
        <w:rPr>
          <w:rFonts w:hint="eastAsia" w:ascii="Times New Roman" w:hAnsi="Times New Roman" w:eastAsia="方正仿宋_GBK" w:cs="Times New Roman"/>
          <w:kern w:val="2"/>
          <w:sz w:val="32"/>
          <w:szCs w:val="32"/>
          <w:lang w:val="en-US" w:eastAsia="zh-CN" w:bidi="ar-SA"/>
        </w:rPr>
        <w:t>万元。</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（二）资金计划、到位及使用情况。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该项目计划资金</w:t>
      </w:r>
      <w:r>
        <w:rPr>
          <w:rFonts w:hint="eastAsia" w:eastAsia="方正仿宋_GBK" w:cs="Times New Roman"/>
          <w:kern w:val="2"/>
          <w:sz w:val="32"/>
          <w:szCs w:val="32"/>
          <w:lang w:val="en-US" w:eastAsia="zh-CN" w:bidi="ar-SA"/>
        </w:rPr>
        <w:t>2.29</w:t>
      </w:r>
      <w:r>
        <w:rPr>
          <w:rFonts w:hint="eastAsia" w:ascii="Times New Roman" w:hAnsi="Times New Roman" w:eastAsia="方正仿宋_GBK" w:cs="Times New Roman"/>
          <w:kern w:val="2"/>
          <w:sz w:val="32"/>
          <w:szCs w:val="32"/>
          <w:lang w:val="en-US" w:eastAsia="zh-CN" w:bidi="ar-SA"/>
        </w:rPr>
        <w:t>万元，到位资金</w:t>
      </w:r>
      <w:r>
        <w:rPr>
          <w:rFonts w:hint="eastAsia" w:eastAsia="方正仿宋_GBK" w:cs="Times New Roman"/>
          <w:kern w:val="2"/>
          <w:sz w:val="32"/>
          <w:szCs w:val="32"/>
          <w:lang w:val="en-US" w:eastAsia="zh-CN" w:bidi="ar-SA"/>
        </w:rPr>
        <w:t>2.29</w:t>
      </w:r>
      <w:r>
        <w:rPr>
          <w:rFonts w:hint="eastAsia" w:ascii="Times New Roman" w:hAnsi="Times New Roman" w:eastAsia="方正仿宋_GBK" w:cs="Times New Roman"/>
          <w:kern w:val="2"/>
          <w:sz w:val="32"/>
          <w:szCs w:val="32"/>
          <w:lang w:val="en-US" w:eastAsia="zh-CN" w:bidi="ar-SA"/>
        </w:rPr>
        <w:t>万元，全部是本级财政资金，到位率100%。资金的使用严格按照批复的《盐边县统计局关于请求解决202</w:t>
      </w:r>
      <w:r>
        <w:rPr>
          <w:rFonts w:hint="eastAsia"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年</w:t>
      </w:r>
      <w:r>
        <w:rPr>
          <w:rFonts w:hint="eastAsia" w:eastAsia="方正仿宋_GBK" w:cs="Times New Roman"/>
          <w:kern w:val="2"/>
          <w:sz w:val="32"/>
          <w:szCs w:val="32"/>
          <w:lang w:val="en-US" w:eastAsia="zh-CN" w:bidi="ar-SA"/>
        </w:rPr>
        <w:t>劳动力</w:t>
      </w:r>
      <w:r>
        <w:rPr>
          <w:rFonts w:hint="eastAsia" w:ascii="Times New Roman" w:hAnsi="Times New Roman" w:eastAsia="方正仿宋_GBK" w:cs="Times New Roman"/>
          <w:kern w:val="2"/>
          <w:sz w:val="32"/>
          <w:szCs w:val="32"/>
          <w:lang w:val="en-US" w:eastAsia="zh-CN" w:bidi="ar-SA"/>
        </w:rPr>
        <w:t>调查相关经费的</w:t>
      </w:r>
      <w:r>
        <w:rPr>
          <w:rFonts w:hint="eastAsia" w:eastAsia="方正仿宋_GBK" w:cs="Times New Roman"/>
          <w:kern w:val="2"/>
          <w:sz w:val="32"/>
          <w:szCs w:val="32"/>
          <w:lang w:val="en-US" w:eastAsia="zh-CN" w:bidi="ar-SA"/>
        </w:rPr>
        <w:t>请示</w:t>
      </w:r>
      <w:r>
        <w:rPr>
          <w:rFonts w:hint="eastAsia" w:ascii="Times New Roman" w:hAnsi="Times New Roman" w:eastAsia="方正仿宋_GBK" w:cs="Times New Roman"/>
          <w:kern w:val="2"/>
          <w:sz w:val="32"/>
          <w:szCs w:val="32"/>
          <w:lang w:val="en-US" w:eastAsia="zh-CN" w:bidi="ar-SA"/>
        </w:rPr>
        <w:t>》中所列资金支付范围、支付标准进行</w:t>
      </w:r>
      <w:r>
        <w:rPr>
          <w:rFonts w:hint="eastAsia" w:ascii="方正仿宋_GBK" w:hAnsi="仿宋" w:eastAsia="方正仿宋_GBK"/>
          <w:sz w:val="32"/>
          <w:szCs w:val="32"/>
          <w:lang w:bidi="ar"/>
        </w:rPr>
        <w:t>。</w:t>
      </w:r>
      <w:r>
        <w:rPr>
          <w:rFonts w:hint="eastAsia" w:ascii="Times New Roman" w:hAnsi="Times New Roman" w:eastAsia="方正仿宋_GBK" w:cs="Times New Roman"/>
          <w:kern w:val="2"/>
          <w:sz w:val="32"/>
          <w:szCs w:val="32"/>
          <w:lang w:val="en-US" w:eastAsia="zh-CN" w:bidi="ar-SA"/>
        </w:rPr>
        <w:t>以银行直接转账方式支付辅助调查员</w:t>
      </w:r>
      <w:r>
        <w:rPr>
          <w:rFonts w:hint="eastAsia" w:eastAsia="方正仿宋_GBK" w:cs="Times New Roman"/>
          <w:kern w:val="2"/>
          <w:sz w:val="32"/>
          <w:szCs w:val="32"/>
          <w:lang w:val="en-US" w:eastAsia="zh-CN" w:bidi="ar-SA"/>
        </w:rPr>
        <w:t>劳务费及</w:t>
      </w:r>
      <w:r>
        <w:rPr>
          <w:rFonts w:hint="eastAsia" w:ascii="Times New Roman" w:hAnsi="Times New Roman" w:eastAsia="方正仿宋_GBK" w:cs="Times New Roman"/>
          <w:kern w:val="2"/>
          <w:sz w:val="32"/>
          <w:szCs w:val="32"/>
          <w:lang w:val="en-US" w:eastAsia="zh-CN" w:bidi="ar-SA"/>
        </w:rPr>
        <w:t>相关费用。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（三）项目财务管理情况。</w:t>
      </w:r>
    </w:p>
    <w:p>
      <w:pPr>
        <w:spacing w:line="560" w:lineRule="exact"/>
        <w:ind w:firstLine="640" w:firstLineChars="200"/>
        <w:rPr>
          <w:rFonts w:eastAsia="仿宋_GB2312"/>
          <w:sz w:val="32"/>
          <w:szCs w:val="32"/>
        </w:rPr>
      </w:pPr>
      <w:r>
        <w:rPr>
          <w:rFonts w:hint="eastAsia" w:ascii="方正仿宋_GBK" w:hAnsi="仿宋" w:eastAsia="方正仿宋_GBK"/>
          <w:sz w:val="32"/>
          <w:szCs w:val="32"/>
        </w:rPr>
        <w:t>一是</w:t>
      </w:r>
      <w:r>
        <w:rPr>
          <w:rFonts w:hint="eastAsia" w:ascii="方正仿宋_GBK" w:hAnsi="仿宋" w:eastAsia="方正仿宋_GBK" w:cs="宋体"/>
          <w:color w:val="000000"/>
          <w:kern w:val="0"/>
          <w:sz w:val="32"/>
          <w:szCs w:val="32"/>
          <w:shd w:val="clear" w:color="auto" w:fill="FFFFFF"/>
          <w:lang w:bidi="ar"/>
        </w:rPr>
        <w:t>建立健全了专项经费管理制度，</w:t>
      </w:r>
      <w:r>
        <w:rPr>
          <w:rFonts w:hint="eastAsia" w:ascii="方正仿宋_GBK" w:hAnsi="仿宋" w:eastAsia="方正仿宋_GBK"/>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度，单位所有专项经费支出都必须先拟定明细，说明理由并报经分管财务副局长，经审批后方能执行。同时大笔专项经费支出必须经局党组研究决定。禁止铺张浪费、杜绝挪用和截留，并强化事后跟踪监督。三是</w:t>
      </w:r>
      <w:r>
        <w:rPr>
          <w:rFonts w:hint="eastAsia" w:ascii="方正仿宋_GBK" w:hAnsi="仿宋" w:eastAsia="方正仿宋_GBK"/>
          <w:sz w:val="32"/>
          <w:szCs w:val="32"/>
          <w:lang w:bidi="ar"/>
        </w:rPr>
        <w:t>严格执行项目有关制度规定，做到专款专用，无挪用和截留现象。支出合理，没有列支与项目内容无关的费用。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三、项目实施及管理情况</w:t>
      </w:r>
    </w:p>
    <w:p>
      <w:pPr>
        <w:adjustRightInd w:val="0"/>
        <w:snapToGrid w:val="0"/>
        <w:spacing w:line="560" w:lineRule="exact"/>
        <w:ind w:firstLine="72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rPr>
        <w:t>按照相关法律法规及《劳动力调查制度》《攀枝花市月度劳动力调查工作制度》推进相关工作。一是夯实基础。202</w:t>
      </w: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年，把劳动力调查基础工作作为重要工作来抓，从实地陪访、入户和电话回访、宣传情况两方面入手，以高标准、严要求夯实常规调查工作基础。二是建立数据质量核查抽查回访制度及制度执行情况；建立抽查回访台账；做到随报随审，强化全流程质量控制。组织专业人员1人专门负责劳动力调查工作，严格执行《盐边县月度劳动力调查工作调查员考核管理实施办法(试行)》，数据质量与调查员补助挂钩。将乡镇对劳动力调查工作的支持和配合力度纳入统计工作目标考核。</w:t>
      </w:r>
    </w:p>
    <w:p>
      <w:pPr>
        <w:numPr>
          <w:ilvl w:val="0"/>
          <w:numId w:val="0"/>
        </w:numPr>
        <w:spacing w:line="560" w:lineRule="exact"/>
        <w:rPr>
          <w:rFonts w:eastAsia="黑体"/>
          <w:sz w:val="32"/>
          <w:szCs w:val="32"/>
        </w:rPr>
      </w:pPr>
      <w:r>
        <w:rPr>
          <w:rFonts w:hint="eastAsia" w:eastAsia="仿宋_GB2312"/>
          <w:color w:val="FF0000"/>
          <w:sz w:val="32"/>
          <w:szCs w:val="32"/>
          <w:lang w:val="en-US" w:eastAsia="zh-CN"/>
        </w:rPr>
        <w:t xml:space="preserve">  </w:t>
      </w:r>
      <w:r>
        <w:rPr>
          <w:rFonts w:hint="eastAsia" w:ascii="Times New Roman" w:hAnsi="Times New Roman" w:eastAsia="方正仿宋_GBK" w:cstheme="minorBidi"/>
          <w:b/>
          <w:kern w:val="2"/>
          <w:sz w:val="32"/>
          <w:szCs w:val="32"/>
          <w:lang w:val="en-US" w:eastAsia="zh-CN" w:bidi="ar-SA"/>
        </w:rPr>
        <w:t xml:space="preserve">  </w:t>
      </w:r>
      <w:r>
        <w:rPr>
          <w:rFonts w:ascii="Times New Roman" w:hAnsi="Times New Roman" w:eastAsia="方正仿宋_GBK" w:cstheme="minorBidi"/>
          <w:b/>
          <w:kern w:val="2"/>
          <w:sz w:val="32"/>
          <w:szCs w:val="32"/>
          <w:lang w:val="en-US" w:eastAsia="zh-CN" w:bidi="ar-SA"/>
        </w:rPr>
        <w:t>四、项目绩效情况</w:t>
      </w:r>
      <w:r>
        <w:rPr>
          <w:rFonts w:ascii="Times New Roman" w:hAnsi="Times New Roman" w:eastAsia="方正仿宋_GBK" w:cstheme="minorBidi"/>
          <w:b/>
          <w:kern w:val="2"/>
          <w:sz w:val="32"/>
          <w:szCs w:val="32"/>
          <w:lang w:val="en-US" w:eastAsia="zh-CN" w:bidi="ar-SA"/>
        </w:rPr>
        <w:tab/>
      </w:r>
    </w:p>
    <w:p>
      <w:pPr>
        <w:autoSpaceDE w:val="0"/>
        <w:autoSpaceDN w:val="0"/>
        <w:adjustRightInd w:val="0"/>
        <w:spacing w:line="600" w:lineRule="exact"/>
        <w:jc w:val="left"/>
        <w:rPr>
          <w:rFonts w:hint="eastAsia" w:ascii="方正仿宋_GBK" w:hAnsi="仿宋" w:eastAsia="方正仿宋_GBK"/>
          <w:sz w:val="32"/>
          <w:szCs w:val="32"/>
          <w:lang w:val="en-US" w:eastAsia="zh-CN" w:bidi="ar"/>
        </w:rPr>
      </w:pPr>
      <w:r>
        <w:rPr>
          <w:rFonts w:hint="eastAsia" w:eastAsia="楷体_GB2312"/>
          <w:color w:val="FF0000"/>
          <w:kern w:val="0"/>
          <w:sz w:val="32"/>
          <w:szCs w:val="32"/>
          <w:lang w:val="en-US" w:eastAsia="zh-CN"/>
        </w:rPr>
        <w:t xml:space="preserve">   </w:t>
      </w:r>
      <w:r>
        <w:rPr>
          <w:rFonts w:ascii="Times New Roman" w:hAnsi="Times New Roman" w:eastAsia="方正仿宋_GBK" w:cstheme="minorBidi"/>
          <w:b/>
          <w:kern w:val="2"/>
          <w:sz w:val="32"/>
          <w:szCs w:val="32"/>
          <w:lang w:val="en-US" w:eastAsia="zh-CN" w:bidi="ar-SA"/>
        </w:rPr>
        <w:t>（一）项目完成情况。</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2021年盐边县被国家统计局四川调查总队评为全省劳动力调查工作先进县。</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1.工作保障情况。县统计局明确1名分管领导，安排业务股1名工作人员兼职负责，聘8名调查员具体承担调查任务。抽中调查乡镇高度重视，明确1名乡镇分管领导和1名工作人员，8名调查员均为社区工作人员，其中中共党员5名。</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2.调查员培训和管理情况。县统计局开展集中培训2次/年，现场培训14次/年，电话和视频培训168次/年，不存在未经培训的人员承担调查任务的情况；调查员责任心强、业务素质高、稳定性强，其对关键指标理解正确，少有错误。建立并执行了《盐边县月度劳动力调查工作调查员考核管理实施办法(试行)》，以此考核和激励调查员。</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3.宣传工作情况。按要求张贴发放国家统计局统一印制的劳动力调查公告、《致调查户的一封信》和入户宣传小礼品；在盐边融媒官方微信上宣传劳动力调查工作，悬挂宣传标语7条，利用村村响广播广泛宣传劳动力调查相关知识。</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（二）项目效益情况。</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eastAsia="方正仿宋_GBK"/>
          <w:sz w:val="32"/>
          <w:szCs w:val="32"/>
        </w:rPr>
        <w:t>劳动力调查及时、准确地反映我县城乡劳动力资源、就业和失业人口状况，包括总量、结构、分布等各个方面，为政府准确判断当前就业形势，制定和调整就业政策，改善宏观调控，加强就业服务提供有力的数据支撑。</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五、评价结论及建议</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（一）评价结论</w:t>
      </w:r>
      <w:r>
        <w:rPr>
          <w:rFonts w:eastAsia="楷体_GB2312"/>
          <w:sz w:val="32"/>
          <w:szCs w:val="32"/>
        </w:rPr>
        <w:t>。</w:t>
      </w:r>
    </w:p>
    <w:p>
      <w:pPr>
        <w:spacing w:line="560" w:lineRule="exact"/>
        <w:ind w:firstLine="640" w:firstLineChars="200"/>
        <w:rPr>
          <w:rFonts w:eastAsia="仿宋_GB2312"/>
          <w:sz w:val="32"/>
          <w:szCs w:val="32"/>
        </w:rPr>
      </w:pPr>
      <w:r>
        <w:rPr>
          <w:rFonts w:hint="eastAsia" w:ascii="方正仿宋_GBK" w:hAnsi="仿宋" w:eastAsia="方正仿宋_GBK"/>
          <w:sz w:val="32"/>
          <w:szCs w:val="32"/>
          <w:lang w:bidi="ar"/>
        </w:rPr>
        <w:t>本年度专项工作经费管理规范，按计划圆满完成了各项工作目标，该项工作总体较满意。</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（二）存在的问题。</w:t>
      </w:r>
    </w:p>
    <w:p>
      <w:pPr>
        <w:spacing w:line="360" w:lineRule="auto"/>
        <w:ind w:firstLine="640" w:firstLineChars="200"/>
        <w:rPr>
          <w:rFonts w:hint="eastAsia" w:ascii="方正仿宋_GBK" w:hAnsi="方正黑体_GBK" w:eastAsia="方正仿宋_GBK" w:cs="方正黑体_GBK"/>
          <w:color w:val="333333"/>
          <w:kern w:val="0"/>
          <w:sz w:val="32"/>
          <w:szCs w:val="32"/>
          <w:shd w:val="clear" w:color="auto" w:fill="FFFFFF"/>
        </w:rPr>
      </w:pPr>
      <w:r>
        <w:rPr>
          <w:rFonts w:hint="eastAsia" w:ascii="方正仿宋_GBK" w:hAnsi="方正黑体_GBK" w:eastAsia="方正仿宋_GBK" w:cs="方正黑体_GBK"/>
          <w:color w:val="333333"/>
          <w:kern w:val="0"/>
          <w:sz w:val="32"/>
          <w:szCs w:val="32"/>
          <w:shd w:val="clear" w:color="auto" w:fill="FFFFFF"/>
          <w:lang w:val="en-US" w:eastAsia="zh-CN"/>
        </w:rPr>
        <w:t>1.</w:t>
      </w:r>
      <w:r>
        <w:rPr>
          <w:rFonts w:hint="eastAsia" w:ascii="方正仿宋_GBK" w:hAnsi="方正黑体_GBK" w:eastAsia="方正仿宋_GBK" w:cs="方正黑体_GBK"/>
          <w:color w:val="333333"/>
          <w:kern w:val="0"/>
          <w:sz w:val="32"/>
          <w:szCs w:val="32"/>
          <w:shd w:val="clear" w:color="auto" w:fill="FFFFFF"/>
        </w:rPr>
        <w:t>个别调查员业务水平还需进一步提升。分市州样本调查工作开展已有半年之久，个别调查员对指标新要求理解掌握不够，指标间逻辑关系未完全厘清，存在调查时间不够和撰写行、职业不明确的现象。</w:t>
      </w:r>
    </w:p>
    <w:p>
      <w:pPr>
        <w:spacing w:line="360" w:lineRule="auto"/>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黑体_GBK" w:eastAsia="方正仿宋_GBK" w:cs="方正黑体_GBK"/>
          <w:color w:val="333333"/>
          <w:kern w:val="0"/>
          <w:sz w:val="32"/>
          <w:szCs w:val="32"/>
          <w:shd w:val="clear" w:color="auto" w:fill="FFFFFF"/>
          <w:lang w:val="en-US" w:eastAsia="zh-CN"/>
        </w:rPr>
        <w:t>2.</w:t>
      </w:r>
      <w:r>
        <w:rPr>
          <w:rFonts w:hint="eastAsia" w:ascii="方正仿宋_GBK" w:hAnsi="方正黑体_GBK" w:eastAsia="方正仿宋_GBK" w:cs="方正黑体_GBK"/>
          <w:color w:val="333333"/>
          <w:kern w:val="0"/>
          <w:sz w:val="32"/>
          <w:szCs w:val="32"/>
          <w:shd w:val="clear" w:color="auto" w:fill="FFFFFF"/>
        </w:rPr>
        <w:t>被调查户配合度低。因调查问卷涉及大量个人隐私，部分调查户存有抵触情绪，并拒绝调查；部分调查户不如实回答调查问卷或在前后两个月回答时，回答内容有一定差异。</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（三）相关建议。</w:t>
      </w:r>
    </w:p>
    <w:p>
      <w:pPr>
        <w:spacing w:line="560" w:lineRule="exact"/>
        <w:ind w:firstLine="640" w:firstLineChars="200"/>
        <w:rPr>
          <w:rFonts w:hint="eastAsia" w:ascii="方正仿宋_GBK" w:hAnsi="方正黑体_GBK" w:eastAsia="方正仿宋_GBK" w:cs="方正黑体_GBK"/>
          <w:color w:val="333333"/>
          <w:kern w:val="0"/>
          <w:sz w:val="32"/>
          <w:szCs w:val="32"/>
          <w:shd w:val="clear" w:color="auto" w:fill="FFFFFF"/>
          <w:lang w:val="en-US" w:eastAsia="zh-CN"/>
        </w:rPr>
      </w:pPr>
      <w:r>
        <w:rPr>
          <w:rFonts w:hint="eastAsia" w:ascii="方正仿宋_GBK" w:hAnsi="方正黑体_GBK" w:eastAsia="方正仿宋_GBK" w:cs="方正黑体_GBK"/>
          <w:color w:val="333333"/>
          <w:kern w:val="0"/>
          <w:sz w:val="32"/>
          <w:szCs w:val="32"/>
          <w:shd w:val="clear" w:color="auto" w:fill="FFFFFF"/>
          <w:lang w:val="en-US" w:eastAsia="zh-CN"/>
        </w:rPr>
        <w:t>1.</w:t>
      </w:r>
      <w:r>
        <w:rPr>
          <w:rFonts w:hint="eastAsia" w:ascii="方正仿宋_GBK" w:hAnsi="方正黑体_GBK" w:eastAsia="方正仿宋_GBK" w:cs="方正黑体_GBK"/>
          <w:color w:val="333333"/>
          <w:kern w:val="0"/>
          <w:sz w:val="32"/>
          <w:szCs w:val="32"/>
          <w:shd w:val="clear" w:color="auto" w:fill="FFFFFF"/>
        </w:rPr>
        <w:t>加大宣传力度。多渠道、多方式宣传劳动力力度调查，提高调查户对劳动力调查工作的知晓率，解决城镇入户难的问题，进一步营造全社会共同参与、共同配合的良好氛围。</w:t>
      </w:r>
      <w:r>
        <w:rPr>
          <w:rFonts w:hint="eastAsia" w:ascii="方正仿宋_GBK" w:hAnsi="方正黑体_GBK" w:eastAsia="方正仿宋_GBK" w:cs="方正黑体_GBK"/>
          <w:color w:val="333333"/>
          <w:kern w:val="0"/>
          <w:sz w:val="32"/>
          <w:szCs w:val="32"/>
          <w:shd w:val="clear" w:color="auto" w:fill="FFFFFF"/>
          <w:lang w:val="en-US" w:eastAsia="zh-CN"/>
        </w:rPr>
        <w:t xml:space="preserve">   </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方正黑体_GBK" w:eastAsia="方正仿宋_GBK" w:cs="方正黑体_GBK"/>
          <w:color w:val="333333"/>
          <w:kern w:val="0"/>
          <w:sz w:val="32"/>
          <w:szCs w:val="32"/>
          <w:shd w:val="clear" w:color="auto" w:fill="FFFFFF"/>
          <w:lang w:val="en-US" w:eastAsia="zh-CN"/>
        </w:rPr>
        <w:t>2.</w:t>
      </w:r>
      <w:r>
        <w:rPr>
          <w:rFonts w:hint="eastAsia" w:ascii="方正仿宋_GBK" w:hAnsi="方正黑体_GBK" w:eastAsia="方正仿宋_GBK" w:cs="方正黑体_GBK"/>
          <w:color w:val="333333"/>
          <w:kern w:val="0"/>
          <w:sz w:val="32"/>
          <w:szCs w:val="32"/>
          <w:shd w:val="clear" w:color="auto" w:fill="FFFFFF"/>
        </w:rPr>
        <w:t>加强业务培训和陪访工作。通过一对一陪访和调查工程中暴露出的个性和共性问题、分类开展培训，提升调查数据质量。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方正黑体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Calibri Light">
    <w:altName w:val="Arial Unicode MS"/>
    <w:panose1 w:val="020F0302020204030204"/>
    <w:charset w:val="00"/>
    <w:family w:val="swiss"/>
    <w:pitch w:val="default"/>
    <w:sig w:usb0="00000000" w:usb1="00000000" w:usb2="00000000" w:usb3="00000000" w:csb0="0000019F" w:csb1="00000000"/>
  </w:font>
  <w:font w:name="Calibri Light">
    <w:altName w:val="Arial Unicode MS"/>
    <w:panose1 w:val="020F0302020204030204"/>
    <w:charset w:val="00"/>
    <w:family w:val="decorative"/>
    <w:pitch w:val="default"/>
    <w:sig w:usb0="00000000" w:usb1="00000000" w:usb2="00000000" w:usb3="00000000" w:csb0="0000019F" w:csb1="00000000"/>
  </w:font>
  <w:font w:name="Calibri Light">
    <w:altName w:val="Arial Unicode MS"/>
    <w:panose1 w:val="020F0302020204030204"/>
    <w:charset w:val="00"/>
    <w:family w:val="roman"/>
    <w:pitch w:val="default"/>
    <w:sig w:usb0="00000000" w:usb1="00000000" w:usb2="00000000" w:usb3="00000000" w:csb0="0000019F" w:csb1="00000000"/>
  </w:font>
  <w:font w:name="Calibri Light">
    <w:altName w:val="Arial Unicode MS"/>
    <w:panose1 w:val="020F0302020204030204"/>
    <w:charset w:val="00"/>
    <w:family w:val="modern"/>
    <w:pitch w:val="default"/>
    <w:sig w:usb0="00000000" w:usb1="00000000" w:usb2="00000000" w:usb3="00000000" w:csb0="0000019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3C189F"/>
    <w:rsid w:val="00C22052"/>
    <w:rsid w:val="00C366D5"/>
    <w:rsid w:val="00E96F9E"/>
    <w:rsid w:val="0755097B"/>
    <w:rsid w:val="0B5A4073"/>
    <w:rsid w:val="142029A9"/>
    <w:rsid w:val="169F38FB"/>
    <w:rsid w:val="1C031C76"/>
    <w:rsid w:val="1DCB60BB"/>
    <w:rsid w:val="1F3A53B3"/>
    <w:rsid w:val="292B4099"/>
    <w:rsid w:val="33B22CE5"/>
    <w:rsid w:val="35967EDD"/>
    <w:rsid w:val="371C3F2E"/>
    <w:rsid w:val="3F6E09D5"/>
    <w:rsid w:val="4CB354E6"/>
    <w:rsid w:val="56022470"/>
    <w:rsid w:val="5B1F5718"/>
    <w:rsid w:val="61E42F7D"/>
    <w:rsid w:val="6297143C"/>
    <w:rsid w:val="6C7F66EF"/>
    <w:rsid w:val="6DA6175F"/>
    <w:rsid w:val="7A417F22"/>
    <w:rsid w:val="7AFC20C7"/>
    <w:rsid w:val="7E094A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宋体" w:cs="Times New Roman"/>
      <w:kern w:val="2"/>
      <w:sz w:val="18"/>
      <w:szCs w:val="18"/>
    </w:rPr>
  </w:style>
  <w:style w:type="character" w:customStyle="1" w:styleId="7">
    <w:name w:val="页脚 Char"/>
    <w:basedOn w:val="4"/>
    <w:link w:val="2"/>
    <w:qFormat/>
    <w:uiPriority w:val="0"/>
    <w:rPr>
      <w:rFonts w:ascii="Times New Roman" w:hAnsi="Times New Roman" w:eastAsia="宋体" w:cs="Times New Roman"/>
      <w:kern w:val="2"/>
      <w:sz w:val="18"/>
      <w:szCs w:val="18"/>
    </w:rPr>
  </w:style>
  <w:style w:type="paragraph" w:customStyle="1" w:styleId="8">
    <w:name w:val="_Style 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1271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2022-05-20T02:35:28Z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