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</w:p>
    <w:p>
      <w:pPr>
        <w:pStyle w:val="2"/>
        <w:spacing w:line="600" w:lineRule="exact"/>
        <w:jc w:val="center"/>
        <w:rPr>
          <w:rFonts w:hint="eastAsia" w:ascii="Times New Roman" w:hAnsi="Times New Roman" w:eastAsia="方正小标宋_GBK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/>
          <w:color w:val="000000" w:themeColor="text1"/>
          <w:sz w:val="48"/>
          <w:szCs w:val="48"/>
          <w:lang w:eastAsia="zh-CN"/>
          <w14:textFill>
            <w14:solidFill>
              <w14:schemeClr w14:val="tx1"/>
            </w14:solidFill>
          </w14:textFill>
        </w:rPr>
        <w:t>盐边县新九镇卫生院</w:t>
      </w:r>
    </w:p>
    <w:p>
      <w:pPr>
        <w:pStyle w:val="2"/>
        <w:spacing w:line="600" w:lineRule="exact"/>
        <w:jc w:val="center"/>
        <w:rPr>
          <w:rFonts w:ascii="Times New Roman" w:hAnsi="Times New Roman" w:eastAsia="仿宋_GB2312"/>
          <w:sz w:val="48"/>
          <w:szCs w:val="48"/>
        </w:rPr>
      </w:pPr>
      <w:r>
        <w:rPr>
          <w:rFonts w:hint="eastAsia" w:ascii="Times New Roman" w:hAnsi="Times New Roman" w:eastAsia="方正小标宋_GBK"/>
          <w:color w:val="000000" w:themeColor="text1"/>
          <w:sz w:val="48"/>
          <w:szCs w:val="48"/>
          <w:lang w:val="en-US" w:eastAsia="zh-CN"/>
          <w14:textFill>
            <w14:solidFill>
              <w14:schemeClr w14:val="tx1"/>
            </w14:solidFill>
          </w14:textFill>
        </w:rPr>
        <w:t>2021年</w:t>
      </w:r>
      <w:r>
        <w:rPr>
          <w:rFonts w:ascii="Times New Roman" w:hAnsi="Times New Roman" w:eastAsia="方正小标宋_GBK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部门预算整体绩效自评报告</w:t>
      </w:r>
    </w:p>
    <w:p>
      <w:pPr>
        <w:widowControl/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部门概况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(一）、基本职能： 我院是一所公益性的事业单位。卫生院主要开展基本公共卫生服务及基本医疗服务工作。</w:t>
      </w:r>
    </w:p>
    <w:p>
      <w:pPr>
        <w:pStyle w:val="2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（二）、人员构成情况：新九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/>
          <w:sz w:val="32"/>
          <w:szCs w:val="32"/>
        </w:rPr>
        <w:t>卫生院人员编制核定1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名，有职工2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名，其中正式职工12名，招聘临时工11名，全院有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名副高和3名中级职称人员，其余为初级职称。有退休职工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名。</w:t>
      </w:r>
    </w:p>
    <w:p>
      <w:pPr>
        <w:pStyle w:val="2"/>
        <w:spacing w:line="60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二、部门</w:t>
      </w:r>
      <w:r>
        <w:rPr>
          <w:rFonts w:hint="eastAsia" w:ascii="Times New Roman" w:hAnsi="Times New Roman" w:eastAsia="黑体"/>
          <w:sz w:val="32"/>
          <w:szCs w:val="32"/>
        </w:rPr>
        <w:t>财政</w:t>
      </w:r>
      <w:r>
        <w:rPr>
          <w:rFonts w:ascii="Times New Roman" w:hAnsi="Times New Roman" w:eastAsia="黑体"/>
          <w:sz w:val="32"/>
          <w:szCs w:val="32"/>
        </w:rPr>
        <w:t>资金基本情况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（一）部门财政资金收入情况。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财政拨款收入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386.5</w:t>
      </w:r>
      <w:r>
        <w:rPr>
          <w:rFonts w:hint="eastAsia" w:ascii="Times New Roman" w:hAnsi="Times New Roman" w:eastAsia="仿宋_GB2312"/>
          <w:sz w:val="32"/>
          <w:szCs w:val="32"/>
        </w:rPr>
        <w:t>万元，比20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395.1</w:t>
      </w:r>
      <w:r>
        <w:rPr>
          <w:rFonts w:hint="eastAsia" w:ascii="Times New Roman" w:hAnsi="Times New Roman" w:eastAsia="仿宋_GB2312"/>
          <w:sz w:val="32"/>
          <w:szCs w:val="32"/>
        </w:rPr>
        <w:t>万元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8.6</w:t>
      </w:r>
      <w:r>
        <w:rPr>
          <w:rFonts w:hint="eastAsia" w:ascii="Times New Roman" w:hAnsi="Times New Roman" w:eastAsia="仿宋_GB2312"/>
          <w:sz w:val="32"/>
          <w:szCs w:val="32"/>
        </w:rPr>
        <w:t>万元，是因为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仿宋_GB2312"/>
          <w:sz w:val="32"/>
          <w:szCs w:val="32"/>
        </w:rPr>
        <w:t>了项目拨款。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（二）部门财政资金支出情况。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度财政拨款支出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491.7万元，比2020年303.9万元增加187.8万元，同比增长38.19%。其中项目支出337.00万元，同比2020年145.3万元增加191.7万元。其原因是2021年我院购置料救护车，DR等设备，因区域调整公共卫生支出增多。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（三）结转和结余情况。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本年年末财政补助结转结余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33.7万元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是因为艾滋病工作还需持续开展，疫情尚未结束，故结转下年绩效使用。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hint="eastAsia"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三、部门预算绩效管理情况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（一）部门预算绩效管理。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绩效目标</w:t>
      </w:r>
      <w:r>
        <w:rPr>
          <w:rFonts w:hint="eastAsia" w:ascii="仿宋" w:hAnsi="仿宋" w:eastAsia="仿宋" w:cs="仿宋"/>
          <w:sz w:val="32"/>
          <w:szCs w:val="32"/>
        </w:rPr>
        <w:t>一般公共预算基本支出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151.07</w:t>
      </w:r>
      <w:r>
        <w:rPr>
          <w:rFonts w:hint="eastAsia" w:ascii="仿宋" w:hAnsi="仿宋" w:eastAsia="仿宋" w:cs="仿宋"/>
          <w:sz w:val="32"/>
          <w:szCs w:val="32"/>
        </w:rPr>
        <w:t>万元，其中：人员经费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138.97</w:t>
      </w:r>
      <w:r>
        <w:rPr>
          <w:rFonts w:hint="eastAsia" w:ascii="仿宋" w:hAnsi="仿宋" w:eastAsia="仿宋" w:cs="仿宋"/>
          <w:sz w:val="32"/>
          <w:szCs w:val="32"/>
        </w:rPr>
        <w:t>万元，主要包括：基本工资、津贴补贴、奖金、社会保险缴费、住房公积金等。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本单位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2021年实际绩效目标</w:t>
      </w:r>
      <w:r>
        <w:rPr>
          <w:rFonts w:hint="eastAsia" w:ascii="仿宋" w:hAnsi="仿宋" w:eastAsia="仿宋" w:cs="仿宋"/>
          <w:sz w:val="32"/>
          <w:szCs w:val="32"/>
        </w:rPr>
        <w:t>一般公共预算基本支出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154.67</w:t>
      </w:r>
      <w:r>
        <w:rPr>
          <w:rFonts w:hint="eastAsia" w:ascii="仿宋" w:hAnsi="仿宋" w:eastAsia="仿宋" w:cs="仿宋"/>
          <w:sz w:val="32"/>
          <w:szCs w:val="32"/>
        </w:rPr>
        <w:t>万元，其中：人员经费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154.67</w:t>
      </w:r>
      <w:r>
        <w:rPr>
          <w:rFonts w:hint="eastAsia" w:ascii="仿宋" w:hAnsi="仿宋" w:eastAsia="仿宋" w:cs="仿宋"/>
          <w:sz w:val="32"/>
          <w:szCs w:val="32"/>
        </w:rPr>
        <w:t>万元，主要包括：基本工资、津贴补贴、奖金、社会保险缴费、住房公积金等。</w:t>
      </w:r>
    </w:p>
    <w:p>
      <w:pPr>
        <w:keepNext w:val="0"/>
        <w:keepLines w:val="0"/>
        <w:widowControl/>
        <w:suppressLineNumbers w:val="0"/>
        <w:ind w:firstLine="688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kern w:val="0"/>
          <w:sz w:val="32"/>
          <w:szCs w:val="32"/>
          <w:shd w:val="clear" w:fill="FFFFFF"/>
          <w:lang w:val="en-US" w:eastAsia="zh-CN" w:bidi="ar"/>
        </w:rPr>
        <w:t>我院绩效目标实现过程中进一步加强财务管理和制度约束，规范审批程序，促进财务管理工作制度化，规范化，不定期开展自查自纠，继续完善相关财务制度，规范财务管理，力争做到治理工作不留死角，从源头上斩断财经纪律违纪违规现象，按时间节点有序推进目标绩效进度。</w:t>
      </w:r>
    </w:p>
    <w:p>
      <w:pPr>
        <w:keepNext w:val="0"/>
        <w:keepLines w:val="0"/>
        <w:widowControl/>
        <w:suppressLineNumbers w:val="0"/>
        <w:ind w:firstLine="688" w:firstLineChars="200"/>
        <w:jc w:val="left"/>
        <w:rPr>
          <w:rFonts w:hint="eastAsia" w:ascii="仿宋" w:hAnsi="仿宋" w:eastAsia="仿宋" w:cs="仿宋"/>
          <w:sz w:val="32"/>
          <w:szCs w:val="40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2"/>
          <w:kern w:val="0"/>
          <w:sz w:val="32"/>
          <w:szCs w:val="32"/>
          <w:shd w:val="clear" w:fill="FFFFFF"/>
          <w:lang w:val="en-US" w:eastAsia="zh-CN" w:bidi="ar"/>
        </w:rPr>
        <w:t>2021年我院100%完成预算目标，资金结余有所增加，通过自查自纠，无违纪违规等情况。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320" w:firstLineChars="100"/>
        <w:contextualSpacing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（二）结果应用情况。</w:t>
      </w:r>
    </w:p>
    <w:p>
      <w:pPr>
        <w:keepNext w:val="0"/>
        <w:keepLines w:val="0"/>
        <w:widowControl/>
        <w:suppressLineNumbers w:val="0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44444"/>
          <w:spacing w:val="0"/>
          <w:kern w:val="0"/>
          <w:sz w:val="32"/>
          <w:szCs w:val="32"/>
          <w:shd w:val="clear" w:fill="FFFFFF"/>
          <w:lang w:val="en-US" w:eastAsia="zh-CN" w:bidi="ar"/>
        </w:rPr>
        <w:t>我院严格进行绩效目标自评和公开，从预算、执行、验收、资金支付等流程层层把关，严格按照部门预算进行部门整体支出，涉及“三重一大”事项必须经过主任办公会，“三公经费”逐年下降。所有项目资金严格按照项目申报的实施方案组织实施，并责成项目实施科室加强日常监督，依据相应的资金管理办法切实做到项目资金专项专用，无截留、无挪用等现象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 xml:space="preserve"> </w:t>
      </w:r>
    </w:p>
    <w:p>
      <w:pPr>
        <w:widowControl/>
        <w:adjustRightInd w:val="0"/>
        <w:snapToGrid w:val="0"/>
        <w:spacing w:line="580" w:lineRule="exact"/>
        <w:ind w:firstLine="640" w:firstLineChars="200"/>
        <w:contextualSpacing/>
        <w:jc w:val="lef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四、评价结论及建议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（一）评价结论。（附相关评分表）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根据相关评分细则，结合本单位实际情况综合评分得分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分。</w:t>
      </w:r>
    </w:p>
    <w:p>
      <w:pPr>
        <w:spacing w:line="56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（二）存在问题。</w:t>
      </w:r>
    </w:p>
    <w:p>
      <w:pPr>
        <w:numPr>
          <w:ilvl w:val="0"/>
          <w:numId w:val="0"/>
        </w:numPr>
        <w:spacing w:line="560" w:lineRule="exact"/>
        <w:ind w:firstLine="640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/>
        </w:rPr>
        <w:t>预算编制前根据年度内单位可预见的工作任务，确定了单位年度预算目标，细化了预算指标，但是在实际支付过程中，个别时候未严格按照预算指标执行。</w:t>
      </w:r>
    </w:p>
    <w:p>
      <w:pPr>
        <w:numPr>
          <w:ilvl w:val="0"/>
          <w:numId w:val="2"/>
        </w:numPr>
        <w:spacing w:line="560" w:lineRule="exact"/>
        <w:ind w:left="0" w:leftChars="0"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ascii="Times New Roman" w:hAnsi="Times New Roman" w:eastAsia="楷体_GB2312"/>
          <w:sz w:val="32"/>
          <w:szCs w:val="32"/>
        </w:rPr>
        <w:t>改进建议。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textAlignment w:val="baseline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加强学习， 提高思想认识。 组织单位财务人员认真学习《预算法》 等相关法规、制度，提高单位领导对全面预算管理的重视程度，增强财务人员的预算意识。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textAlignment w:val="baseline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严格管理， 控制“三公”经费和公用经费支出。 认真贯彻落实中央八项规定， 切实加强“三公”经费和培训费管理， 严格按照规定开支有关经费。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textAlignment w:val="baseline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3.</w:t>
      </w:r>
      <w:r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规范财务运行， 加强预算支出管理。 严格遵循“先有预算、 后有支出”的原则，在资金支付管理方面，严格按照规定程序向财政部门申请用款，在财政部门批复的支出预算资金范围内申请使用一般预算支出经费。建立健全并认真执行各项资金使用管理制度， 建立内部控制机制， 资金使用严格履行审批程序， 确保资金支出合法、真实。严格落实会计核算、报销审批制度，加强对资金使用环节的监督。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textAlignment w:val="baseline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textAlignment w:val="baseline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jc w:val="right"/>
        <w:textAlignment w:val="baseline"/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盐边县新九镇卫生院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8"/>
        <w:jc w:val="right"/>
        <w:textAlignment w:val="baseline"/>
        <w:rPr>
          <w:rFonts w:hint="default" w:ascii="仿宋_GB2312" w:hAnsi="仿宋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  <w:lang w:val="en-US" w:eastAsia="zh-CN" w:bidi="ar-SA"/>
        </w:rPr>
        <w:t>2022年5月9日</w:t>
      </w:r>
    </w:p>
    <w:p>
      <w:pPr>
        <w:numPr>
          <w:ilvl w:val="0"/>
          <w:numId w:val="0"/>
        </w:numPr>
        <w:spacing w:line="560" w:lineRule="exact"/>
        <w:ind w:leftChars="200"/>
        <w:jc w:val="right"/>
        <w:rPr>
          <w:rFonts w:ascii="Times New Roman" w:hAnsi="Times New Roman" w:eastAsia="楷体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C9AB8F"/>
    <w:multiLevelType w:val="singleLevel"/>
    <w:tmpl w:val="E3C9AB8F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D5C601E"/>
    <w:multiLevelType w:val="singleLevel"/>
    <w:tmpl w:val="3D5C60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MTBiYzVhYTc5OTYwNTYyM2Q1NTZmNTBiNTcyMmYifQ=="/>
  </w:docVars>
  <w:rsids>
    <w:rsidRoot w:val="00000000"/>
    <w:rsid w:val="112A3A8C"/>
    <w:rsid w:val="16F1159D"/>
    <w:rsid w:val="1C4758F6"/>
    <w:rsid w:val="1D7F4458"/>
    <w:rsid w:val="249772A8"/>
    <w:rsid w:val="2BCC6621"/>
    <w:rsid w:val="40F412AA"/>
    <w:rsid w:val="79DB6F01"/>
    <w:rsid w:val="7A546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2558</Words>
  <Characters>2708</Characters>
  <Lines>0</Lines>
  <Paragraphs>0</Paragraphs>
  <TotalTime>46</TotalTime>
  <ScaleCrop>false</ScaleCrop>
  <LinksUpToDate>false</LinksUpToDate>
  <CharactersWithSpaces>2739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陈录凯</cp:lastModifiedBy>
  <cp:lastPrinted>2022-05-02T07:21:00Z</cp:lastPrinted>
  <dcterms:modified xsi:type="dcterms:W3CDTF">2022-05-09T07:03:07Z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04DBC15747384EF4AC7E29DB6E88B3DE</vt:lpwstr>
  </property>
</Properties>
</file>