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68" w:rsidRDefault="007B7C0C">
      <w:pPr>
        <w:spacing w:line="560" w:lineRule="exact"/>
        <w:jc w:val="center"/>
        <w:rPr>
          <w:rFonts w:eastAsia="方正小标宋_GBK"/>
          <w:sz w:val="44"/>
          <w:szCs w:val="44"/>
        </w:rPr>
      </w:pPr>
      <w:r>
        <w:rPr>
          <w:rFonts w:eastAsia="方正小标宋_GBK" w:hint="eastAsia"/>
          <w:sz w:val="44"/>
          <w:szCs w:val="44"/>
        </w:rPr>
        <w:t>盐边县疾病预防控制中心</w:t>
      </w:r>
    </w:p>
    <w:p w:rsidR="00402A68" w:rsidRDefault="007B7C0C">
      <w:pPr>
        <w:spacing w:line="560" w:lineRule="exact"/>
        <w:jc w:val="center"/>
        <w:rPr>
          <w:sz w:val="32"/>
          <w:szCs w:val="32"/>
          <w:lang w:val="zh-CN"/>
        </w:rPr>
      </w:pPr>
      <w:r>
        <w:rPr>
          <w:rFonts w:eastAsia="方正小标宋_GBK" w:hint="eastAsia"/>
          <w:sz w:val="44"/>
          <w:szCs w:val="44"/>
        </w:rPr>
        <w:t>2021</w:t>
      </w:r>
      <w:r>
        <w:rPr>
          <w:rFonts w:eastAsia="方正小标宋_GBK" w:hint="eastAsia"/>
          <w:sz w:val="44"/>
          <w:szCs w:val="44"/>
        </w:rPr>
        <w:t>年</w:t>
      </w:r>
      <w:r>
        <w:rPr>
          <w:rFonts w:eastAsia="方正小标宋_GBK" w:hint="eastAsia"/>
          <w:sz w:val="44"/>
          <w:szCs w:val="44"/>
        </w:rPr>
        <w:t>专项</w:t>
      </w:r>
      <w:r>
        <w:rPr>
          <w:rFonts w:eastAsia="方正小标宋_GBK"/>
          <w:sz w:val="44"/>
          <w:szCs w:val="44"/>
        </w:rPr>
        <w:t>（</w:t>
      </w:r>
      <w:r>
        <w:rPr>
          <w:rFonts w:eastAsia="方正小标宋_GBK" w:hint="eastAsia"/>
          <w:sz w:val="44"/>
          <w:szCs w:val="44"/>
        </w:rPr>
        <w:t>新冠病毒疫苗接种及疫苗冷链项目）</w:t>
      </w:r>
      <w:r>
        <w:rPr>
          <w:rFonts w:eastAsia="方正小标宋_GBK"/>
          <w:sz w:val="44"/>
          <w:szCs w:val="44"/>
        </w:rPr>
        <w:t>资金绩效自评报告</w:t>
      </w:r>
    </w:p>
    <w:p w:rsidR="00402A68" w:rsidRDefault="007B7C0C">
      <w:pPr>
        <w:spacing w:line="560" w:lineRule="exact"/>
        <w:ind w:firstLineChars="200" w:firstLine="640"/>
        <w:rPr>
          <w:rFonts w:eastAsia="黑体"/>
          <w:sz w:val="32"/>
          <w:szCs w:val="32"/>
        </w:rPr>
      </w:pPr>
      <w:r>
        <w:rPr>
          <w:rFonts w:eastAsia="黑体"/>
          <w:sz w:val="32"/>
          <w:szCs w:val="32"/>
        </w:rPr>
        <w:t>一、项目概况</w:t>
      </w:r>
      <w:bookmarkStart w:id="0" w:name="_GoBack"/>
      <w:bookmarkEnd w:id="0"/>
    </w:p>
    <w:p w:rsidR="00402A68" w:rsidRDefault="007B7C0C">
      <w:pPr>
        <w:spacing w:line="560" w:lineRule="exact"/>
        <w:ind w:firstLineChars="200" w:firstLine="640"/>
        <w:rPr>
          <w:rFonts w:eastAsia="楷体_GB2312"/>
          <w:sz w:val="32"/>
          <w:szCs w:val="32"/>
        </w:rPr>
      </w:pPr>
      <w:r>
        <w:rPr>
          <w:rFonts w:eastAsia="楷体_GB2312"/>
          <w:sz w:val="32"/>
          <w:szCs w:val="32"/>
        </w:rPr>
        <w:t>（一）项目基本情况。</w:t>
      </w:r>
    </w:p>
    <w:p w:rsidR="00402A68" w:rsidRDefault="007B7C0C">
      <w:pPr>
        <w:snapToGrid w:val="0"/>
        <w:spacing w:line="52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主要职能：为进一步巩固新冠肺炎疫情防控成果，最大限度保障人民群众身体健康和生命安全，针对全县重点岗位人群开展新冠疫苗紧急接种。为确保盐边县顺利开展新冠疫苗接种工作，做好物资（信息化设备和冷链设备）准备工作。</w:t>
      </w:r>
    </w:p>
    <w:p w:rsidR="00402A68" w:rsidRDefault="007B7C0C">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项目立项、资金申报的依据。</w:t>
      </w:r>
    </w:p>
    <w:p w:rsidR="00402A68" w:rsidRDefault="007B7C0C">
      <w:pPr>
        <w:spacing w:line="560" w:lineRule="exact"/>
        <w:ind w:firstLineChars="200" w:firstLine="640"/>
        <w:jc w:val="left"/>
        <w:rPr>
          <w:rFonts w:eastAsia="仿宋_GB2312"/>
          <w:sz w:val="32"/>
          <w:szCs w:val="32"/>
        </w:rPr>
      </w:pPr>
      <w:r>
        <w:rPr>
          <w:rFonts w:eastAsia="仿宋_GB2312" w:hint="eastAsia"/>
          <w:sz w:val="32"/>
          <w:szCs w:val="32"/>
        </w:rPr>
        <w:t>攀枝花市应对新型冠状病毒肺炎疫情应急指挥部办公室关于印发《攀枝花市新冠病毒灭活疫苗紧急使用实施方案》的通知（攀疫指办发〔</w:t>
      </w:r>
      <w:r>
        <w:rPr>
          <w:rFonts w:eastAsia="仿宋_GB2312" w:hint="eastAsia"/>
          <w:sz w:val="32"/>
          <w:szCs w:val="32"/>
        </w:rPr>
        <w:t>2020</w:t>
      </w:r>
      <w:r>
        <w:rPr>
          <w:rFonts w:eastAsia="仿宋_GB2312" w:hint="eastAsia"/>
          <w:sz w:val="32"/>
          <w:szCs w:val="32"/>
        </w:rPr>
        <w:t>〕</w:t>
      </w:r>
      <w:r>
        <w:rPr>
          <w:rFonts w:eastAsia="仿宋_GB2312" w:hint="eastAsia"/>
          <w:sz w:val="32"/>
          <w:szCs w:val="32"/>
        </w:rPr>
        <w:t>24</w:t>
      </w:r>
      <w:r>
        <w:rPr>
          <w:rFonts w:eastAsia="仿宋_GB2312" w:hint="eastAsia"/>
          <w:sz w:val="32"/>
          <w:szCs w:val="32"/>
        </w:rPr>
        <w:t>号）</w:t>
      </w:r>
      <w:r>
        <w:rPr>
          <w:rFonts w:eastAsia="仿宋_GB2312" w:hint="eastAsia"/>
          <w:sz w:val="32"/>
          <w:szCs w:val="32"/>
        </w:rPr>
        <w:t>、</w:t>
      </w:r>
      <w:r>
        <w:rPr>
          <w:rFonts w:eastAsia="仿宋_GB2312" w:hint="eastAsia"/>
          <w:sz w:val="32"/>
          <w:szCs w:val="32"/>
        </w:rPr>
        <w:t>四川省卫生健康委员会关于印发四川省新冠病毒疫苗接种技术方案的通知（川卫函〔</w:t>
      </w:r>
      <w:r>
        <w:rPr>
          <w:rFonts w:eastAsia="仿宋_GB2312" w:hint="eastAsia"/>
          <w:sz w:val="32"/>
          <w:szCs w:val="32"/>
        </w:rPr>
        <w:t>2021</w:t>
      </w:r>
      <w:r>
        <w:rPr>
          <w:rFonts w:eastAsia="仿宋_GB2312" w:hint="eastAsia"/>
          <w:sz w:val="32"/>
          <w:szCs w:val="32"/>
        </w:rPr>
        <w:t>〕</w:t>
      </w:r>
      <w:r>
        <w:rPr>
          <w:rFonts w:eastAsia="仿宋_GB2312" w:hint="eastAsia"/>
          <w:sz w:val="32"/>
          <w:szCs w:val="32"/>
        </w:rPr>
        <w:t>58</w:t>
      </w:r>
      <w:r>
        <w:rPr>
          <w:rFonts w:eastAsia="仿宋_GB2312" w:hint="eastAsia"/>
          <w:sz w:val="32"/>
          <w:szCs w:val="32"/>
        </w:rPr>
        <w:t>号）</w:t>
      </w:r>
    </w:p>
    <w:p w:rsidR="00402A68" w:rsidRDefault="007B7C0C">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资金管理办法制定情况，资金支持具体项目的条件、范围与支持方式概况。</w:t>
      </w:r>
    </w:p>
    <w:p w:rsidR="00402A68" w:rsidRDefault="007B7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接种当日年龄在</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59</w:t>
      </w:r>
      <w:r>
        <w:rPr>
          <w:rFonts w:ascii="仿宋_GB2312" w:eastAsia="仿宋_GB2312" w:hAnsi="仿宋_GB2312" w:cs="仿宋_GB2312" w:hint="eastAsia"/>
          <w:sz w:val="32"/>
          <w:szCs w:val="32"/>
        </w:rPr>
        <w:t>岁之间的成人。定向用于</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类人群：援外医护人员、在攀国家卫生应急救援队员和四川省攀西紧急医学救援人员、定点医疗机构发热门诊和一线临床医护人员、口岸防控人员、一线卫生防疫监督人员、出国留学人员、一线警务人员、冷链食品从业人员、城市基础运行保障人员、教师、</w:t>
      </w:r>
      <w:r>
        <w:rPr>
          <w:rFonts w:ascii="仿宋_GB2312" w:eastAsia="仿宋_GB2312" w:hAnsi="仿宋_GB2312" w:cs="仿宋_GB2312" w:hint="eastAsia"/>
          <w:sz w:val="32"/>
          <w:szCs w:val="32"/>
        </w:rPr>
        <w:lastRenderedPageBreak/>
        <w:t>定点医疗机构非发热门诊和一线临床医护人员、社区网格员、出国务工人</w:t>
      </w:r>
      <w:r>
        <w:rPr>
          <w:rFonts w:ascii="仿宋_GB2312" w:eastAsia="仿宋_GB2312" w:hAnsi="仿宋_GB2312" w:cs="仿宋_GB2312" w:hint="eastAsia"/>
          <w:sz w:val="32"/>
          <w:szCs w:val="32"/>
        </w:rPr>
        <w:t>员。</w:t>
      </w:r>
    </w:p>
    <w:p w:rsidR="00402A68" w:rsidRDefault="007B7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接种单位需配备医用冰箱（储存疫苗使用）、冷藏箱</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冰排和温度监测器材。需要储存大量疫苗的接种单位，可配备普通冷库，并配备备用发电机组。有条件的接种单位，在接种台可配备桌面小冰箱（接种存放疫苗使用）。为保证疫苗全程可追溯，接种信息及时规范上传四川省免疫规划信息管理系统。疾控中心和接种单位在实施新冠病毒疫苗储运、接种过程中，必须配备必要的信息化设备，包括电脑、打印机、手持式移动终端（</w:t>
      </w:r>
      <w:r>
        <w:rPr>
          <w:rFonts w:ascii="仿宋_GB2312" w:eastAsia="仿宋_GB2312" w:hAnsi="仿宋_GB2312" w:cs="仿宋_GB2312" w:hint="eastAsia"/>
          <w:sz w:val="32"/>
          <w:szCs w:val="32"/>
        </w:rPr>
        <w:t>PDA</w:t>
      </w:r>
      <w:r>
        <w:rPr>
          <w:rFonts w:ascii="仿宋_GB2312" w:eastAsia="仿宋_GB2312" w:hAnsi="仿宋_GB2312" w:cs="仿宋_GB2312" w:hint="eastAsia"/>
          <w:sz w:val="32"/>
          <w:szCs w:val="32"/>
        </w:rPr>
        <w:t>）、扫码枪（器）、身份证读卡器、核签仪等，可实现扫码登记、扫码出入库、扫码接种、预防接种证信息打印等功能。</w:t>
      </w:r>
    </w:p>
    <w:p w:rsidR="00402A68" w:rsidRDefault="007B7C0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中心对此笔项目经费的支出都做出了相应要求，并上领导班子会讨论通过，有会议纪要作为支撑。</w:t>
      </w:r>
    </w:p>
    <w:p w:rsidR="00402A68" w:rsidRDefault="007B7C0C">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资金分配的原则及考虑因素。</w:t>
      </w:r>
    </w:p>
    <w:p w:rsidR="00402A68" w:rsidRDefault="007B7C0C">
      <w:pPr>
        <w:spacing w:line="560" w:lineRule="exact"/>
        <w:ind w:firstLineChars="200" w:firstLine="640"/>
        <w:rPr>
          <w:rFonts w:eastAsia="仿宋_GB2312"/>
          <w:sz w:val="32"/>
          <w:szCs w:val="32"/>
        </w:rPr>
      </w:pPr>
      <w:r>
        <w:rPr>
          <w:rFonts w:eastAsia="仿宋_GB2312" w:hint="eastAsia"/>
          <w:sz w:val="32"/>
          <w:szCs w:val="32"/>
        </w:rPr>
        <w:t>项目资金全部用于新冠疫苗采购</w:t>
      </w:r>
      <w:r>
        <w:rPr>
          <w:rFonts w:eastAsia="仿宋_GB2312" w:hint="eastAsia"/>
          <w:sz w:val="32"/>
          <w:szCs w:val="32"/>
        </w:rPr>
        <w:t>、</w:t>
      </w:r>
      <w:r>
        <w:rPr>
          <w:rFonts w:eastAsia="仿宋_GB2312" w:hint="eastAsia"/>
          <w:sz w:val="32"/>
          <w:szCs w:val="32"/>
        </w:rPr>
        <w:t>冷链设备采购</w:t>
      </w:r>
      <w:r>
        <w:rPr>
          <w:rFonts w:eastAsia="仿宋_GB2312" w:hint="eastAsia"/>
          <w:sz w:val="32"/>
          <w:szCs w:val="32"/>
        </w:rPr>
        <w:t>、</w:t>
      </w:r>
      <w:r>
        <w:rPr>
          <w:rFonts w:eastAsia="仿宋_GB2312" w:hint="eastAsia"/>
          <w:sz w:val="32"/>
          <w:szCs w:val="32"/>
        </w:rPr>
        <w:t>接种点位现场督导。</w:t>
      </w:r>
    </w:p>
    <w:p w:rsidR="00402A68" w:rsidRDefault="007B7C0C">
      <w:pPr>
        <w:spacing w:line="560" w:lineRule="exact"/>
        <w:ind w:firstLineChars="200" w:firstLine="640"/>
        <w:rPr>
          <w:rFonts w:eastAsia="楷体_GB2312"/>
          <w:sz w:val="32"/>
          <w:szCs w:val="32"/>
        </w:rPr>
      </w:pPr>
      <w:r>
        <w:rPr>
          <w:rFonts w:eastAsia="楷体_GB2312"/>
          <w:sz w:val="32"/>
          <w:szCs w:val="32"/>
        </w:rPr>
        <w:t>（二）项目绩效目标。</w:t>
      </w:r>
    </w:p>
    <w:p w:rsidR="00402A68" w:rsidRDefault="007B7C0C">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项目主要内容。</w:t>
      </w:r>
    </w:p>
    <w:p w:rsidR="00402A68" w:rsidRDefault="007B7C0C">
      <w:pPr>
        <w:spacing w:line="560" w:lineRule="exact"/>
        <w:ind w:firstLineChars="200" w:firstLine="640"/>
        <w:rPr>
          <w:rFonts w:eastAsia="仿宋_GB2312"/>
          <w:sz w:val="32"/>
          <w:szCs w:val="32"/>
        </w:rPr>
      </w:pPr>
      <w:r>
        <w:rPr>
          <w:rFonts w:eastAsia="仿宋_GB2312" w:hint="eastAsia"/>
          <w:sz w:val="32"/>
          <w:szCs w:val="32"/>
        </w:rPr>
        <w:t>新冠疫苗接种工作</w:t>
      </w:r>
      <w:r>
        <w:rPr>
          <w:rFonts w:eastAsia="仿宋_GB2312" w:hint="eastAsia"/>
          <w:sz w:val="32"/>
          <w:szCs w:val="32"/>
        </w:rPr>
        <w:t>、</w:t>
      </w:r>
      <w:r>
        <w:rPr>
          <w:rFonts w:eastAsia="仿宋_GB2312" w:hint="eastAsia"/>
          <w:sz w:val="32"/>
          <w:szCs w:val="32"/>
        </w:rPr>
        <w:t>新冠疫苗接种信息化设备和冷链设备采购。</w:t>
      </w:r>
    </w:p>
    <w:p w:rsidR="00402A68" w:rsidRDefault="00402A68">
      <w:pPr>
        <w:spacing w:line="560" w:lineRule="exact"/>
        <w:ind w:firstLineChars="200" w:firstLine="640"/>
        <w:rPr>
          <w:rFonts w:eastAsia="仿宋_GB2312"/>
          <w:sz w:val="32"/>
          <w:szCs w:val="32"/>
        </w:rPr>
      </w:pPr>
    </w:p>
    <w:p w:rsidR="00402A68" w:rsidRDefault="007B7C0C">
      <w:pPr>
        <w:spacing w:line="56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项目应实现的具体绩效目标，包括目标的量化、细化情况以及项目实施进度计划等。</w:t>
      </w:r>
    </w:p>
    <w:p w:rsidR="00402A68" w:rsidRDefault="007B7C0C">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目前已完成</w:t>
      </w:r>
      <w:r>
        <w:rPr>
          <w:rFonts w:eastAsia="仿宋_GB2312" w:hint="eastAsia"/>
          <w:sz w:val="32"/>
          <w:szCs w:val="32"/>
        </w:rPr>
        <w:t>300</w:t>
      </w:r>
      <w:r>
        <w:rPr>
          <w:rFonts w:eastAsia="仿宋_GB2312" w:hint="eastAsia"/>
          <w:sz w:val="32"/>
          <w:szCs w:val="32"/>
        </w:rPr>
        <w:t>人重点人群新冠疫苗接种，项目实施进度为</w:t>
      </w:r>
      <w:r>
        <w:rPr>
          <w:rFonts w:eastAsia="仿宋_GB2312" w:hint="eastAsia"/>
          <w:sz w:val="32"/>
          <w:szCs w:val="32"/>
        </w:rPr>
        <w:t>100</w:t>
      </w:r>
      <w:r>
        <w:rPr>
          <w:rFonts w:eastAsia="仿宋_GB2312" w:hint="eastAsia"/>
          <w:sz w:val="32"/>
          <w:szCs w:val="32"/>
        </w:rPr>
        <w:t>％</w:t>
      </w:r>
      <w:r>
        <w:rPr>
          <w:rFonts w:eastAsia="仿宋_GB2312"/>
          <w:sz w:val="32"/>
          <w:szCs w:val="32"/>
        </w:rPr>
        <w:t>。</w:t>
      </w:r>
    </w:p>
    <w:p w:rsidR="00402A68" w:rsidRDefault="007B7C0C">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全县各接种单位均实现疫苗全程可追溯，接种信息及时规范上传四川省免疫规</w:t>
      </w:r>
      <w:r>
        <w:rPr>
          <w:rFonts w:eastAsia="仿宋_GB2312" w:hint="eastAsia"/>
          <w:sz w:val="32"/>
          <w:szCs w:val="32"/>
        </w:rPr>
        <w:t>划信息管理系统。</w:t>
      </w:r>
    </w:p>
    <w:p w:rsidR="00402A68" w:rsidRDefault="007B7C0C">
      <w:pPr>
        <w:ind w:firstLineChars="200" w:firstLine="640"/>
        <w:rPr>
          <w:rFonts w:eastAsia="仿宋_GB2312"/>
          <w:sz w:val="32"/>
          <w:szCs w:val="32"/>
        </w:rPr>
      </w:pPr>
      <w:r>
        <w:rPr>
          <w:rFonts w:eastAsia="仿宋_GB2312" w:hint="eastAsia"/>
          <w:noProof/>
          <w:sz w:val="32"/>
          <w:szCs w:val="32"/>
        </w:rPr>
        <w:drawing>
          <wp:anchor distT="0" distB="0" distL="114300" distR="114300" simplePos="0" relativeHeight="251659264" behindDoc="0" locked="0" layoutInCell="1" allowOverlap="1">
            <wp:simplePos x="0" y="0"/>
            <wp:positionH relativeFrom="column">
              <wp:posOffset>-106680</wp:posOffset>
            </wp:positionH>
            <wp:positionV relativeFrom="paragraph">
              <wp:posOffset>39370</wp:posOffset>
            </wp:positionV>
            <wp:extent cx="6041390" cy="3302635"/>
            <wp:effectExtent l="0" t="0" r="16510" b="12065"/>
            <wp:wrapSquare wrapText="bothSides"/>
            <wp:docPr id="1" name="图片 1" descr="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1111111(1)"/>
                    <pic:cNvPicPr>
                      <a:picLocks noChangeAspect="1"/>
                    </pic:cNvPicPr>
                  </pic:nvPicPr>
                  <pic:blipFill>
                    <a:blip r:embed="rId8" cstate="print"/>
                    <a:stretch>
                      <a:fillRect/>
                    </a:stretch>
                  </pic:blipFill>
                  <pic:spPr>
                    <a:xfrm>
                      <a:off x="0" y="0"/>
                      <a:ext cx="6041390" cy="3302635"/>
                    </a:xfrm>
                    <a:prstGeom prst="rect">
                      <a:avLst/>
                    </a:prstGeom>
                  </pic:spPr>
                </pic:pic>
              </a:graphicData>
            </a:graphic>
          </wp:anchor>
        </w:drawing>
      </w:r>
    </w:p>
    <w:p w:rsidR="00402A68" w:rsidRDefault="007B7C0C">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分析评价申报内容是否与实际相符，申报目标是否合理可行。</w:t>
      </w:r>
    </w:p>
    <w:p w:rsidR="00402A68" w:rsidRDefault="007B7C0C">
      <w:pPr>
        <w:autoSpaceDE w:val="0"/>
        <w:autoSpaceDN w:val="0"/>
        <w:adjustRightInd w:val="0"/>
        <w:spacing w:line="560" w:lineRule="exact"/>
        <w:ind w:firstLineChars="200" w:firstLine="660"/>
        <w:jc w:val="left"/>
        <w:rPr>
          <w:rFonts w:eastAsia="仿宋_GB2312"/>
          <w:color w:val="000000"/>
          <w:kern w:val="0"/>
          <w:sz w:val="33"/>
          <w:szCs w:val="33"/>
        </w:rPr>
      </w:pPr>
      <w:r>
        <w:rPr>
          <w:rFonts w:eastAsia="仿宋_GB2312"/>
          <w:color w:val="000000"/>
          <w:kern w:val="0"/>
          <w:sz w:val="33"/>
          <w:szCs w:val="33"/>
        </w:rPr>
        <w:t>按照</w:t>
      </w:r>
      <w:r>
        <w:rPr>
          <w:rFonts w:eastAsia="仿宋_GB2312" w:hint="eastAsia"/>
          <w:color w:val="000000"/>
          <w:kern w:val="0"/>
          <w:sz w:val="33"/>
          <w:szCs w:val="33"/>
        </w:rPr>
        <w:t>上级</w:t>
      </w:r>
      <w:r>
        <w:rPr>
          <w:rFonts w:eastAsia="仿宋_GB2312" w:hint="eastAsia"/>
          <w:color w:val="000000"/>
          <w:kern w:val="0"/>
          <w:sz w:val="33"/>
          <w:szCs w:val="33"/>
        </w:rPr>
        <w:t>相关要求</w:t>
      </w:r>
      <w:r>
        <w:rPr>
          <w:rFonts w:eastAsia="仿宋_GB2312"/>
          <w:color w:val="000000"/>
          <w:kern w:val="0"/>
          <w:sz w:val="33"/>
          <w:szCs w:val="33"/>
        </w:rPr>
        <w:t>，制定符合我县的项目实施方案</w:t>
      </w:r>
      <w:r>
        <w:rPr>
          <w:rFonts w:eastAsia="仿宋_GB2312" w:hint="eastAsia"/>
          <w:color w:val="000000"/>
          <w:kern w:val="0"/>
          <w:sz w:val="33"/>
          <w:szCs w:val="33"/>
        </w:rPr>
        <w:t>，分解细化目标任务，确保了目标任务全面完成</w:t>
      </w:r>
      <w:r>
        <w:rPr>
          <w:rFonts w:eastAsia="仿宋_GB2312"/>
          <w:color w:val="000000"/>
          <w:kern w:val="0"/>
          <w:sz w:val="33"/>
          <w:szCs w:val="33"/>
        </w:rPr>
        <w:t>。</w:t>
      </w:r>
    </w:p>
    <w:p w:rsidR="00402A68" w:rsidRDefault="007B7C0C">
      <w:pPr>
        <w:spacing w:line="560" w:lineRule="exact"/>
        <w:ind w:firstLineChars="200" w:firstLine="640"/>
        <w:rPr>
          <w:rFonts w:eastAsia="楷体_GB2312"/>
          <w:sz w:val="32"/>
          <w:szCs w:val="32"/>
        </w:rPr>
      </w:pPr>
      <w:r>
        <w:rPr>
          <w:rFonts w:eastAsia="楷体_GB2312"/>
          <w:sz w:val="32"/>
          <w:szCs w:val="32"/>
        </w:rPr>
        <w:t>（三）项目自评步骤及方法。</w:t>
      </w:r>
    </w:p>
    <w:p w:rsidR="00402A68" w:rsidRDefault="007B7C0C">
      <w:pPr>
        <w:autoSpaceDE w:val="0"/>
        <w:autoSpaceDN w:val="0"/>
        <w:adjustRightInd w:val="0"/>
        <w:spacing w:line="560" w:lineRule="exact"/>
        <w:ind w:firstLineChars="200" w:firstLine="660"/>
        <w:jc w:val="left"/>
        <w:rPr>
          <w:rFonts w:eastAsia="仿宋_GB2312"/>
          <w:color w:val="000000"/>
          <w:kern w:val="0"/>
          <w:sz w:val="33"/>
          <w:szCs w:val="33"/>
        </w:rPr>
      </w:pPr>
      <w:r>
        <w:rPr>
          <w:rFonts w:eastAsia="仿宋_GB2312" w:hint="eastAsia"/>
          <w:color w:val="000000"/>
          <w:kern w:val="0"/>
          <w:sz w:val="33"/>
          <w:szCs w:val="33"/>
        </w:rPr>
        <w:t>疾控中心</w:t>
      </w:r>
      <w:r>
        <w:rPr>
          <w:rFonts w:eastAsia="仿宋_GB2312"/>
          <w:color w:val="000000"/>
          <w:kern w:val="0"/>
          <w:sz w:val="33"/>
          <w:szCs w:val="33"/>
        </w:rPr>
        <w:t>按照中央、省、市要求，认真核对</w:t>
      </w:r>
      <w:r>
        <w:rPr>
          <w:rFonts w:eastAsia="仿宋_GB2312" w:hint="eastAsia"/>
          <w:color w:val="000000"/>
          <w:kern w:val="0"/>
          <w:sz w:val="33"/>
          <w:szCs w:val="33"/>
        </w:rPr>
        <w:t>该</w:t>
      </w:r>
      <w:r>
        <w:rPr>
          <w:rFonts w:eastAsia="仿宋_GB2312"/>
          <w:color w:val="000000"/>
          <w:kern w:val="0"/>
          <w:sz w:val="33"/>
          <w:szCs w:val="33"/>
        </w:rPr>
        <w:t>项目资金，</w:t>
      </w:r>
      <w:r>
        <w:rPr>
          <w:rFonts w:eastAsia="仿宋_GB2312"/>
          <w:color w:val="000000"/>
          <w:kern w:val="0"/>
          <w:sz w:val="33"/>
          <w:szCs w:val="33"/>
        </w:rPr>
        <w:lastRenderedPageBreak/>
        <w:t>并造册管理，每年对各基层医疗卫生机构财务人员进行财经纪律上的培训，保障项目专款专用。</w:t>
      </w:r>
    </w:p>
    <w:p w:rsidR="00402A68" w:rsidRDefault="007B7C0C">
      <w:pPr>
        <w:spacing w:line="560" w:lineRule="exact"/>
        <w:ind w:firstLineChars="200" w:firstLine="640"/>
        <w:rPr>
          <w:rFonts w:eastAsia="黑体"/>
          <w:sz w:val="32"/>
          <w:szCs w:val="32"/>
        </w:rPr>
      </w:pPr>
      <w:r>
        <w:rPr>
          <w:rFonts w:eastAsia="黑体"/>
          <w:sz w:val="32"/>
          <w:szCs w:val="32"/>
        </w:rPr>
        <w:t>二、项目资金申报及使用情况</w:t>
      </w:r>
    </w:p>
    <w:p w:rsidR="00402A68" w:rsidRDefault="007B7C0C">
      <w:pPr>
        <w:spacing w:line="560" w:lineRule="exact"/>
        <w:ind w:firstLineChars="200" w:firstLine="640"/>
        <w:rPr>
          <w:rFonts w:eastAsia="楷体_GB2312"/>
          <w:sz w:val="32"/>
          <w:szCs w:val="32"/>
        </w:rPr>
      </w:pPr>
      <w:r>
        <w:rPr>
          <w:rFonts w:eastAsia="楷体_GB2312"/>
          <w:sz w:val="32"/>
          <w:szCs w:val="32"/>
        </w:rPr>
        <w:t>（一）项目资金申报及批复情况。</w:t>
      </w:r>
    </w:p>
    <w:p w:rsidR="00402A68" w:rsidRDefault="007B7C0C">
      <w:pPr>
        <w:autoSpaceDE w:val="0"/>
        <w:autoSpaceDN w:val="0"/>
        <w:adjustRightInd w:val="0"/>
        <w:spacing w:line="560" w:lineRule="exact"/>
        <w:ind w:firstLineChars="200" w:firstLine="660"/>
        <w:jc w:val="left"/>
        <w:rPr>
          <w:rFonts w:eastAsia="仿宋_GB2312"/>
          <w:color w:val="000000"/>
          <w:kern w:val="0"/>
          <w:sz w:val="33"/>
          <w:szCs w:val="33"/>
        </w:rPr>
      </w:pPr>
      <w:r>
        <w:rPr>
          <w:rFonts w:eastAsia="仿宋_GB2312" w:hint="eastAsia"/>
          <w:color w:val="000000"/>
          <w:kern w:val="0"/>
          <w:sz w:val="33"/>
          <w:szCs w:val="33"/>
        </w:rPr>
        <w:t>新冠疫苗紧急接种</w:t>
      </w:r>
      <w:r>
        <w:rPr>
          <w:rFonts w:eastAsia="仿宋_GB2312"/>
          <w:color w:val="000000"/>
          <w:kern w:val="0"/>
          <w:sz w:val="33"/>
          <w:szCs w:val="33"/>
        </w:rPr>
        <w:t>资金</w:t>
      </w:r>
      <w:r>
        <w:rPr>
          <w:rFonts w:eastAsia="仿宋_GB2312" w:hint="eastAsia"/>
          <w:color w:val="000000"/>
          <w:kern w:val="0"/>
          <w:sz w:val="33"/>
          <w:szCs w:val="33"/>
        </w:rPr>
        <w:t>由盐边县卫生健康局组织</w:t>
      </w:r>
      <w:r>
        <w:rPr>
          <w:rFonts w:eastAsia="仿宋_GB2312"/>
          <w:color w:val="000000"/>
          <w:kern w:val="0"/>
          <w:sz w:val="33"/>
          <w:szCs w:val="33"/>
        </w:rPr>
        <w:t>申报、</w:t>
      </w:r>
      <w:r>
        <w:rPr>
          <w:rFonts w:eastAsia="仿宋_GB2312" w:hint="eastAsia"/>
          <w:color w:val="000000"/>
          <w:kern w:val="0"/>
          <w:sz w:val="33"/>
          <w:szCs w:val="33"/>
        </w:rPr>
        <w:t>县财政根据实际情况予以</w:t>
      </w:r>
      <w:r>
        <w:rPr>
          <w:rFonts w:eastAsia="仿宋_GB2312"/>
          <w:color w:val="000000"/>
          <w:kern w:val="0"/>
          <w:sz w:val="33"/>
          <w:szCs w:val="33"/>
        </w:rPr>
        <w:t>批复及</w:t>
      </w:r>
      <w:r>
        <w:rPr>
          <w:rFonts w:eastAsia="仿宋_GB2312" w:hint="eastAsia"/>
          <w:color w:val="000000"/>
          <w:kern w:val="0"/>
          <w:sz w:val="33"/>
          <w:szCs w:val="33"/>
        </w:rPr>
        <w:t>进行</w:t>
      </w:r>
      <w:r>
        <w:rPr>
          <w:rFonts w:eastAsia="仿宋_GB2312"/>
          <w:color w:val="000000"/>
          <w:kern w:val="0"/>
          <w:sz w:val="33"/>
          <w:szCs w:val="33"/>
        </w:rPr>
        <w:t>预算调整。</w:t>
      </w:r>
    </w:p>
    <w:p w:rsidR="00402A68" w:rsidRDefault="007B7C0C">
      <w:pPr>
        <w:spacing w:line="560" w:lineRule="exact"/>
        <w:ind w:firstLineChars="200" w:firstLine="640"/>
        <w:rPr>
          <w:rFonts w:eastAsia="楷体_GB2312"/>
          <w:sz w:val="32"/>
          <w:szCs w:val="32"/>
        </w:rPr>
      </w:pPr>
      <w:r>
        <w:rPr>
          <w:rFonts w:eastAsia="楷体_GB2312"/>
          <w:sz w:val="32"/>
          <w:szCs w:val="32"/>
        </w:rPr>
        <w:t>（二）资金计划、到位及使用情况（可用表格形式反映）。</w:t>
      </w:r>
    </w:p>
    <w:p w:rsidR="00402A68" w:rsidRDefault="007B7C0C">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资金计划。</w:t>
      </w:r>
    </w:p>
    <w:p w:rsidR="00402A68" w:rsidRDefault="007B7C0C">
      <w:pPr>
        <w:spacing w:line="560" w:lineRule="exact"/>
        <w:ind w:firstLineChars="200" w:firstLine="640"/>
        <w:rPr>
          <w:rFonts w:eastAsia="仿宋_GB2312"/>
          <w:sz w:val="32"/>
          <w:szCs w:val="32"/>
        </w:rPr>
      </w:pPr>
      <w:r>
        <w:rPr>
          <w:rFonts w:eastAsia="仿宋_GB2312" w:hint="eastAsia"/>
          <w:sz w:val="32"/>
          <w:szCs w:val="32"/>
        </w:rPr>
        <w:t>县级财政资金下达</w:t>
      </w:r>
      <w:r>
        <w:rPr>
          <w:rFonts w:eastAsia="仿宋_GB2312" w:hint="eastAsia"/>
          <w:sz w:val="32"/>
          <w:szCs w:val="32"/>
        </w:rPr>
        <w:t>881940</w:t>
      </w:r>
      <w:r>
        <w:rPr>
          <w:rFonts w:eastAsia="仿宋_GB2312" w:hint="eastAsia"/>
          <w:sz w:val="32"/>
          <w:szCs w:val="32"/>
        </w:rPr>
        <w:t>元。</w:t>
      </w:r>
    </w:p>
    <w:p w:rsidR="00402A68" w:rsidRDefault="007B7C0C">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资金到位。</w:t>
      </w:r>
    </w:p>
    <w:p w:rsidR="00402A68" w:rsidRDefault="007B7C0C">
      <w:pPr>
        <w:spacing w:line="560" w:lineRule="exact"/>
        <w:ind w:firstLineChars="200" w:firstLine="640"/>
        <w:rPr>
          <w:rFonts w:eastAsia="仿宋_GB2312"/>
          <w:sz w:val="32"/>
          <w:szCs w:val="32"/>
        </w:rPr>
      </w:pPr>
      <w:r>
        <w:rPr>
          <w:rFonts w:eastAsia="仿宋_GB2312" w:hint="eastAsia"/>
          <w:sz w:val="32"/>
          <w:szCs w:val="32"/>
        </w:rPr>
        <w:t>2021</w:t>
      </w:r>
      <w:r>
        <w:rPr>
          <w:rFonts w:eastAsia="仿宋_GB2312" w:hint="eastAsia"/>
          <w:sz w:val="32"/>
          <w:szCs w:val="32"/>
        </w:rPr>
        <w:t>年到达新冠疫苗接种资金</w:t>
      </w:r>
      <w:r>
        <w:rPr>
          <w:rFonts w:eastAsia="仿宋_GB2312" w:hint="eastAsia"/>
          <w:sz w:val="32"/>
          <w:szCs w:val="32"/>
        </w:rPr>
        <w:t>120000</w:t>
      </w:r>
      <w:r>
        <w:rPr>
          <w:rFonts w:eastAsia="仿宋_GB2312" w:hint="eastAsia"/>
          <w:sz w:val="32"/>
          <w:szCs w:val="32"/>
        </w:rPr>
        <w:t>元，新冠疫苗接种冷链及信息化设备资金</w:t>
      </w:r>
      <w:r>
        <w:rPr>
          <w:rFonts w:eastAsia="仿宋_GB2312" w:hint="eastAsia"/>
          <w:sz w:val="32"/>
          <w:szCs w:val="32"/>
        </w:rPr>
        <w:t>761940</w:t>
      </w:r>
      <w:r>
        <w:rPr>
          <w:rFonts w:eastAsia="仿宋_GB2312" w:hint="eastAsia"/>
          <w:sz w:val="32"/>
          <w:szCs w:val="32"/>
        </w:rPr>
        <w:t>元，与计划资金相符，资金到位率</w:t>
      </w:r>
      <w:r>
        <w:rPr>
          <w:rFonts w:eastAsia="仿宋_GB2312" w:hint="eastAsia"/>
          <w:sz w:val="32"/>
          <w:szCs w:val="32"/>
        </w:rPr>
        <w:t>100</w:t>
      </w:r>
      <w:r>
        <w:rPr>
          <w:rFonts w:eastAsia="仿宋_GB2312" w:hint="eastAsia"/>
          <w:sz w:val="32"/>
          <w:szCs w:val="32"/>
        </w:rPr>
        <w:t>％。</w:t>
      </w:r>
    </w:p>
    <w:p w:rsidR="00402A68" w:rsidRDefault="007B7C0C">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资金使用。</w:t>
      </w:r>
    </w:p>
    <w:p w:rsidR="00402A68" w:rsidRDefault="007B7C0C">
      <w:pPr>
        <w:spacing w:line="560" w:lineRule="exact"/>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月全部资金用于购买新冠疫苗</w:t>
      </w:r>
      <w:r>
        <w:rPr>
          <w:rFonts w:eastAsia="仿宋_GB2312" w:hint="eastAsia"/>
          <w:sz w:val="32"/>
          <w:szCs w:val="32"/>
        </w:rPr>
        <w:t>及</w:t>
      </w:r>
      <w:r>
        <w:rPr>
          <w:rFonts w:eastAsia="仿宋_GB2312" w:hint="eastAsia"/>
          <w:sz w:val="32"/>
          <w:szCs w:val="32"/>
        </w:rPr>
        <w:t>与预算相符。</w:t>
      </w:r>
    </w:p>
    <w:p w:rsidR="00402A68" w:rsidRDefault="007B7C0C">
      <w:pPr>
        <w:spacing w:line="560" w:lineRule="exact"/>
        <w:ind w:firstLineChars="200" w:firstLine="640"/>
        <w:rPr>
          <w:rFonts w:eastAsia="楷体_GB2312"/>
          <w:sz w:val="32"/>
          <w:szCs w:val="32"/>
        </w:rPr>
      </w:pPr>
      <w:r>
        <w:rPr>
          <w:rFonts w:eastAsia="楷体_GB2312"/>
          <w:sz w:val="32"/>
          <w:szCs w:val="32"/>
        </w:rPr>
        <w:t>（三）项目财务管理情况。</w:t>
      </w:r>
    </w:p>
    <w:p w:rsidR="00402A68" w:rsidRDefault="007B7C0C">
      <w:pPr>
        <w:spacing w:line="560" w:lineRule="exact"/>
        <w:ind w:firstLineChars="200" w:firstLine="640"/>
        <w:rPr>
          <w:rFonts w:eastAsia="仿宋_GB2312"/>
          <w:sz w:val="32"/>
          <w:szCs w:val="32"/>
        </w:rPr>
      </w:pPr>
      <w:r>
        <w:rPr>
          <w:rFonts w:eastAsia="仿宋_GB2312" w:hint="eastAsia"/>
          <w:sz w:val="32"/>
          <w:szCs w:val="32"/>
        </w:rPr>
        <w:t>中心财务管理制度健全，严格执行财务管理制度，及时账务处理，会计核算规范，及时完成财务年报。</w:t>
      </w:r>
    </w:p>
    <w:p w:rsidR="00402A68" w:rsidRDefault="007B7C0C">
      <w:pPr>
        <w:spacing w:line="560" w:lineRule="exact"/>
        <w:ind w:firstLineChars="200" w:firstLine="640"/>
        <w:rPr>
          <w:rFonts w:eastAsia="黑体"/>
          <w:sz w:val="32"/>
          <w:szCs w:val="32"/>
        </w:rPr>
      </w:pPr>
      <w:r>
        <w:rPr>
          <w:rFonts w:eastAsia="黑体"/>
          <w:sz w:val="32"/>
          <w:szCs w:val="32"/>
        </w:rPr>
        <w:t>三、项目实施及管理情况</w:t>
      </w:r>
    </w:p>
    <w:p w:rsidR="00402A68" w:rsidRDefault="007B7C0C">
      <w:pPr>
        <w:spacing w:line="560" w:lineRule="exact"/>
        <w:ind w:firstLineChars="200" w:firstLine="640"/>
        <w:rPr>
          <w:rFonts w:eastAsia="仿宋_GB2312"/>
          <w:sz w:val="32"/>
          <w:szCs w:val="32"/>
        </w:rPr>
      </w:pPr>
      <w:r>
        <w:rPr>
          <w:rFonts w:eastAsia="仿宋_GB2312" w:hint="eastAsia"/>
          <w:sz w:val="32"/>
          <w:szCs w:val="32"/>
        </w:rPr>
        <w:t>新冠疫苗接种时间是</w:t>
      </w: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月，盐边县疾控中心免疫规划科按照上级要求开展工作。</w:t>
      </w:r>
    </w:p>
    <w:p w:rsidR="00402A68" w:rsidRDefault="007B7C0C">
      <w:pPr>
        <w:pStyle w:val="a6"/>
        <w:numPr>
          <w:ilvl w:val="0"/>
          <w:numId w:val="1"/>
        </w:numPr>
        <w:spacing w:line="560" w:lineRule="exact"/>
        <w:ind w:firstLineChars="0"/>
        <w:rPr>
          <w:rFonts w:eastAsia="楷体_GB2312"/>
          <w:sz w:val="32"/>
          <w:szCs w:val="32"/>
        </w:rPr>
      </w:pPr>
      <w:r>
        <w:rPr>
          <w:rFonts w:eastAsia="楷体_GB2312"/>
          <w:sz w:val="32"/>
          <w:szCs w:val="32"/>
        </w:rPr>
        <w:t>项目组织架构及实施流程。</w:t>
      </w:r>
    </w:p>
    <w:p w:rsidR="00402A68" w:rsidRDefault="007B7C0C">
      <w:pPr>
        <w:spacing w:line="560" w:lineRule="exact"/>
        <w:ind w:firstLineChars="200" w:firstLine="640"/>
        <w:rPr>
          <w:rFonts w:eastAsia="仿宋_GB2312"/>
          <w:sz w:val="32"/>
          <w:szCs w:val="32"/>
        </w:rPr>
      </w:pPr>
      <w:r>
        <w:rPr>
          <w:rFonts w:eastAsia="仿宋_GB2312" w:hint="eastAsia"/>
          <w:sz w:val="32"/>
          <w:szCs w:val="32"/>
        </w:rPr>
        <w:lastRenderedPageBreak/>
        <w:t>全人群新冠疫苗接种时间是</w:t>
      </w:r>
      <w:r>
        <w:rPr>
          <w:rFonts w:eastAsia="仿宋_GB2312" w:hint="eastAsia"/>
          <w:sz w:val="32"/>
          <w:szCs w:val="32"/>
        </w:rPr>
        <w:t>2021</w:t>
      </w:r>
      <w:r>
        <w:rPr>
          <w:rFonts w:eastAsia="仿宋_GB2312" w:hint="eastAsia"/>
          <w:sz w:val="32"/>
          <w:szCs w:val="32"/>
        </w:rPr>
        <w:t>年</w:t>
      </w:r>
      <w:r>
        <w:rPr>
          <w:rFonts w:eastAsia="仿宋_GB2312" w:hint="eastAsia"/>
          <w:sz w:val="32"/>
          <w:szCs w:val="32"/>
        </w:rPr>
        <w:t>4</w:t>
      </w:r>
      <w:r>
        <w:rPr>
          <w:rFonts w:eastAsia="仿宋_GB2312" w:hint="eastAsia"/>
          <w:sz w:val="32"/>
          <w:szCs w:val="32"/>
        </w:rPr>
        <w:t>月，盐边县疾控中心免疫规划科按照上级要求开展工作。</w:t>
      </w:r>
    </w:p>
    <w:p w:rsidR="00402A68" w:rsidRDefault="007B7C0C">
      <w:pPr>
        <w:pStyle w:val="a6"/>
        <w:spacing w:line="560" w:lineRule="exact"/>
        <w:ind w:left="640" w:firstLineChars="0" w:firstLine="0"/>
        <w:rPr>
          <w:rFonts w:eastAsia="仿宋_GB2312"/>
          <w:sz w:val="32"/>
          <w:szCs w:val="32"/>
        </w:rPr>
      </w:pPr>
      <w:r>
        <w:rPr>
          <w:rFonts w:eastAsia="楷体_GB2312" w:hint="eastAsia"/>
          <w:sz w:val="32"/>
          <w:szCs w:val="32"/>
        </w:rPr>
        <w:t>（</w:t>
      </w:r>
      <w:r>
        <w:rPr>
          <w:rFonts w:eastAsia="楷体_GB2312" w:hint="eastAsia"/>
          <w:sz w:val="32"/>
          <w:szCs w:val="32"/>
        </w:rPr>
        <w:t>二</w:t>
      </w:r>
      <w:r>
        <w:rPr>
          <w:rFonts w:eastAsia="楷体_GB2312" w:hint="eastAsia"/>
          <w:sz w:val="32"/>
          <w:szCs w:val="32"/>
        </w:rPr>
        <w:t>）</w:t>
      </w:r>
      <w:r>
        <w:rPr>
          <w:rFonts w:eastAsia="楷体_GB2312"/>
          <w:sz w:val="32"/>
          <w:szCs w:val="32"/>
        </w:rPr>
        <w:t>项目管理情况。</w:t>
      </w:r>
      <w:r>
        <w:rPr>
          <w:rFonts w:eastAsia="仿宋_GB2312"/>
          <w:sz w:val="32"/>
          <w:szCs w:val="32"/>
        </w:rPr>
        <w:t>实施单位执行相关法律法规及项。</w:t>
      </w:r>
    </w:p>
    <w:p w:rsidR="00402A68" w:rsidRDefault="007B7C0C">
      <w:pPr>
        <w:spacing w:line="560" w:lineRule="exact"/>
        <w:ind w:firstLineChars="200" w:firstLine="640"/>
        <w:rPr>
          <w:rFonts w:eastAsia="仿宋_GB2312"/>
          <w:sz w:val="32"/>
          <w:szCs w:val="32"/>
        </w:rPr>
      </w:pPr>
      <w:r>
        <w:rPr>
          <w:rFonts w:eastAsia="仿宋_GB2312" w:hint="eastAsia"/>
          <w:sz w:val="32"/>
          <w:szCs w:val="32"/>
        </w:rPr>
        <w:t>执行单位遵守相关法律法规及项目管理制度。</w:t>
      </w:r>
    </w:p>
    <w:p w:rsidR="00402A68" w:rsidRDefault="007B7C0C">
      <w:pPr>
        <w:pStyle w:val="a6"/>
        <w:numPr>
          <w:ilvl w:val="0"/>
          <w:numId w:val="1"/>
        </w:numPr>
        <w:spacing w:line="560" w:lineRule="exact"/>
        <w:ind w:firstLineChars="0"/>
        <w:rPr>
          <w:rFonts w:eastAsia="仿宋_GB2312"/>
          <w:sz w:val="32"/>
          <w:szCs w:val="32"/>
        </w:rPr>
      </w:pPr>
      <w:r>
        <w:rPr>
          <w:rFonts w:eastAsia="楷体_GB2312"/>
          <w:sz w:val="32"/>
          <w:szCs w:val="32"/>
        </w:rPr>
        <w:t>项目监管情况。</w:t>
      </w:r>
    </w:p>
    <w:p w:rsidR="00402A68" w:rsidRDefault="007B7C0C">
      <w:pPr>
        <w:spacing w:line="560" w:lineRule="exact"/>
        <w:ind w:firstLineChars="200" w:firstLine="660"/>
        <w:rPr>
          <w:rFonts w:eastAsia="仿宋_GB2312"/>
          <w:sz w:val="32"/>
          <w:szCs w:val="32"/>
        </w:rPr>
      </w:pPr>
      <w:r>
        <w:rPr>
          <w:rFonts w:eastAsia="仿宋_GB2312" w:hint="eastAsia"/>
          <w:sz w:val="33"/>
          <w:szCs w:val="33"/>
        </w:rPr>
        <w:t>盐边县疾控中心</w:t>
      </w:r>
      <w:r>
        <w:rPr>
          <w:rFonts w:eastAsia="仿宋_GB2312"/>
          <w:sz w:val="33"/>
          <w:szCs w:val="33"/>
        </w:rPr>
        <w:t>将加强</w:t>
      </w:r>
      <w:r>
        <w:rPr>
          <w:rFonts w:eastAsia="仿宋_GB2312" w:hint="eastAsia"/>
          <w:sz w:val="33"/>
          <w:szCs w:val="33"/>
        </w:rPr>
        <w:t>新冠疫苗接种工作</w:t>
      </w:r>
      <w:r>
        <w:rPr>
          <w:rFonts w:eastAsia="仿宋_GB2312"/>
          <w:sz w:val="33"/>
          <w:szCs w:val="33"/>
        </w:rPr>
        <w:t>技术指导和督导</w:t>
      </w:r>
      <w:r>
        <w:rPr>
          <w:rFonts w:eastAsia="仿宋_GB2312" w:hint="eastAsia"/>
          <w:sz w:val="33"/>
          <w:szCs w:val="33"/>
        </w:rPr>
        <w:t>及</w:t>
      </w:r>
      <w:r>
        <w:rPr>
          <w:rFonts w:eastAsia="仿宋_GB2312" w:hint="eastAsia"/>
          <w:sz w:val="32"/>
          <w:szCs w:val="32"/>
        </w:rPr>
        <w:t>新冠疫苗接种冷链及信息化设备</w:t>
      </w:r>
      <w:r>
        <w:rPr>
          <w:rFonts w:eastAsia="仿宋_GB2312" w:hint="eastAsia"/>
          <w:sz w:val="32"/>
          <w:szCs w:val="32"/>
        </w:rPr>
        <w:t>的</w:t>
      </w:r>
      <w:r>
        <w:rPr>
          <w:rFonts w:eastAsia="仿宋_GB2312" w:hint="eastAsia"/>
          <w:sz w:val="32"/>
          <w:szCs w:val="32"/>
        </w:rPr>
        <w:t>采购监管</w:t>
      </w:r>
      <w:r>
        <w:rPr>
          <w:rFonts w:eastAsia="楷体_GB2312"/>
          <w:sz w:val="32"/>
          <w:szCs w:val="32"/>
        </w:rPr>
        <w:t>。</w:t>
      </w:r>
    </w:p>
    <w:p w:rsidR="00402A68" w:rsidRDefault="007B7C0C">
      <w:pPr>
        <w:spacing w:line="560" w:lineRule="exact"/>
        <w:ind w:firstLineChars="200" w:firstLine="640"/>
        <w:rPr>
          <w:rFonts w:eastAsia="黑体"/>
          <w:sz w:val="32"/>
          <w:szCs w:val="32"/>
        </w:rPr>
      </w:pPr>
      <w:r>
        <w:rPr>
          <w:rFonts w:eastAsia="黑体"/>
          <w:sz w:val="32"/>
          <w:szCs w:val="32"/>
        </w:rPr>
        <w:t>四、项目绩效情况</w:t>
      </w:r>
      <w:r>
        <w:rPr>
          <w:rFonts w:eastAsia="黑体"/>
          <w:sz w:val="32"/>
          <w:szCs w:val="32"/>
        </w:rPr>
        <w:tab/>
      </w:r>
    </w:p>
    <w:p w:rsidR="00402A68" w:rsidRDefault="007B7C0C">
      <w:pPr>
        <w:spacing w:line="560" w:lineRule="exact"/>
        <w:ind w:firstLineChars="200" w:firstLine="640"/>
        <w:rPr>
          <w:rFonts w:eastAsia="楷体_GB2312"/>
          <w:sz w:val="32"/>
          <w:szCs w:val="32"/>
        </w:rPr>
      </w:pPr>
      <w:r>
        <w:rPr>
          <w:rFonts w:eastAsia="楷体_GB2312"/>
          <w:sz w:val="32"/>
          <w:szCs w:val="32"/>
        </w:rPr>
        <w:t>（一）项目完成情况。</w:t>
      </w:r>
    </w:p>
    <w:p w:rsidR="00402A68" w:rsidRDefault="007B7C0C">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新冠病毒灭活疫苗用于紧急使用的免疫程序为</w:t>
      </w:r>
      <w:r>
        <w:rPr>
          <w:rFonts w:eastAsia="仿宋_GB2312" w:hint="eastAsia"/>
          <w:sz w:val="32"/>
          <w:szCs w:val="32"/>
        </w:rPr>
        <w:t>2</w:t>
      </w:r>
      <w:r>
        <w:rPr>
          <w:rFonts w:eastAsia="仿宋_GB2312" w:hint="eastAsia"/>
          <w:sz w:val="32"/>
          <w:szCs w:val="32"/>
        </w:rPr>
        <w:t>剂次，间隔</w:t>
      </w:r>
      <w:r>
        <w:rPr>
          <w:rFonts w:eastAsia="仿宋_GB2312" w:hint="eastAsia"/>
          <w:sz w:val="32"/>
          <w:szCs w:val="32"/>
        </w:rPr>
        <w:t>14</w:t>
      </w:r>
      <w:r>
        <w:rPr>
          <w:rFonts w:eastAsia="仿宋_GB2312" w:hint="eastAsia"/>
          <w:sz w:val="32"/>
          <w:szCs w:val="32"/>
        </w:rPr>
        <w:t>天或</w:t>
      </w:r>
      <w:r>
        <w:rPr>
          <w:rFonts w:eastAsia="仿宋_GB2312" w:hint="eastAsia"/>
          <w:sz w:val="32"/>
          <w:szCs w:val="32"/>
        </w:rPr>
        <w:t>28</w:t>
      </w:r>
      <w:r>
        <w:rPr>
          <w:rFonts w:eastAsia="仿宋_GB2312" w:hint="eastAsia"/>
          <w:sz w:val="32"/>
          <w:szCs w:val="32"/>
        </w:rPr>
        <w:t>天。新冠病毒灭活疫苗采购价是</w:t>
      </w:r>
      <w:r>
        <w:rPr>
          <w:rFonts w:eastAsia="仿宋_GB2312" w:hint="eastAsia"/>
          <w:sz w:val="32"/>
          <w:szCs w:val="32"/>
        </w:rPr>
        <w:t>200</w:t>
      </w:r>
      <w:r>
        <w:rPr>
          <w:rFonts w:eastAsia="仿宋_GB2312" w:hint="eastAsia"/>
          <w:sz w:val="32"/>
          <w:szCs w:val="32"/>
        </w:rPr>
        <w:t>元</w:t>
      </w:r>
      <w:r>
        <w:rPr>
          <w:rFonts w:eastAsia="仿宋_GB2312" w:hint="eastAsia"/>
          <w:sz w:val="32"/>
          <w:szCs w:val="32"/>
        </w:rPr>
        <w:t>/</w:t>
      </w:r>
      <w:r>
        <w:rPr>
          <w:rFonts w:eastAsia="仿宋_GB2312" w:hint="eastAsia"/>
          <w:sz w:val="32"/>
          <w:szCs w:val="32"/>
        </w:rPr>
        <w:t>支。</w:t>
      </w:r>
    </w:p>
    <w:p w:rsidR="00402A68" w:rsidRDefault="007B7C0C">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新冠疫苗接种冷链及信息化设备配置到位，各接种点正常使用。</w:t>
      </w:r>
    </w:p>
    <w:p w:rsidR="00402A68" w:rsidRDefault="007B7C0C">
      <w:pPr>
        <w:spacing w:line="560" w:lineRule="exact"/>
        <w:ind w:firstLineChars="200" w:firstLine="640"/>
        <w:rPr>
          <w:rFonts w:eastAsia="楷体_GB2312"/>
          <w:sz w:val="32"/>
          <w:szCs w:val="32"/>
        </w:rPr>
      </w:pPr>
      <w:r>
        <w:rPr>
          <w:rFonts w:eastAsia="楷体_GB2312"/>
          <w:sz w:val="32"/>
          <w:szCs w:val="32"/>
        </w:rPr>
        <w:t>（二）项目效益情况。</w:t>
      </w:r>
    </w:p>
    <w:p w:rsidR="00402A68" w:rsidRDefault="007B7C0C">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结合计划分配数量、重点人群风险暴露等级和数量等情况，按照属地原则分配疫苗计划。做好统筹安排，以确保全县新冠肺炎疫情防控有力有序有效推进。</w:t>
      </w:r>
      <w:r>
        <w:rPr>
          <w:rFonts w:eastAsia="仿宋_GB2312" w:hint="eastAsia"/>
          <w:sz w:val="32"/>
          <w:szCs w:val="32"/>
        </w:rPr>
        <w:t>12</w:t>
      </w:r>
      <w:r>
        <w:rPr>
          <w:rFonts w:eastAsia="仿宋_GB2312" w:hint="eastAsia"/>
          <w:sz w:val="32"/>
          <w:szCs w:val="32"/>
        </w:rPr>
        <w:t>月底完成</w:t>
      </w:r>
      <w:r>
        <w:rPr>
          <w:rFonts w:eastAsia="仿宋_GB2312" w:hint="eastAsia"/>
          <w:sz w:val="32"/>
          <w:szCs w:val="32"/>
        </w:rPr>
        <w:t>300</w:t>
      </w:r>
      <w:r>
        <w:rPr>
          <w:rFonts w:eastAsia="仿宋_GB2312" w:hint="eastAsia"/>
          <w:sz w:val="32"/>
          <w:szCs w:val="32"/>
        </w:rPr>
        <w:t>人的第一剂接种。</w:t>
      </w:r>
    </w:p>
    <w:p w:rsidR="00402A68" w:rsidRDefault="007B7C0C">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结合乡镇人员摸排情况，做好物资和疫苗统筹安排，确保应种尽种，尽快建立群体免疫屏障。</w:t>
      </w:r>
    </w:p>
    <w:p w:rsidR="00402A68" w:rsidRDefault="007B7C0C">
      <w:pPr>
        <w:spacing w:line="560" w:lineRule="exact"/>
        <w:ind w:firstLineChars="200" w:firstLine="640"/>
        <w:rPr>
          <w:rFonts w:eastAsia="黑体"/>
          <w:sz w:val="32"/>
          <w:szCs w:val="32"/>
        </w:rPr>
      </w:pPr>
      <w:r>
        <w:rPr>
          <w:rFonts w:eastAsia="黑体"/>
          <w:sz w:val="32"/>
          <w:szCs w:val="32"/>
        </w:rPr>
        <w:t>五、评价结论及建议</w:t>
      </w:r>
    </w:p>
    <w:p w:rsidR="00402A68" w:rsidRDefault="007B7C0C">
      <w:pPr>
        <w:spacing w:line="560" w:lineRule="exact"/>
        <w:ind w:firstLineChars="200" w:firstLine="640"/>
        <w:rPr>
          <w:rFonts w:eastAsia="楷体_GB2312"/>
          <w:sz w:val="32"/>
          <w:szCs w:val="32"/>
        </w:rPr>
      </w:pPr>
      <w:r>
        <w:rPr>
          <w:rFonts w:eastAsia="楷体_GB2312"/>
          <w:sz w:val="32"/>
          <w:szCs w:val="32"/>
        </w:rPr>
        <w:t>（一）评价结论。</w:t>
      </w:r>
    </w:p>
    <w:p w:rsidR="00402A68" w:rsidRDefault="007B7C0C">
      <w:pPr>
        <w:spacing w:line="560" w:lineRule="exact"/>
        <w:ind w:firstLineChars="200" w:firstLine="640"/>
        <w:rPr>
          <w:rFonts w:eastAsia="仿宋_GB2312"/>
          <w:sz w:val="32"/>
          <w:szCs w:val="32"/>
        </w:rPr>
      </w:pPr>
      <w:r>
        <w:rPr>
          <w:rFonts w:eastAsia="仿宋_GB2312" w:hint="eastAsia"/>
          <w:sz w:val="32"/>
          <w:szCs w:val="32"/>
        </w:rPr>
        <w:lastRenderedPageBreak/>
        <w:t>1.12</w:t>
      </w:r>
      <w:r>
        <w:rPr>
          <w:rFonts w:eastAsia="仿宋_GB2312" w:hint="eastAsia"/>
          <w:sz w:val="32"/>
          <w:szCs w:val="32"/>
        </w:rPr>
        <w:t>月底完成</w:t>
      </w:r>
      <w:r>
        <w:rPr>
          <w:rFonts w:eastAsia="仿宋_GB2312" w:hint="eastAsia"/>
          <w:sz w:val="32"/>
          <w:szCs w:val="32"/>
        </w:rPr>
        <w:t>300</w:t>
      </w:r>
      <w:r>
        <w:rPr>
          <w:rFonts w:eastAsia="仿宋_GB2312" w:hint="eastAsia"/>
          <w:sz w:val="32"/>
          <w:szCs w:val="32"/>
        </w:rPr>
        <w:t>人的第一剂接种。项目总体指标完成较好，均能完成评价指标，达到预期值。</w:t>
      </w:r>
    </w:p>
    <w:p w:rsidR="00402A68" w:rsidRDefault="007B7C0C">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新冠疫苗接种冷链及信息化设备配置到位，各接种点正常使用。</w:t>
      </w:r>
    </w:p>
    <w:p w:rsidR="00402A68" w:rsidRDefault="007B7C0C">
      <w:pPr>
        <w:numPr>
          <w:ilvl w:val="0"/>
          <w:numId w:val="1"/>
        </w:numPr>
        <w:spacing w:line="560" w:lineRule="exact"/>
        <w:rPr>
          <w:rFonts w:eastAsia="楷体_GB2312"/>
          <w:sz w:val="32"/>
          <w:szCs w:val="32"/>
        </w:rPr>
      </w:pPr>
      <w:r>
        <w:rPr>
          <w:rFonts w:eastAsia="楷体_GB2312"/>
          <w:sz w:val="32"/>
          <w:szCs w:val="32"/>
        </w:rPr>
        <w:t>存在的问题。</w:t>
      </w:r>
    </w:p>
    <w:p w:rsidR="00402A68" w:rsidRDefault="007B7C0C">
      <w:pPr>
        <w:spacing w:line="560" w:lineRule="exact"/>
        <w:ind w:firstLineChars="200" w:firstLine="640"/>
        <w:rPr>
          <w:rFonts w:eastAsia="仿宋_GB2312"/>
          <w:sz w:val="32"/>
          <w:szCs w:val="32"/>
        </w:rPr>
      </w:pPr>
      <w:r>
        <w:rPr>
          <w:rFonts w:eastAsia="仿宋_GB2312" w:hint="eastAsia"/>
          <w:sz w:val="32"/>
          <w:szCs w:val="32"/>
        </w:rPr>
        <w:t>无</w:t>
      </w:r>
    </w:p>
    <w:p w:rsidR="00402A68" w:rsidRDefault="007B7C0C">
      <w:pPr>
        <w:spacing w:line="560" w:lineRule="exact"/>
        <w:ind w:firstLineChars="200" w:firstLine="640"/>
        <w:rPr>
          <w:rFonts w:eastAsia="楷体_GB2312"/>
          <w:sz w:val="32"/>
          <w:szCs w:val="32"/>
        </w:rPr>
      </w:pPr>
      <w:r>
        <w:rPr>
          <w:rFonts w:eastAsia="楷体_GB2312"/>
          <w:sz w:val="32"/>
          <w:szCs w:val="32"/>
        </w:rPr>
        <w:t>（三）相关建议。</w:t>
      </w:r>
    </w:p>
    <w:p w:rsidR="00402A68" w:rsidRDefault="007B7C0C">
      <w:pPr>
        <w:pStyle w:val="a3"/>
        <w:spacing w:line="600" w:lineRule="exact"/>
        <w:ind w:firstLineChars="250" w:firstLine="800"/>
        <w:jc w:val="left"/>
        <w:rPr>
          <w:rFonts w:asciiTheme="minorHAnsi" w:eastAsia="仿宋_GB2312" w:hAnsiTheme="minorHAnsi"/>
          <w:sz w:val="32"/>
          <w:szCs w:val="32"/>
        </w:rPr>
      </w:pPr>
      <w:r>
        <w:rPr>
          <w:rFonts w:asciiTheme="minorHAnsi" w:eastAsia="仿宋_GB2312" w:hAnsiTheme="minorHAnsi" w:hint="eastAsia"/>
          <w:sz w:val="32"/>
          <w:szCs w:val="32"/>
        </w:rPr>
        <w:t>加快建立健全工作机制，强化工作职责，加强对项目资金的管理，及时分析汇总存在问题，采取有效措施，确保项目工作全面有序健康发展。</w:t>
      </w:r>
    </w:p>
    <w:p w:rsidR="00402A68" w:rsidRDefault="00402A68">
      <w:pPr>
        <w:spacing w:line="480" w:lineRule="auto"/>
        <w:rPr>
          <w:rFonts w:ascii="方正仿宋_GBK" w:eastAsia="方正仿宋_GBK" w:hAnsi="方正仿宋_GBK" w:cs="方正仿宋_GBK"/>
          <w:sz w:val="32"/>
          <w:szCs w:val="32"/>
        </w:rPr>
      </w:pPr>
    </w:p>
    <w:p w:rsidR="00402A68" w:rsidRDefault="00402A68">
      <w:pPr>
        <w:spacing w:line="480" w:lineRule="auto"/>
        <w:rPr>
          <w:rFonts w:ascii="方正仿宋_GBK" w:eastAsia="方正仿宋_GBK" w:hAnsi="方正仿宋_GBK" w:cs="方正仿宋_GBK"/>
          <w:sz w:val="32"/>
          <w:szCs w:val="32"/>
        </w:rPr>
      </w:pPr>
    </w:p>
    <w:p w:rsidR="00402A68" w:rsidRDefault="007B7C0C">
      <w:pPr>
        <w:jc w:val="right"/>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rPr>
        <w:t>盐边县疾病预防控制中心</w:t>
      </w:r>
    </w:p>
    <w:p w:rsidR="00402A68" w:rsidRDefault="007B7C0C">
      <w:pPr>
        <w:jc w:val="center"/>
        <w:rPr>
          <w:rFonts w:ascii="方正仿宋_GBK" w:eastAsia="方正仿宋_GBK" w:hAnsi="方正仿宋_GBK" w:cs="方正仿宋_GBK"/>
          <w:sz w:val="32"/>
          <w:szCs w:val="32"/>
        </w:rPr>
      </w:pPr>
      <w:r>
        <w:rPr>
          <w:rFonts w:ascii="仿宋_GB2312" w:eastAsia="仿宋_GB2312" w:hAnsi="Times New Roman" w:hint="eastAsia"/>
          <w:sz w:val="32"/>
          <w:szCs w:val="32"/>
        </w:rPr>
        <w:t xml:space="preserve">                                 2022</w:t>
      </w:r>
      <w:r>
        <w:rPr>
          <w:rFonts w:ascii="仿宋_GB2312" w:eastAsia="仿宋_GB2312" w:hAnsi="Times New Roman" w:hint="eastAsia"/>
          <w:sz w:val="32"/>
          <w:szCs w:val="32"/>
        </w:rPr>
        <w:t>年</w:t>
      </w:r>
      <w:r>
        <w:rPr>
          <w:rFonts w:ascii="仿宋_GB2312" w:eastAsia="仿宋_GB2312" w:hAnsi="Times New Roman" w:hint="eastAsia"/>
          <w:sz w:val="32"/>
          <w:szCs w:val="32"/>
        </w:rPr>
        <w:t>5</w:t>
      </w:r>
      <w:r>
        <w:rPr>
          <w:rFonts w:ascii="仿宋_GB2312" w:eastAsia="仿宋_GB2312" w:hAnsi="Times New Roman" w:hint="eastAsia"/>
          <w:sz w:val="32"/>
          <w:szCs w:val="32"/>
        </w:rPr>
        <w:t>月</w:t>
      </w:r>
      <w:r>
        <w:rPr>
          <w:rFonts w:ascii="仿宋_GB2312" w:eastAsia="仿宋_GB2312" w:hAnsi="Times New Roman" w:hint="eastAsia"/>
          <w:sz w:val="32"/>
          <w:szCs w:val="32"/>
        </w:rPr>
        <w:t>8</w:t>
      </w:r>
      <w:r w:rsidR="00C97406">
        <w:rPr>
          <w:rFonts w:ascii="仿宋_GB2312" w:eastAsia="仿宋_GB2312" w:hAnsi="Times New Roman" w:hint="eastAsia"/>
          <w:sz w:val="32"/>
          <w:szCs w:val="32"/>
        </w:rPr>
        <w:t>日</w:t>
      </w:r>
    </w:p>
    <w:sectPr w:rsidR="00402A68" w:rsidSect="00402A6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0C" w:rsidRDefault="007B7C0C" w:rsidP="00C97406">
      <w:r>
        <w:separator/>
      </w:r>
    </w:p>
  </w:endnote>
  <w:endnote w:type="continuationSeparator" w:id="0">
    <w:p w:rsidR="007B7C0C" w:rsidRDefault="007B7C0C" w:rsidP="00C97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0C" w:rsidRDefault="007B7C0C" w:rsidP="00C97406">
      <w:r>
        <w:separator/>
      </w:r>
    </w:p>
  </w:footnote>
  <w:footnote w:type="continuationSeparator" w:id="0">
    <w:p w:rsidR="007B7C0C" w:rsidRDefault="007B7C0C" w:rsidP="00C97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903"/>
    <w:multiLevelType w:val="multilevel"/>
    <w:tmpl w:val="01F8490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D53019"/>
    <w:rsid w:val="000D34E2"/>
    <w:rsid w:val="001F3DF4"/>
    <w:rsid w:val="00402A68"/>
    <w:rsid w:val="004872F0"/>
    <w:rsid w:val="006C5AB7"/>
    <w:rsid w:val="007B7C0C"/>
    <w:rsid w:val="00826F48"/>
    <w:rsid w:val="009449C5"/>
    <w:rsid w:val="00C97406"/>
    <w:rsid w:val="00EC0C82"/>
    <w:rsid w:val="00EF3D9C"/>
    <w:rsid w:val="034908E5"/>
    <w:rsid w:val="04A8794D"/>
    <w:rsid w:val="12622024"/>
    <w:rsid w:val="1C6F4128"/>
    <w:rsid w:val="1E197F83"/>
    <w:rsid w:val="22E10EF0"/>
    <w:rsid w:val="2A9070A8"/>
    <w:rsid w:val="32471165"/>
    <w:rsid w:val="349E16BB"/>
    <w:rsid w:val="3C8C3A3D"/>
    <w:rsid w:val="3F152B6E"/>
    <w:rsid w:val="54F4015B"/>
    <w:rsid w:val="555E51D5"/>
    <w:rsid w:val="60551233"/>
    <w:rsid w:val="69D53019"/>
    <w:rsid w:val="6DED6A08"/>
    <w:rsid w:val="6E470221"/>
    <w:rsid w:val="79F93240"/>
    <w:rsid w:val="7C386EC2"/>
    <w:rsid w:val="7F621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A6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02A68"/>
    <w:pPr>
      <w:keepNext/>
      <w:keepLines/>
      <w:spacing w:before="340" w:after="330" w:line="576" w:lineRule="auto"/>
      <w:outlineLvl w:val="0"/>
    </w:pPr>
    <w:rPr>
      <w:b/>
      <w:kern w:val="44"/>
      <w:sz w:val="44"/>
    </w:rPr>
  </w:style>
  <w:style w:type="paragraph" w:styleId="2">
    <w:name w:val="heading 2"/>
    <w:basedOn w:val="a"/>
    <w:next w:val="a"/>
    <w:unhideWhenUsed/>
    <w:qFormat/>
    <w:rsid w:val="00402A68"/>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402A68"/>
    <w:rPr>
      <w:rFonts w:ascii="宋体" w:hAnsi="Courier New"/>
    </w:rPr>
  </w:style>
  <w:style w:type="paragraph" w:styleId="a4">
    <w:name w:val="footer"/>
    <w:basedOn w:val="a"/>
    <w:qFormat/>
    <w:rsid w:val="00402A68"/>
    <w:pPr>
      <w:tabs>
        <w:tab w:val="center" w:pos="4153"/>
        <w:tab w:val="right" w:pos="8306"/>
      </w:tabs>
      <w:snapToGrid w:val="0"/>
      <w:jc w:val="left"/>
    </w:pPr>
    <w:rPr>
      <w:sz w:val="18"/>
      <w:szCs w:val="18"/>
    </w:rPr>
  </w:style>
  <w:style w:type="character" w:styleId="a5">
    <w:name w:val="page number"/>
    <w:qFormat/>
    <w:rsid w:val="00402A68"/>
  </w:style>
  <w:style w:type="character" w:customStyle="1" w:styleId="font21">
    <w:name w:val="font21"/>
    <w:qFormat/>
    <w:rsid w:val="00402A68"/>
    <w:rPr>
      <w:rFonts w:ascii="Times New Roman" w:hAnsi="Times New Roman" w:cs="Times New Roman" w:hint="default"/>
      <w:color w:val="000000"/>
      <w:sz w:val="20"/>
      <w:szCs w:val="20"/>
      <w:u w:val="none"/>
    </w:rPr>
  </w:style>
  <w:style w:type="character" w:customStyle="1" w:styleId="font31">
    <w:name w:val="font31"/>
    <w:qFormat/>
    <w:rsid w:val="00402A68"/>
    <w:rPr>
      <w:rFonts w:ascii="宋体" w:eastAsia="宋体" w:hAnsi="宋体" w:cs="宋体" w:hint="eastAsia"/>
      <w:color w:val="000000"/>
      <w:sz w:val="20"/>
      <w:szCs w:val="20"/>
      <w:u w:val="none"/>
    </w:rPr>
  </w:style>
  <w:style w:type="paragraph" w:styleId="a6">
    <w:name w:val="List Paragraph"/>
    <w:basedOn w:val="a"/>
    <w:uiPriority w:val="99"/>
    <w:unhideWhenUsed/>
    <w:qFormat/>
    <w:rsid w:val="00402A68"/>
    <w:pPr>
      <w:ind w:firstLineChars="200" w:firstLine="420"/>
    </w:pPr>
  </w:style>
  <w:style w:type="paragraph" w:styleId="a7">
    <w:name w:val="header"/>
    <w:basedOn w:val="a"/>
    <w:link w:val="Char"/>
    <w:rsid w:val="00C97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C9740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2"/>
        </a:lnRef>
        <a:fillRef idx="0">
          <a:schemeClr val="accent2"/>
        </a:fillRef>
        <a:effectRef idx="0">
          <a:schemeClr val="accent2"/>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326</Words>
  <Characters>1860</Characters>
  <Application>Microsoft Office Word</Application>
  <DocSecurity>0</DocSecurity>
  <Lines>15</Lines>
  <Paragraphs>4</Paragraphs>
  <ScaleCrop>false</ScaleCrop>
  <Company>Organization</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吴绍英</cp:lastModifiedBy>
  <cp:revision>4</cp:revision>
  <cp:lastPrinted>2021-06-24T01:12:00Z</cp:lastPrinted>
  <dcterms:created xsi:type="dcterms:W3CDTF">2022-05-12T04:18:00Z</dcterms:created>
  <dcterms:modified xsi:type="dcterms:W3CDTF">2022-05-19T01:10:00Z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1AC8948E70194B2CA28093EB956B8DB7</vt:lpwstr>
  </property>
</Properties>
</file>