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hint="eastAsia" w:ascii="方正小标宋_GBK" w:hAnsi="方正小标宋_GBK" w:eastAsia="方正小标宋_GBK" w:cs="方正小标宋_GBK"/>
          <w:b/>
          <w:bCs/>
          <w:sz w:val="39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39"/>
          <w:szCs w:val="44"/>
        </w:rPr>
        <w:t>盐边县惠民镇人民政府</w:t>
      </w:r>
    </w:p>
    <w:p>
      <w:pPr>
        <w:spacing w:line="640" w:lineRule="exact"/>
        <w:jc w:val="center"/>
        <w:rPr>
          <w:rFonts w:hint="default" w:ascii="Times New Roman" w:hAnsi="Times New Roman" w:eastAsia="方正楷体_GBK" w:cs="Times New Roman"/>
          <w:b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39"/>
          <w:szCs w:val="44"/>
        </w:rPr>
        <w:t>202</w:t>
      </w:r>
      <w:r>
        <w:rPr>
          <w:rFonts w:hint="eastAsia" w:ascii="方正小标宋_GBK" w:hAnsi="方正小标宋_GBK" w:eastAsia="方正小标宋_GBK" w:cs="方正小标宋_GBK"/>
          <w:b/>
          <w:bCs/>
          <w:sz w:val="39"/>
          <w:szCs w:val="44"/>
        </w:rPr>
        <w:t>1</w:t>
      </w:r>
      <w:r>
        <w:rPr>
          <w:rFonts w:hint="eastAsia" w:ascii="方正小标宋_GBK" w:hAnsi="方正小标宋_GBK" w:eastAsia="方正小标宋_GBK" w:cs="方正小标宋_GBK"/>
          <w:b/>
          <w:bCs/>
          <w:sz w:val="39"/>
          <w:szCs w:val="44"/>
        </w:rPr>
        <w:t>年部门整体支出绩效评价报告</w:t>
      </w:r>
    </w:p>
    <w:p>
      <w:pPr>
        <w:rPr>
          <w:rFonts w:hint="default" w:ascii="Times New Roman" w:hAnsi="Times New Roman" w:cs="Times New Roman"/>
        </w:rPr>
      </w:pPr>
    </w:p>
    <w:p>
      <w:pPr>
        <w:numPr>
          <w:ilvl w:val="0"/>
          <w:numId w:val="1"/>
        </w:num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部门概况</w:t>
      </w:r>
    </w:p>
    <w:p>
      <w:pPr>
        <w:spacing w:line="560" w:lineRule="exact"/>
        <w:ind w:left="640"/>
        <w:rPr>
          <w:rFonts w:hint="eastAsia" w:ascii="方正楷体_GBK" w:hAnsi="方正楷体_GBK" w:eastAsia="方正楷体_GBK" w:cs="方正楷体_GBK"/>
          <w:b/>
          <w:bCs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/>
          <w:bCs/>
          <w:color w:val="000000"/>
          <w:kern w:val="0"/>
          <w:sz w:val="32"/>
          <w:szCs w:val="32"/>
          <w:shd w:val="clear" w:color="auto" w:fill="FFFFFF"/>
          <w:lang w:val="zh-CN"/>
        </w:rPr>
        <w:t>（一）机构组成</w:t>
      </w:r>
    </w:p>
    <w:p>
      <w:pPr>
        <w:widowControl/>
        <w:adjustRightInd w:val="0"/>
        <w:snapToGrid w:val="0"/>
        <w:spacing w:line="560" w:lineRule="exact"/>
        <w:ind w:firstLine="660" w:firstLineChars="200"/>
        <w:jc w:val="lef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val="zh-CN"/>
        </w:rPr>
      </w:pPr>
      <w:r>
        <w:rPr>
          <w:rFonts w:hint="default" w:ascii="Times New Roman" w:hAnsi="Times New Roman" w:eastAsia="方正仿宋_GBK" w:cs="Times New Roman"/>
          <w:color w:val="000000"/>
          <w:sz w:val="33"/>
          <w:szCs w:val="33"/>
        </w:rPr>
        <w:t>惠民镇人民政府属于机关事业一级单位，其中行政单位7个，分别为党政办公室，党建办公事，经济发展办公室（生态环境保护办公室），社会事务办公室，综合行政执法办公室，社会治理办公室（应急管理办公室），财政所；4个直属公益一类事业单位，分别为惠民镇便民服务中心，惠民镇农业农村服务中心，惠民镇村镇建设服务中心，惠民镇宣传文化旅游服务中心。</w:t>
      </w:r>
      <w:bookmarkStart w:id="0" w:name="_GoBack"/>
      <w:bookmarkEnd w:id="0"/>
    </w:p>
    <w:p>
      <w:pPr>
        <w:spacing w:line="560" w:lineRule="exact"/>
        <w:ind w:left="640"/>
        <w:rPr>
          <w:rFonts w:hint="default" w:ascii="方正楷体_GBK" w:hAnsi="方正楷体_GBK" w:eastAsia="方正楷体_GBK" w:cs="方正楷体_GBK"/>
          <w:b/>
          <w:bCs/>
          <w:color w:val="000000"/>
          <w:kern w:val="0"/>
          <w:sz w:val="32"/>
          <w:szCs w:val="32"/>
          <w:shd w:val="clear" w:color="auto" w:fill="FFFFFF"/>
          <w:lang w:val="zh-CN"/>
        </w:rPr>
      </w:pPr>
      <w:r>
        <w:rPr>
          <w:rFonts w:hint="default" w:ascii="方正楷体_GBK" w:hAnsi="方正楷体_GBK" w:eastAsia="方正楷体_GBK" w:cs="方正楷体_GBK"/>
          <w:b/>
          <w:bCs/>
          <w:color w:val="000000"/>
          <w:kern w:val="0"/>
          <w:sz w:val="32"/>
          <w:szCs w:val="32"/>
          <w:shd w:val="clear" w:color="auto" w:fill="FFFFFF"/>
          <w:lang w:val="zh-CN"/>
        </w:rPr>
        <w:t xml:space="preserve">（二）机构职能 </w:t>
      </w:r>
    </w:p>
    <w:p>
      <w:pPr>
        <w:widowControl/>
        <w:adjustRightInd w:val="0"/>
        <w:snapToGrid w:val="0"/>
        <w:spacing w:line="560" w:lineRule="exact"/>
        <w:ind w:firstLine="660" w:firstLineChars="200"/>
        <w:jc w:val="left"/>
        <w:rPr>
          <w:rFonts w:hint="default" w:ascii="Times New Roman" w:hAnsi="Times New Roman" w:eastAsia="方正仿宋_GBK" w:cs="Times New Roman"/>
          <w:color w:val="000000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color w:val="000000"/>
          <w:sz w:val="33"/>
          <w:szCs w:val="33"/>
        </w:rPr>
        <w:t>1.贯彻执行党的路线、方针、政策和上级党组织及党员代表大会的决议、决定。</w:t>
      </w:r>
    </w:p>
    <w:p>
      <w:pPr>
        <w:widowControl/>
        <w:adjustRightInd w:val="0"/>
        <w:snapToGrid w:val="0"/>
        <w:spacing w:line="560" w:lineRule="exact"/>
        <w:ind w:firstLine="660" w:firstLineChars="200"/>
        <w:jc w:val="left"/>
        <w:rPr>
          <w:rFonts w:hint="default" w:ascii="Times New Roman" w:hAnsi="Times New Roman" w:eastAsia="方正仿宋_GBK" w:cs="Times New Roman"/>
          <w:color w:val="000000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color w:val="000000"/>
          <w:sz w:val="33"/>
          <w:szCs w:val="33"/>
        </w:rPr>
        <w:t>2.研究决定全乡经济建设和社会发展中带有全局性的重大问题。</w:t>
      </w:r>
    </w:p>
    <w:p>
      <w:pPr>
        <w:widowControl/>
        <w:adjustRightInd w:val="0"/>
        <w:snapToGrid w:val="0"/>
        <w:spacing w:line="560" w:lineRule="exact"/>
        <w:ind w:firstLine="660" w:firstLineChars="200"/>
        <w:jc w:val="left"/>
        <w:rPr>
          <w:rFonts w:hint="default" w:ascii="Times New Roman" w:hAnsi="Times New Roman" w:eastAsia="方正仿宋_GBK" w:cs="Times New Roman"/>
          <w:color w:val="000000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color w:val="000000"/>
          <w:sz w:val="33"/>
          <w:szCs w:val="33"/>
        </w:rPr>
        <w:t>3.负责抓好所属党组织的思想建设、组织建设、作风建设。负责全面从严治党、党风廉政建设和反腐败工作。</w:t>
      </w:r>
    </w:p>
    <w:p>
      <w:pPr>
        <w:widowControl/>
        <w:adjustRightInd w:val="0"/>
        <w:snapToGrid w:val="0"/>
        <w:spacing w:line="560" w:lineRule="exact"/>
        <w:ind w:firstLine="660" w:firstLineChars="200"/>
        <w:jc w:val="left"/>
        <w:rPr>
          <w:rFonts w:hint="default" w:ascii="Times New Roman" w:hAnsi="Times New Roman" w:eastAsia="方正仿宋_GBK" w:cs="Times New Roman"/>
          <w:color w:val="000000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color w:val="000000"/>
          <w:sz w:val="33"/>
          <w:szCs w:val="33"/>
        </w:rPr>
        <w:t>4.按照干部管理权限，负责对干部的教育、培养、选拔任免和监督工作，向上级党组织推荐干部。</w:t>
      </w:r>
    </w:p>
    <w:p>
      <w:pPr>
        <w:widowControl/>
        <w:adjustRightInd w:val="0"/>
        <w:snapToGrid w:val="0"/>
        <w:spacing w:line="560" w:lineRule="exact"/>
        <w:ind w:firstLine="660" w:firstLineChars="200"/>
        <w:jc w:val="left"/>
        <w:rPr>
          <w:rFonts w:hint="default" w:ascii="Times New Roman" w:hAnsi="Times New Roman" w:eastAsia="方正仿宋_GBK" w:cs="Times New Roman"/>
          <w:color w:val="000000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color w:val="000000"/>
          <w:sz w:val="33"/>
          <w:szCs w:val="33"/>
        </w:rPr>
        <w:t>5.领导工会、共青团、妇联、科协等群团组织，协调党政之间的关系。</w:t>
      </w:r>
    </w:p>
    <w:p>
      <w:pPr>
        <w:widowControl/>
        <w:adjustRightInd w:val="0"/>
        <w:snapToGrid w:val="0"/>
        <w:spacing w:line="560" w:lineRule="exact"/>
        <w:ind w:firstLine="660" w:firstLineChars="200"/>
        <w:jc w:val="left"/>
        <w:rPr>
          <w:rFonts w:hint="default" w:ascii="Times New Roman" w:hAnsi="Times New Roman" w:eastAsia="方正仿宋_GBK" w:cs="Times New Roman"/>
          <w:color w:val="000000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color w:val="000000"/>
          <w:sz w:val="33"/>
          <w:szCs w:val="33"/>
        </w:rPr>
        <w:t>6.负责本行政区域的政治思想、宣传、统战、政法、保密、武装、精神文明建设和民主法制建设等工作。</w:t>
      </w:r>
    </w:p>
    <w:p>
      <w:pPr>
        <w:widowControl/>
        <w:adjustRightInd w:val="0"/>
        <w:snapToGrid w:val="0"/>
        <w:spacing w:line="560" w:lineRule="exact"/>
        <w:ind w:firstLine="660" w:firstLineChars="200"/>
        <w:jc w:val="left"/>
        <w:rPr>
          <w:rFonts w:hint="default" w:ascii="Times New Roman" w:hAnsi="Times New Roman" w:eastAsia="方正仿宋_GBK" w:cs="Times New Roman"/>
          <w:color w:val="000000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color w:val="000000"/>
          <w:sz w:val="33"/>
          <w:szCs w:val="33"/>
        </w:rPr>
        <w:t>7.制定并执行本行政区域内经济和社会发展规划、计划。</w:t>
      </w:r>
    </w:p>
    <w:p>
      <w:pPr>
        <w:widowControl/>
        <w:adjustRightInd w:val="0"/>
        <w:snapToGrid w:val="0"/>
        <w:spacing w:line="560" w:lineRule="exact"/>
        <w:ind w:firstLine="660" w:firstLineChars="200"/>
        <w:jc w:val="left"/>
        <w:rPr>
          <w:rFonts w:hint="default" w:ascii="Times New Roman" w:hAnsi="Times New Roman" w:eastAsia="方正仿宋_GBK" w:cs="Times New Roman"/>
          <w:color w:val="000000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color w:val="000000"/>
          <w:sz w:val="33"/>
          <w:szCs w:val="33"/>
        </w:rPr>
        <w:t>8.负责乡村振兴、新农村建设和推进城乡一体化的组织和实施。</w:t>
      </w:r>
    </w:p>
    <w:p>
      <w:pPr>
        <w:widowControl/>
        <w:adjustRightInd w:val="0"/>
        <w:snapToGrid w:val="0"/>
        <w:spacing w:line="560" w:lineRule="exact"/>
        <w:ind w:firstLine="660" w:firstLineChars="200"/>
        <w:jc w:val="left"/>
        <w:rPr>
          <w:rFonts w:hint="default" w:ascii="Times New Roman" w:hAnsi="Times New Roman" w:eastAsia="方正仿宋_GBK" w:cs="Times New Roman"/>
          <w:color w:val="000000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color w:val="000000"/>
          <w:sz w:val="33"/>
          <w:szCs w:val="33"/>
        </w:rPr>
        <w:t>9.负责辖区经济、文化、教育、科学、卫生健康、民政、社会保障、民族宗教、村乡建设、司法、退役军人、扶贫、信访、安全、统计等行政管理和服务工作。</w:t>
      </w:r>
    </w:p>
    <w:p>
      <w:pPr>
        <w:widowControl/>
        <w:adjustRightInd w:val="0"/>
        <w:snapToGrid w:val="0"/>
        <w:spacing w:line="560" w:lineRule="exact"/>
        <w:ind w:firstLine="660" w:firstLineChars="200"/>
        <w:jc w:val="left"/>
        <w:rPr>
          <w:rFonts w:hint="default" w:ascii="Times New Roman" w:hAnsi="Times New Roman" w:eastAsia="方正仿宋_GBK" w:cs="Times New Roman"/>
          <w:color w:val="000000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color w:val="000000"/>
          <w:sz w:val="33"/>
          <w:szCs w:val="33"/>
        </w:rPr>
        <w:t>10.负责农业产业结构调整和“三农”服务工作。</w:t>
      </w:r>
    </w:p>
    <w:p>
      <w:pPr>
        <w:widowControl/>
        <w:adjustRightInd w:val="0"/>
        <w:snapToGrid w:val="0"/>
        <w:spacing w:line="560" w:lineRule="exact"/>
        <w:ind w:firstLine="660" w:firstLineChars="200"/>
        <w:jc w:val="left"/>
        <w:rPr>
          <w:rFonts w:hint="default" w:ascii="Times New Roman" w:hAnsi="Times New Roman" w:eastAsia="方正仿宋_GBK" w:cs="Times New Roman"/>
          <w:color w:val="000000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color w:val="000000"/>
          <w:sz w:val="33"/>
          <w:szCs w:val="33"/>
        </w:rPr>
        <w:t>11.建立健全社会治理防控体系，开展爱国卫生、环境卫生监督检查，承担环境、资源保护等工作，促进人与自然和谐发展。</w:t>
      </w:r>
    </w:p>
    <w:p>
      <w:pPr>
        <w:widowControl/>
        <w:adjustRightInd w:val="0"/>
        <w:snapToGrid w:val="0"/>
        <w:spacing w:line="560" w:lineRule="exact"/>
        <w:ind w:firstLine="660" w:firstLineChars="200"/>
        <w:jc w:val="left"/>
        <w:rPr>
          <w:rFonts w:hint="default" w:ascii="Times New Roman" w:hAnsi="Times New Roman" w:eastAsia="方正仿宋_GBK" w:cs="Times New Roman"/>
          <w:color w:val="000000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color w:val="000000"/>
          <w:sz w:val="33"/>
          <w:szCs w:val="33"/>
        </w:rPr>
        <w:t>12.负责应急管理、安全生产、抢险救灾等工作，保护人民群众生命财产安全。</w:t>
      </w:r>
    </w:p>
    <w:p>
      <w:pPr>
        <w:widowControl/>
        <w:adjustRightInd w:val="0"/>
        <w:snapToGrid w:val="0"/>
        <w:spacing w:line="560" w:lineRule="exact"/>
        <w:ind w:firstLine="660" w:firstLineChars="200"/>
        <w:jc w:val="left"/>
        <w:rPr>
          <w:rFonts w:hint="default" w:ascii="Times New Roman" w:hAnsi="Times New Roman" w:eastAsia="方正仿宋_GBK" w:cs="Times New Roman"/>
          <w:color w:val="000000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color w:val="000000"/>
          <w:sz w:val="33"/>
          <w:szCs w:val="33"/>
        </w:rPr>
        <w:t>13.完成上级党委、政府交办的其他工作。</w:t>
      </w:r>
    </w:p>
    <w:p>
      <w:pPr>
        <w:widowControl/>
        <w:adjustRightInd w:val="0"/>
        <w:snapToGrid w:val="0"/>
        <w:spacing w:line="560" w:lineRule="exact"/>
        <w:ind w:firstLine="660" w:firstLineChars="200"/>
        <w:jc w:val="left"/>
        <w:rPr>
          <w:rFonts w:hint="default" w:ascii="Times New Roman" w:hAnsi="Times New Roman" w:eastAsia="方正仿宋_GBK" w:cs="Times New Roman"/>
          <w:color w:val="000000"/>
          <w:sz w:val="33"/>
          <w:szCs w:val="33"/>
          <w:lang w:val="zh-CN"/>
        </w:rPr>
      </w:pPr>
      <w:r>
        <w:rPr>
          <w:rFonts w:hint="default" w:ascii="Times New Roman" w:hAnsi="Times New Roman" w:eastAsia="方正仿宋_GBK" w:cs="Times New Roman"/>
          <w:color w:val="000000"/>
          <w:sz w:val="33"/>
          <w:szCs w:val="33"/>
          <w:lang w:val="zh-CN"/>
        </w:rPr>
        <w:t>（三）人员概况</w:t>
      </w:r>
    </w:p>
    <w:p>
      <w:pPr>
        <w:widowControl/>
        <w:adjustRightInd w:val="0"/>
        <w:snapToGrid w:val="0"/>
        <w:spacing w:line="560" w:lineRule="exact"/>
        <w:ind w:firstLine="660" w:firstLineChars="200"/>
        <w:jc w:val="left"/>
        <w:rPr>
          <w:rFonts w:hint="default" w:ascii="Times New Roman" w:hAnsi="Times New Roman" w:eastAsia="方正仿宋_GBK" w:cs="Times New Roman"/>
          <w:color w:val="000000"/>
          <w:sz w:val="33"/>
          <w:szCs w:val="33"/>
          <w:lang w:val="zh-CN"/>
        </w:rPr>
      </w:pPr>
      <w:r>
        <w:rPr>
          <w:rFonts w:hint="default" w:ascii="Times New Roman" w:hAnsi="Times New Roman" w:eastAsia="方正仿宋_GBK" w:cs="Times New Roman"/>
          <w:color w:val="000000"/>
          <w:sz w:val="33"/>
          <w:szCs w:val="33"/>
        </w:rPr>
        <w:t>惠民镇人民政府现有编制数53人，其中：行政编制24人，工勤人员3人，事业编制26人，2021年年末在职人员49人，退休19人。</w:t>
      </w:r>
    </w:p>
    <w:p>
      <w:pPr>
        <w:numPr>
          <w:ilvl w:val="0"/>
          <w:numId w:val="1"/>
        </w:numPr>
        <w:spacing w:line="560" w:lineRule="exac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评价工作开展情况</w:t>
      </w:r>
    </w:p>
    <w:p>
      <w:pPr>
        <w:widowControl/>
        <w:adjustRightInd w:val="0"/>
        <w:snapToGrid w:val="0"/>
        <w:spacing w:line="560" w:lineRule="exact"/>
        <w:ind w:firstLine="660" w:firstLineChars="200"/>
        <w:jc w:val="left"/>
        <w:rPr>
          <w:rFonts w:hint="default" w:ascii="Times New Roman" w:hAnsi="Times New Roman" w:eastAsia="方正仿宋_GBK" w:cs="Times New Roman"/>
          <w:color w:val="000000"/>
          <w:sz w:val="33"/>
          <w:szCs w:val="33"/>
          <w:lang w:val="zh-CN"/>
        </w:rPr>
      </w:pPr>
      <w:r>
        <w:rPr>
          <w:rFonts w:hint="default" w:ascii="Times New Roman" w:hAnsi="Times New Roman" w:eastAsia="方正仿宋_GBK" w:cs="Times New Roman"/>
          <w:color w:val="000000"/>
          <w:sz w:val="33"/>
          <w:szCs w:val="33"/>
          <w:lang w:val="zh-CN"/>
        </w:rPr>
        <w:t>根据预算绩效管理要求，我镇在年初预算编制阶段，展了预算事前绩效评估，对本年31个项目编制了绩效目标，预算执行过程中，对项目开展绩效监控，年终执行完毕后，对项目开展了绩效目标完成情况梳理填报。我镇按要求对2021年部门整体支出开展绩效自评，从评价情况来看，严格落实上级关于绩效管理的有关规定，年初做好预算申报，从严控制预算支出，管控好支出渠道，严格执行单位财务管理制度，强化支出审批、审签，各种票据齐全，符合报账要求，实现了本单位整体支出预期目标。从评价情况来看，结合我镇工作实际，本单位主要领导和分管领导认真审核项目预算，对项目支出渠道严格把关，确保各项目支出实现了经济效益、社会效益等预期目标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三、部门资金基本情况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（一）部门财政资金收入情况。</w:t>
      </w:r>
    </w:p>
    <w:p>
      <w:pPr>
        <w:spacing w:line="560" w:lineRule="exact"/>
        <w:ind w:firstLine="660" w:firstLineChars="200"/>
        <w:rPr>
          <w:rFonts w:hint="default" w:ascii="Times New Roman" w:hAnsi="Times New Roman" w:eastAsia="方正仿宋_GBK" w:cs="Times New Roman"/>
          <w:color w:val="000000"/>
          <w:sz w:val="33"/>
          <w:szCs w:val="33"/>
          <w:lang w:val="zh-CN"/>
        </w:rPr>
      </w:pPr>
      <w:r>
        <w:rPr>
          <w:rFonts w:hint="default" w:ascii="Times New Roman" w:hAnsi="Times New Roman" w:eastAsia="方正仿宋_GBK" w:cs="Times New Roman"/>
          <w:color w:val="000000"/>
          <w:sz w:val="33"/>
          <w:szCs w:val="33"/>
          <w:lang w:val="zh-CN"/>
        </w:rPr>
        <w:t>2</w:t>
      </w:r>
      <w:r>
        <w:rPr>
          <w:rFonts w:hint="default" w:ascii="Times New Roman" w:hAnsi="Times New Roman" w:eastAsia="方正仿宋_GBK" w:cs="Times New Roman"/>
          <w:color w:val="000000"/>
          <w:sz w:val="33"/>
          <w:szCs w:val="33"/>
          <w:lang w:val="zh-CN"/>
        </w:rPr>
        <w:t>021年惠民镇全年收入1548万元，全为一般财政拨款收入。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（二）部门财政资金支出情况。</w:t>
      </w:r>
    </w:p>
    <w:p>
      <w:pPr>
        <w:spacing w:line="560" w:lineRule="exact"/>
        <w:ind w:firstLine="660" w:firstLineChars="200"/>
        <w:rPr>
          <w:rFonts w:hint="default" w:ascii="Times New Roman" w:hAnsi="Times New Roman" w:eastAsia="方正仿宋_GBK" w:cs="Times New Roman"/>
          <w:color w:val="000000"/>
          <w:sz w:val="33"/>
          <w:szCs w:val="33"/>
          <w:lang w:val="zh-CN"/>
        </w:rPr>
      </w:pPr>
      <w:r>
        <w:rPr>
          <w:rFonts w:hint="default" w:ascii="Times New Roman" w:hAnsi="Times New Roman" w:eastAsia="方正仿宋_GBK" w:cs="Times New Roman"/>
          <w:color w:val="000000"/>
          <w:sz w:val="33"/>
          <w:szCs w:val="33"/>
          <w:lang w:val="zh-CN"/>
        </w:rPr>
        <w:t>2021年全年支出1758.39万元，其中基本支出1007.33万元，占全年支出57%，项目支出751.06万元，占全年支出43%。</w:t>
      </w:r>
    </w:p>
    <w:p>
      <w:pPr>
        <w:spacing w:line="560" w:lineRule="exact"/>
        <w:ind w:firstLine="660" w:firstLineChars="200"/>
        <w:rPr>
          <w:rFonts w:hint="default" w:ascii="Times New Roman" w:hAnsi="Times New Roman" w:eastAsia="方正仿宋_GBK" w:cs="Times New Roman"/>
          <w:color w:val="000000"/>
          <w:sz w:val="33"/>
          <w:szCs w:val="33"/>
          <w:lang w:val="zh-CN"/>
        </w:rPr>
      </w:pPr>
      <w:r>
        <w:rPr>
          <w:rFonts w:hint="default" w:ascii="Times New Roman" w:hAnsi="Times New Roman" w:eastAsia="方正仿宋_GBK" w:cs="Times New Roman"/>
          <w:color w:val="000000"/>
          <w:sz w:val="33"/>
          <w:szCs w:val="33"/>
          <w:lang w:val="zh-CN"/>
        </w:rPr>
        <w:t>按照功能分类：按照功能分类：一般公共服务支出521.95万元，占全年支出35%；文化体育与传媒支出38.41万元，占全年支出2%；社会保障和就业支出257.49万元，占全年支出16%；卫生健康支出51.36万元，占全年支出3%；农林水支出804.71万元，占全年支出39%；住房保障支出69.44万元，占全年支出4%；灾害防治及应急管理支出15.03万元，占全年支出1%，惠民镇2020年支出增加305万元，出现原因是2021年我镇基金项目增多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（三）结转和结余情况。</w:t>
      </w:r>
    </w:p>
    <w:p>
      <w:pPr>
        <w:spacing w:line="560" w:lineRule="exact"/>
        <w:ind w:firstLine="660" w:firstLineChars="200"/>
        <w:rPr>
          <w:rFonts w:hint="default" w:ascii="Times New Roman" w:hAnsi="Times New Roman" w:eastAsia="方正仿宋_GBK" w:cs="Times New Roman"/>
          <w:color w:val="000000"/>
          <w:sz w:val="33"/>
          <w:szCs w:val="33"/>
          <w:lang w:val="zh-CN"/>
        </w:rPr>
      </w:pPr>
      <w:r>
        <w:rPr>
          <w:rFonts w:hint="default" w:ascii="Times New Roman" w:hAnsi="Times New Roman" w:eastAsia="方正仿宋_GBK" w:cs="Times New Roman"/>
          <w:color w:val="000000"/>
          <w:sz w:val="33"/>
          <w:szCs w:val="33"/>
          <w:lang w:val="zh-CN"/>
        </w:rPr>
        <w:t>2021年度，我镇年末结余数为0万元。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四、部门财政支出管理情况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（一）专项资金分配情况。</w:t>
      </w:r>
    </w:p>
    <w:p>
      <w:pPr>
        <w:spacing w:line="560" w:lineRule="exact"/>
        <w:ind w:firstLine="660" w:firstLineChars="200"/>
        <w:rPr>
          <w:rFonts w:hint="default" w:ascii="Times New Roman" w:hAnsi="Times New Roman" w:eastAsia="方正仿宋_GBK" w:cs="Times New Roman"/>
          <w:color w:val="000000"/>
          <w:sz w:val="33"/>
          <w:szCs w:val="33"/>
          <w:lang w:val="zh-CN"/>
        </w:rPr>
      </w:pPr>
      <w:r>
        <w:rPr>
          <w:rFonts w:hint="default" w:ascii="Times New Roman" w:hAnsi="Times New Roman" w:eastAsia="方正仿宋_GBK" w:cs="Times New Roman"/>
          <w:color w:val="000000"/>
          <w:sz w:val="33"/>
          <w:szCs w:val="33"/>
          <w:lang w:val="zh-CN"/>
        </w:rPr>
        <w:t>科学合理安排专项资金预算支出，实现资金落到实处，专款专用，严禁挤占、截留和挪用，监督使用报账范围。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（二）资产管理。</w:t>
      </w:r>
    </w:p>
    <w:p>
      <w:pPr>
        <w:spacing w:line="560" w:lineRule="exact"/>
        <w:ind w:firstLine="660" w:firstLineChars="200"/>
        <w:rPr>
          <w:rFonts w:hint="default" w:ascii="Times New Roman" w:hAnsi="Times New Roman" w:eastAsia="方正仿宋_GBK" w:cs="Times New Roman"/>
          <w:color w:val="000000"/>
          <w:sz w:val="33"/>
          <w:szCs w:val="33"/>
          <w:lang w:val="zh-CN"/>
        </w:rPr>
      </w:pPr>
      <w:r>
        <w:rPr>
          <w:rFonts w:hint="default" w:ascii="Times New Roman" w:hAnsi="Times New Roman" w:eastAsia="方正仿宋_GBK" w:cs="Times New Roman"/>
          <w:color w:val="000000"/>
          <w:sz w:val="33"/>
          <w:szCs w:val="33"/>
          <w:lang w:val="zh-CN"/>
        </w:rPr>
        <w:t>2021年，我镇资产合计金额为1012万元，主要为银行存款54万元，其他应收款792万元，固定资产原值664万元。固定资产累计折旧498万元，固定资产净值166万元；负债合计834万元，其他应付款净额834万元；净资产合计178万元，累计盈余178万元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（三）内控制度管理。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1.内部控制制度的设置及执行情况。</w:t>
      </w:r>
    </w:p>
    <w:p>
      <w:pPr>
        <w:spacing w:line="560" w:lineRule="exact"/>
        <w:ind w:firstLine="660" w:firstLineChars="200"/>
        <w:rPr>
          <w:rFonts w:hint="default" w:ascii="Times New Roman" w:hAnsi="Times New Roman" w:eastAsia="方正仿宋_GBK" w:cs="Times New Roman"/>
          <w:color w:val="000000"/>
          <w:sz w:val="33"/>
          <w:szCs w:val="33"/>
          <w:lang w:val="zh-CN"/>
        </w:rPr>
      </w:pPr>
      <w:r>
        <w:rPr>
          <w:rFonts w:hint="default" w:ascii="Times New Roman" w:hAnsi="Times New Roman" w:eastAsia="方正仿宋_GBK" w:cs="Times New Roman"/>
          <w:color w:val="000000"/>
          <w:sz w:val="33"/>
          <w:szCs w:val="33"/>
          <w:lang w:val="zh-CN"/>
        </w:rPr>
        <w:t>组建领导小组，单位内控工作是一个复杂的体系，工作涉及到预算业务、收支业务、采购业务、资产管理、建设项目、合同管理、内外监督等各项经济活动，需要内部各部门的协作和配合。惠民镇在工作中意识到单位领导重视是推动实施内控的关键。工作中与党风廉政建设密切结合，使单位领导树立起风险防控意识，为内控工作的推进奠定了基础。成立了由镇长任组长、各分管领导任副组长、各相关股室为成员的内部控制规范领导小组。对内部控制的建立和实施情况进行监督，及时发现并指出内部控制管理中的问题和薄弱环节，督促落实内部控制的整改计划和措施，确保内部控制体系的有效运行。</w:t>
      </w:r>
    </w:p>
    <w:p>
      <w:pPr>
        <w:spacing w:line="560" w:lineRule="exact"/>
        <w:ind w:firstLine="660" w:firstLineChars="200"/>
        <w:rPr>
          <w:rFonts w:hint="default" w:ascii="Times New Roman" w:hAnsi="Times New Roman" w:eastAsia="方正仿宋_GBK" w:cs="Times New Roman"/>
          <w:color w:val="000000"/>
          <w:sz w:val="33"/>
          <w:szCs w:val="33"/>
          <w:lang w:val="zh-CN"/>
        </w:rPr>
      </w:pPr>
      <w:r>
        <w:rPr>
          <w:rFonts w:hint="default" w:ascii="Times New Roman" w:hAnsi="Times New Roman" w:eastAsia="方正仿宋_GBK" w:cs="Times New Roman"/>
          <w:color w:val="000000"/>
          <w:sz w:val="33"/>
          <w:szCs w:val="33"/>
          <w:lang w:val="zh-CN"/>
        </w:rPr>
        <w:t>构建内控机制，保障内控实施，建立了单位层面的内控运行制约机制。主要包括8个方面的内容：内控管理职责分工，经济活动决策机制，关键岗位责任机制，关键人员资质能力，财务信息编报要求，信息技术应用要求，经济活动风险评估，内部控制监督评价。梳理了单位主要经济业务管理制度及流程。针对预(决)算管理、经费收支管理、政府采购管理、以及资产管理等业务模块，在规章制度方面，梳理制度文件，汇编成册。通过信息化对制度和流程进行“固化”。要保障内控真正落地，信息化是实施内控的最重要手段。惠民镇在信息系统建设中将内控理念嵌入信息系统中，将制度和流程进行“固化”并达到常态化，真正实现从“人治”管理向“法治”管理和科学管理的转变。内控规范建设政策性强、涉及面广、工作量大且具有相当难度和专业性的工作，单位自身开展内控建设缺乏精力和专业知识和信息化手段，很难保证内控建设的效率和效果。下一步管理中将自我纠正、自我完善和持续改进，确保内控规范实施取得良好效果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2.部门内部控制制度的执行。</w:t>
      </w:r>
    </w:p>
    <w:p>
      <w:pPr>
        <w:spacing w:line="560" w:lineRule="exact"/>
        <w:ind w:firstLine="660" w:firstLineChars="200"/>
        <w:rPr>
          <w:rFonts w:hint="default" w:ascii="Times New Roman" w:hAnsi="Times New Roman" w:eastAsia="方正仿宋_GBK" w:cs="Times New Roman"/>
          <w:color w:val="000000"/>
          <w:sz w:val="33"/>
          <w:szCs w:val="33"/>
          <w:lang w:val="zh-CN"/>
        </w:rPr>
      </w:pPr>
      <w:r>
        <w:rPr>
          <w:rFonts w:hint="default" w:ascii="Times New Roman" w:hAnsi="Times New Roman" w:eastAsia="方正仿宋_GBK" w:cs="Times New Roman"/>
          <w:color w:val="000000"/>
          <w:sz w:val="33"/>
          <w:szCs w:val="33"/>
          <w:lang w:val="zh-CN"/>
        </w:rPr>
        <w:t>按照我单位编制的内部控制制度执行。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（四）信息公开。</w:t>
      </w:r>
    </w:p>
    <w:p>
      <w:pPr>
        <w:spacing w:line="560" w:lineRule="exact"/>
        <w:ind w:firstLine="660" w:firstLineChars="200"/>
        <w:rPr>
          <w:rFonts w:hint="default" w:ascii="Times New Roman" w:hAnsi="Times New Roman" w:eastAsia="方正仿宋_GBK" w:cs="Times New Roman"/>
          <w:color w:val="000000"/>
          <w:sz w:val="33"/>
          <w:szCs w:val="33"/>
          <w:lang w:val="zh-CN"/>
        </w:rPr>
      </w:pPr>
      <w:r>
        <w:rPr>
          <w:rFonts w:hint="default" w:ascii="Times New Roman" w:hAnsi="Times New Roman" w:eastAsia="方正仿宋_GBK" w:cs="Times New Roman"/>
          <w:color w:val="000000"/>
          <w:sz w:val="33"/>
          <w:szCs w:val="33"/>
          <w:lang w:val="zh-CN"/>
        </w:rPr>
        <w:t>1、将编制好的本级部门预算整体绩效评价报告报县财政局；</w:t>
      </w:r>
    </w:p>
    <w:p>
      <w:pPr>
        <w:spacing w:line="560" w:lineRule="exact"/>
        <w:ind w:firstLine="660" w:firstLineChars="200"/>
        <w:rPr>
          <w:rFonts w:hint="default" w:ascii="Times New Roman" w:hAnsi="Times New Roman" w:eastAsia="方正仿宋_GBK" w:cs="Times New Roman"/>
          <w:color w:val="000000"/>
          <w:sz w:val="33"/>
          <w:szCs w:val="33"/>
          <w:lang w:val="zh-CN"/>
        </w:rPr>
      </w:pPr>
      <w:r>
        <w:rPr>
          <w:rFonts w:hint="default" w:ascii="Times New Roman" w:hAnsi="Times New Roman" w:eastAsia="方正仿宋_GBK" w:cs="Times New Roman"/>
          <w:color w:val="000000"/>
          <w:sz w:val="33"/>
          <w:szCs w:val="33"/>
          <w:lang w:val="zh-CN"/>
        </w:rPr>
        <w:t>2、同时在按照要求在“盐边县公众信息网”财政信息板块下的“财政绩效评价信息专栏”进行公开公示。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（五）绩效监控</w:t>
      </w:r>
      <w:r>
        <w:rPr>
          <w:rFonts w:hint="default" w:ascii="Times New Roman" w:hAnsi="Times New Roman" w:eastAsia="楷体_GB2312" w:cs="Times New Roman"/>
          <w:sz w:val="32"/>
          <w:szCs w:val="32"/>
        </w:rPr>
        <w:t>。</w:t>
      </w:r>
    </w:p>
    <w:p>
      <w:pPr>
        <w:spacing w:line="560" w:lineRule="exact"/>
        <w:ind w:firstLine="660" w:firstLineChars="200"/>
        <w:rPr>
          <w:rFonts w:hint="default" w:ascii="Times New Roman" w:hAnsi="Times New Roman" w:eastAsia="方正仿宋_GBK" w:cs="Times New Roman"/>
          <w:color w:val="000000"/>
          <w:sz w:val="33"/>
          <w:szCs w:val="33"/>
          <w:lang w:val="zh-CN"/>
        </w:rPr>
      </w:pPr>
      <w:r>
        <w:rPr>
          <w:rFonts w:hint="default" w:ascii="Times New Roman" w:hAnsi="Times New Roman" w:eastAsia="方正仿宋_GBK" w:cs="Times New Roman"/>
          <w:color w:val="000000"/>
          <w:sz w:val="33"/>
          <w:szCs w:val="33"/>
          <w:lang w:val="zh-CN"/>
        </w:rPr>
        <w:t>2021年预算执行进度监控情况。</w:t>
      </w:r>
    </w:p>
    <w:p>
      <w:pPr>
        <w:spacing w:line="560" w:lineRule="exact"/>
        <w:ind w:firstLine="660" w:firstLineChars="200"/>
        <w:rPr>
          <w:rFonts w:hint="default" w:ascii="Times New Roman" w:hAnsi="Times New Roman" w:eastAsia="方正仿宋_GBK" w:cs="Times New Roman"/>
          <w:color w:val="000000"/>
          <w:sz w:val="33"/>
          <w:szCs w:val="33"/>
          <w:lang w:val="zh-CN"/>
        </w:rPr>
      </w:pPr>
      <w:r>
        <w:rPr>
          <w:rFonts w:hint="default" w:ascii="Times New Roman" w:hAnsi="Times New Roman" w:eastAsia="方正仿宋_GBK" w:cs="Times New Roman"/>
          <w:color w:val="000000"/>
          <w:sz w:val="33"/>
          <w:szCs w:val="33"/>
          <w:lang w:val="zh-CN"/>
        </w:rPr>
        <w:t>2021年惠民镇全年收入1548万元，全年支出1758.39万元，其中包括上年结转财政应返还额度210.39万元，支出执行进度为100%。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（六）部门绩效情况。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1.总体绩效</w:t>
      </w:r>
    </w:p>
    <w:p>
      <w:pPr>
        <w:spacing w:line="560" w:lineRule="exact"/>
        <w:ind w:firstLine="660" w:firstLineChars="200"/>
        <w:rPr>
          <w:rFonts w:hint="default" w:ascii="Times New Roman" w:hAnsi="Times New Roman" w:eastAsia="方正仿宋_GBK" w:cs="Times New Roman"/>
          <w:color w:val="000000"/>
          <w:sz w:val="33"/>
          <w:szCs w:val="33"/>
          <w:lang w:val="zh-CN"/>
        </w:rPr>
      </w:pPr>
      <w:r>
        <w:rPr>
          <w:rFonts w:hint="default" w:ascii="Times New Roman" w:hAnsi="Times New Roman" w:eastAsia="方正仿宋_GBK" w:cs="Times New Roman"/>
          <w:color w:val="000000"/>
          <w:sz w:val="33"/>
          <w:szCs w:val="33"/>
          <w:lang w:val="zh-CN"/>
        </w:rPr>
        <w:t>2021年总收入1548万元，2020年结转财政应返还额度210.39万元，2021年总支出1758.39万元，2021年结转财政应返还额度0万元。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2.主要目标绩效完成情况</w:t>
      </w:r>
    </w:p>
    <w:p>
      <w:pPr>
        <w:spacing w:line="560" w:lineRule="exact"/>
        <w:ind w:firstLine="660" w:firstLineChars="200"/>
        <w:rPr>
          <w:rFonts w:hint="default" w:ascii="Times New Roman" w:hAnsi="Times New Roman" w:eastAsia="方正仿宋_GBK" w:cs="Times New Roman"/>
          <w:color w:val="000000"/>
          <w:sz w:val="33"/>
          <w:szCs w:val="33"/>
          <w:lang w:val="zh-CN"/>
        </w:rPr>
      </w:pPr>
      <w:r>
        <w:rPr>
          <w:rFonts w:hint="default" w:ascii="Times New Roman" w:hAnsi="Times New Roman" w:eastAsia="方正仿宋_GBK" w:cs="Times New Roman"/>
          <w:color w:val="000000"/>
          <w:sz w:val="33"/>
          <w:szCs w:val="33"/>
          <w:lang w:val="zh-CN"/>
        </w:rPr>
        <w:t>一般公共服务支出521.95万元，占全年支出35%；文化体育与传媒支出38.41万元，占全年支出2%；社会保障和就业支出257.49万元，占全年支出16%；卫生健康支出51.36万元，占全年支出3%；农林水支出804.71万元，占全年支出39%；住房保障支出69.44万元，占全年支出4%；灾害防治及应急管理支出15.03万元，占全年支出1%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color w:val="333333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333333"/>
          <w:sz w:val="32"/>
          <w:szCs w:val="32"/>
        </w:rPr>
        <w:t>3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</w:rPr>
        <w:t>“三公”经费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</w:rPr>
        <w:t>目标绩效完成情况</w:t>
      </w:r>
    </w:p>
    <w:p>
      <w:pPr>
        <w:spacing w:line="560" w:lineRule="exact"/>
        <w:ind w:firstLine="660" w:firstLineChars="200"/>
        <w:rPr>
          <w:rFonts w:hint="default" w:ascii="Times New Roman" w:hAnsi="Times New Roman" w:eastAsia="方正仿宋_GBK" w:cs="Times New Roman"/>
          <w:color w:val="000000"/>
          <w:sz w:val="33"/>
          <w:szCs w:val="33"/>
          <w:lang w:val="zh-CN"/>
        </w:rPr>
      </w:pPr>
      <w:r>
        <w:rPr>
          <w:rFonts w:hint="default" w:ascii="Times New Roman" w:hAnsi="Times New Roman" w:eastAsia="方正仿宋_GBK" w:cs="Times New Roman"/>
          <w:color w:val="000000"/>
          <w:sz w:val="33"/>
          <w:szCs w:val="33"/>
          <w:lang w:val="zh-CN"/>
        </w:rPr>
        <w:t>（一）“三公”经费支出情况：2021年，我镇“三公”经费共计支出14.56万元，与年初预算数16.56万元相比，减少2万元，与上年决算数34万元相比，减少19.44万元，2021年我镇共接待6批次，53人，公务用车车辆3辆，变动原因是由于工作开展，车辆耗费增加，但我镇依然严格压缩“三公”经费支出。</w:t>
      </w:r>
    </w:p>
    <w:p>
      <w:pPr>
        <w:spacing w:line="560" w:lineRule="exact"/>
        <w:ind w:firstLine="660" w:firstLineChars="200"/>
        <w:rPr>
          <w:rFonts w:hint="default" w:ascii="Times New Roman" w:hAnsi="Times New Roman" w:eastAsia="方正仿宋_GBK" w:cs="Times New Roman"/>
          <w:color w:val="000000"/>
          <w:sz w:val="33"/>
          <w:szCs w:val="33"/>
          <w:lang w:val="zh-CN"/>
        </w:rPr>
      </w:pPr>
      <w:r>
        <w:rPr>
          <w:rFonts w:hint="default" w:ascii="Times New Roman" w:hAnsi="Times New Roman" w:eastAsia="方正仿宋_GBK" w:cs="Times New Roman"/>
          <w:color w:val="000000"/>
          <w:sz w:val="33"/>
          <w:szCs w:val="33"/>
          <w:lang w:val="zh-CN"/>
        </w:rPr>
        <w:t>（二）会议费较去年均有所上升，是因为2021年惠民镇会议增加。</w:t>
      </w:r>
    </w:p>
    <w:p>
      <w:pPr>
        <w:spacing w:line="560" w:lineRule="exact"/>
        <w:ind w:firstLine="660" w:firstLineChars="200"/>
        <w:rPr>
          <w:rFonts w:hint="default" w:ascii="Times New Roman" w:hAnsi="Times New Roman" w:eastAsia="方正仿宋_GBK" w:cs="Times New Roman"/>
          <w:color w:val="000000"/>
          <w:sz w:val="33"/>
          <w:szCs w:val="33"/>
          <w:lang w:val="zh-CN"/>
        </w:rPr>
      </w:pPr>
      <w:r>
        <w:rPr>
          <w:rFonts w:hint="default" w:ascii="Times New Roman" w:hAnsi="Times New Roman" w:eastAsia="方正仿宋_GBK" w:cs="Times New Roman"/>
          <w:color w:val="000000"/>
          <w:sz w:val="33"/>
          <w:szCs w:val="33"/>
          <w:lang w:val="zh-CN"/>
        </w:rPr>
        <w:t>（三）培训费较去年有所下降，因为疫情原因，减少培训次数。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五、评价结论及建议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（一）评价结论。</w:t>
      </w:r>
    </w:p>
    <w:p>
      <w:pPr>
        <w:spacing w:line="560" w:lineRule="exact"/>
        <w:ind w:firstLine="660" w:firstLineChars="200"/>
        <w:rPr>
          <w:rFonts w:hint="default" w:ascii="Times New Roman" w:hAnsi="Times New Roman" w:eastAsia="方正仿宋_GBK" w:cs="Times New Roman"/>
          <w:color w:val="000000"/>
          <w:sz w:val="33"/>
          <w:szCs w:val="33"/>
          <w:lang w:val="zh-CN"/>
        </w:rPr>
      </w:pPr>
      <w:r>
        <w:rPr>
          <w:rFonts w:hint="default" w:ascii="Times New Roman" w:hAnsi="Times New Roman" w:eastAsia="方正仿宋_GBK" w:cs="Times New Roman"/>
          <w:color w:val="000000"/>
          <w:sz w:val="33"/>
          <w:szCs w:val="33"/>
          <w:lang w:val="zh-CN"/>
        </w:rPr>
        <w:t>从整体情况来看，我单位重视财政资金的支出绩效，在资金的预算、执行、验收、支付等流程中层层把关，严格按照部门预算进行部门整体支出，“三公经费”逐年下降。所有项目资金严格按照项目申报的实施方案组织实施，并要求项目实施科室加强日常监督，依据相应的资金管理办法切实做到项目资金专款专用，无截留、挪用等现象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（二）存在问题。</w:t>
      </w:r>
    </w:p>
    <w:p>
      <w:pPr>
        <w:spacing w:line="560" w:lineRule="exact"/>
        <w:ind w:firstLine="660" w:firstLineChars="200"/>
        <w:rPr>
          <w:rFonts w:hint="default" w:ascii="Times New Roman" w:hAnsi="Times New Roman" w:eastAsia="方正仿宋_GBK" w:cs="Times New Roman"/>
          <w:color w:val="000000"/>
          <w:sz w:val="33"/>
          <w:szCs w:val="33"/>
          <w:lang w:val="zh-CN"/>
        </w:rPr>
      </w:pPr>
      <w:r>
        <w:rPr>
          <w:rFonts w:hint="default" w:ascii="Times New Roman" w:hAnsi="Times New Roman" w:eastAsia="方正仿宋_GBK" w:cs="Times New Roman"/>
          <w:color w:val="000000"/>
          <w:sz w:val="33"/>
          <w:szCs w:val="33"/>
          <w:lang w:val="zh-CN"/>
        </w:rPr>
        <w:t>1、年底财政资金紧缺，由于部分项目资金报账拖沓，导致支付进度滞后；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（三）改进建议。</w:t>
      </w:r>
    </w:p>
    <w:p>
      <w:pPr>
        <w:spacing w:line="560" w:lineRule="exact"/>
        <w:ind w:firstLine="660" w:firstLineChars="200"/>
        <w:rPr>
          <w:rFonts w:hint="default" w:ascii="Times New Roman" w:hAnsi="Times New Roman" w:eastAsia="方正仿宋_GBK" w:cs="Times New Roman"/>
          <w:color w:val="000000"/>
          <w:sz w:val="33"/>
          <w:szCs w:val="33"/>
          <w:lang w:val="zh-CN"/>
        </w:rPr>
      </w:pPr>
      <w:r>
        <w:rPr>
          <w:rFonts w:hint="default" w:ascii="Times New Roman" w:hAnsi="Times New Roman" w:eastAsia="方正仿宋_GBK" w:cs="Times New Roman"/>
          <w:color w:val="000000"/>
          <w:sz w:val="33"/>
          <w:szCs w:val="33"/>
          <w:lang w:val="zh-CN"/>
        </w:rPr>
        <w:t>加大支付力度。</w:t>
      </w:r>
    </w:p>
    <w:p>
      <w:pPr>
        <w:spacing w:line="560" w:lineRule="exact"/>
        <w:ind w:firstLine="660" w:firstLineChars="200"/>
        <w:rPr>
          <w:rFonts w:hint="default" w:ascii="Times New Roman" w:hAnsi="Times New Roman" w:eastAsia="方正仿宋_GBK" w:cs="Times New Roman"/>
          <w:color w:val="000000"/>
          <w:sz w:val="33"/>
          <w:szCs w:val="33"/>
          <w:lang w:val="zh-CN"/>
        </w:rPr>
      </w:pPr>
    </w:p>
    <w:sectPr>
      <w:footerReference r:id="rId3" w:type="default"/>
      <w:pgSz w:w="11906" w:h="16838"/>
      <w:pgMar w:top="1157" w:right="1633" w:bottom="1157" w:left="163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imesNewRoman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7</w:t>
    </w:r>
    <w:r>
      <w:rPr>
        <w:lang w:val="zh-CN"/>
      </w:rPr>
      <w:fldChar w:fldCharType="end"/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C1F7721"/>
    <w:multiLevelType w:val="multilevel"/>
    <w:tmpl w:val="1C1F7721"/>
    <w:lvl w:ilvl="0" w:tentative="0">
      <w:start w:val="1"/>
      <w:numFmt w:val="japaneseCounting"/>
      <w:lvlText w:val="%1、"/>
      <w:lvlJc w:val="left"/>
      <w:pPr>
        <w:ind w:left="1360" w:hanging="720"/>
      </w:pPr>
      <w:rPr>
        <w:rFonts w:hint="default" w:eastAsia="黑体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NjNDAxYTQ3ZTk3Njk1OTRmNWJlMDM4Y2NmOTJkYWIifQ=="/>
  </w:docVars>
  <w:rsids>
    <w:rsidRoot w:val="00CA0949"/>
    <w:rsid w:val="0002214B"/>
    <w:rsid w:val="00022DF3"/>
    <w:rsid w:val="000242E1"/>
    <w:rsid w:val="0002625F"/>
    <w:rsid w:val="0003292F"/>
    <w:rsid w:val="000338A0"/>
    <w:rsid w:val="00055CD8"/>
    <w:rsid w:val="000740D6"/>
    <w:rsid w:val="0007731D"/>
    <w:rsid w:val="00082270"/>
    <w:rsid w:val="00084015"/>
    <w:rsid w:val="00084B1F"/>
    <w:rsid w:val="000867E4"/>
    <w:rsid w:val="00086DDA"/>
    <w:rsid w:val="00091E2A"/>
    <w:rsid w:val="00095A17"/>
    <w:rsid w:val="00097963"/>
    <w:rsid w:val="000A115F"/>
    <w:rsid w:val="000A3DDA"/>
    <w:rsid w:val="000A41EF"/>
    <w:rsid w:val="000A63FF"/>
    <w:rsid w:val="000B452A"/>
    <w:rsid w:val="000C5005"/>
    <w:rsid w:val="000C63E4"/>
    <w:rsid w:val="000D0949"/>
    <w:rsid w:val="000D1E08"/>
    <w:rsid w:val="000E1C24"/>
    <w:rsid w:val="000E1DC7"/>
    <w:rsid w:val="000E312F"/>
    <w:rsid w:val="000F04E4"/>
    <w:rsid w:val="000F0EE9"/>
    <w:rsid w:val="000F40A3"/>
    <w:rsid w:val="00102683"/>
    <w:rsid w:val="00104A92"/>
    <w:rsid w:val="001060B0"/>
    <w:rsid w:val="001066CC"/>
    <w:rsid w:val="001142CB"/>
    <w:rsid w:val="001213FF"/>
    <w:rsid w:val="00122874"/>
    <w:rsid w:val="00123572"/>
    <w:rsid w:val="0012542E"/>
    <w:rsid w:val="00127794"/>
    <w:rsid w:val="00131738"/>
    <w:rsid w:val="00135D0B"/>
    <w:rsid w:val="00136828"/>
    <w:rsid w:val="00140C58"/>
    <w:rsid w:val="001410D1"/>
    <w:rsid w:val="00141D4F"/>
    <w:rsid w:val="00142441"/>
    <w:rsid w:val="001435BB"/>
    <w:rsid w:val="001551F4"/>
    <w:rsid w:val="001623F4"/>
    <w:rsid w:val="00164CFF"/>
    <w:rsid w:val="00165E22"/>
    <w:rsid w:val="00174064"/>
    <w:rsid w:val="001740A3"/>
    <w:rsid w:val="0018296F"/>
    <w:rsid w:val="00184811"/>
    <w:rsid w:val="00185457"/>
    <w:rsid w:val="00193567"/>
    <w:rsid w:val="00196EC6"/>
    <w:rsid w:val="001A0555"/>
    <w:rsid w:val="001A3933"/>
    <w:rsid w:val="001A57A6"/>
    <w:rsid w:val="001B5677"/>
    <w:rsid w:val="001C63D8"/>
    <w:rsid w:val="001C650D"/>
    <w:rsid w:val="001D6BF8"/>
    <w:rsid w:val="001D713A"/>
    <w:rsid w:val="001D7C07"/>
    <w:rsid w:val="001E30B6"/>
    <w:rsid w:val="001F6EA7"/>
    <w:rsid w:val="001F7B78"/>
    <w:rsid w:val="0021349A"/>
    <w:rsid w:val="00215C90"/>
    <w:rsid w:val="00224941"/>
    <w:rsid w:val="002250D7"/>
    <w:rsid w:val="002257E5"/>
    <w:rsid w:val="002305A8"/>
    <w:rsid w:val="002320D4"/>
    <w:rsid w:val="002360D0"/>
    <w:rsid w:val="00243B01"/>
    <w:rsid w:val="002470D1"/>
    <w:rsid w:val="00255AA4"/>
    <w:rsid w:val="002568E7"/>
    <w:rsid w:val="002635A9"/>
    <w:rsid w:val="00266317"/>
    <w:rsid w:val="00270769"/>
    <w:rsid w:val="002709E4"/>
    <w:rsid w:val="00280ED6"/>
    <w:rsid w:val="00280F19"/>
    <w:rsid w:val="002821C4"/>
    <w:rsid w:val="002831D4"/>
    <w:rsid w:val="002833D4"/>
    <w:rsid w:val="00294538"/>
    <w:rsid w:val="00297405"/>
    <w:rsid w:val="002A50E3"/>
    <w:rsid w:val="002B15F2"/>
    <w:rsid w:val="002B23ED"/>
    <w:rsid w:val="002B5055"/>
    <w:rsid w:val="002B763A"/>
    <w:rsid w:val="002C18A3"/>
    <w:rsid w:val="002C52E3"/>
    <w:rsid w:val="002D29A8"/>
    <w:rsid w:val="002D5522"/>
    <w:rsid w:val="002D60B9"/>
    <w:rsid w:val="002E5FF8"/>
    <w:rsid w:val="002E6B60"/>
    <w:rsid w:val="002E6D58"/>
    <w:rsid w:val="002F3228"/>
    <w:rsid w:val="003007C0"/>
    <w:rsid w:val="00300B4B"/>
    <w:rsid w:val="003022C9"/>
    <w:rsid w:val="00312A94"/>
    <w:rsid w:val="00313F8A"/>
    <w:rsid w:val="003154A4"/>
    <w:rsid w:val="00320D63"/>
    <w:rsid w:val="0032152A"/>
    <w:rsid w:val="00332BE4"/>
    <w:rsid w:val="0033362C"/>
    <w:rsid w:val="003440BD"/>
    <w:rsid w:val="003454CE"/>
    <w:rsid w:val="003534F9"/>
    <w:rsid w:val="0035584B"/>
    <w:rsid w:val="00355A66"/>
    <w:rsid w:val="003605A8"/>
    <w:rsid w:val="003662A3"/>
    <w:rsid w:val="003717B0"/>
    <w:rsid w:val="00382098"/>
    <w:rsid w:val="00387EA6"/>
    <w:rsid w:val="0039096A"/>
    <w:rsid w:val="00392B64"/>
    <w:rsid w:val="00393DCD"/>
    <w:rsid w:val="00394A1E"/>
    <w:rsid w:val="00397946"/>
    <w:rsid w:val="003A297E"/>
    <w:rsid w:val="003B0A9A"/>
    <w:rsid w:val="003B663B"/>
    <w:rsid w:val="003D0633"/>
    <w:rsid w:val="003E14D0"/>
    <w:rsid w:val="003E385F"/>
    <w:rsid w:val="003E65D0"/>
    <w:rsid w:val="003F1290"/>
    <w:rsid w:val="003F4E8D"/>
    <w:rsid w:val="003F6888"/>
    <w:rsid w:val="00400D52"/>
    <w:rsid w:val="00400E0C"/>
    <w:rsid w:val="00401D0E"/>
    <w:rsid w:val="00413CA7"/>
    <w:rsid w:val="00417AE1"/>
    <w:rsid w:val="00424CA2"/>
    <w:rsid w:val="004325C3"/>
    <w:rsid w:val="0043303E"/>
    <w:rsid w:val="004378BC"/>
    <w:rsid w:val="00441F72"/>
    <w:rsid w:val="00442BAA"/>
    <w:rsid w:val="004448F5"/>
    <w:rsid w:val="00446D55"/>
    <w:rsid w:val="004516C8"/>
    <w:rsid w:val="004536C0"/>
    <w:rsid w:val="00456A86"/>
    <w:rsid w:val="00464D1C"/>
    <w:rsid w:val="00467249"/>
    <w:rsid w:val="0047291C"/>
    <w:rsid w:val="00473BC5"/>
    <w:rsid w:val="0047769D"/>
    <w:rsid w:val="00482350"/>
    <w:rsid w:val="0048321D"/>
    <w:rsid w:val="00485F04"/>
    <w:rsid w:val="00486607"/>
    <w:rsid w:val="00487C3F"/>
    <w:rsid w:val="004A209A"/>
    <w:rsid w:val="004B1660"/>
    <w:rsid w:val="004B1869"/>
    <w:rsid w:val="004B1A1E"/>
    <w:rsid w:val="004B4DA3"/>
    <w:rsid w:val="004B579C"/>
    <w:rsid w:val="004B7F37"/>
    <w:rsid w:val="004C1143"/>
    <w:rsid w:val="004C45AA"/>
    <w:rsid w:val="004C4D8C"/>
    <w:rsid w:val="004C57F5"/>
    <w:rsid w:val="004C5D7A"/>
    <w:rsid w:val="004D3435"/>
    <w:rsid w:val="004D38D9"/>
    <w:rsid w:val="004D4F10"/>
    <w:rsid w:val="004D526A"/>
    <w:rsid w:val="004D5D46"/>
    <w:rsid w:val="004E30C4"/>
    <w:rsid w:val="004E3F63"/>
    <w:rsid w:val="004E5776"/>
    <w:rsid w:val="004E615A"/>
    <w:rsid w:val="004E6FDB"/>
    <w:rsid w:val="004E70E0"/>
    <w:rsid w:val="00507681"/>
    <w:rsid w:val="005117A7"/>
    <w:rsid w:val="005137DC"/>
    <w:rsid w:val="00516AF1"/>
    <w:rsid w:val="00517638"/>
    <w:rsid w:val="00517A4C"/>
    <w:rsid w:val="00522AD6"/>
    <w:rsid w:val="005279F9"/>
    <w:rsid w:val="005305DC"/>
    <w:rsid w:val="005327AA"/>
    <w:rsid w:val="00533763"/>
    <w:rsid w:val="00535A3D"/>
    <w:rsid w:val="005405A2"/>
    <w:rsid w:val="0054176D"/>
    <w:rsid w:val="00542734"/>
    <w:rsid w:val="00550858"/>
    <w:rsid w:val="00560637"/>
    <w:rsid w:val="00565F77"/>
    <w:rsid w:val="00570711"/>
    <w:rsid w:val="00570DD5"/>
    <w:rsid w:val="00570ED5"/>
    <w:rsid w:val="00576450"/>
    <w:rsid w:val="00581333"/>
    <w:rsid w:val="00584B62"/>
    <w:rsid w:val="00585554"/>
    <w:rsid w:val="00585D64"/>
    <w:rsid w:val="00586A7E"/>
    <w:rsid w:val="00591F17"/>
    <w:rsid w:val="00593A73"/>
    <w:rsid w:val="005A2FE0"/>
    <w:rsid w:val="005A6F3F"/>
    <w:rsid w:val="005B0CF6"/>
    <w:rsid w:val="005B2666"/>
    <w:rsid w:val="005B3BED"/>
    <w:rsid w:val="005C35C5"/>
    <w:rsid w:val="005D0338"/>
    <w:rsid w:val="005D077D"/>
    <w:rsid w:val="005D3520"/>
    <w:rsid w:val="005D4D96"/>
    <w:rsid w:val="005E162F"/>
    <w:rsid w:val="005E4D21"/>
    <w:rsid w:val="005E63C1"/>
    <w:rsid w:val="005F39A9"/>
    <w:rsid w:val="005F6035"/>
    <w:rsid w:val="005F622C"/>
    <w:rsid w:val="006022F2"/>
    <w:rsid w:val="006026F7"/>
    <w:rsid w:val="006069C5"/>
    <w:rsid w:val="0061002B"/>
    <w:rsid w:val="006149D0"/>
    <w:rsid w:val="00622019"/>
    <w:rsid w:val="006243E7"/>
    <w:rsid w:val="0062507A"/>
    <w:rsid w:val="006301DC"/>
    <w:rsid w:val="00634E35"/>
    <w:rsid w:val="00635294"/>
    <w:rsid w:val="00636D5C"/>
    <w:rsid w:val="00644553"/>
    <w:rsid w:val="006518D3"/>
    <w:rsid w:val="006563CF"/>
    <w:rsid w:val="00662E35"/>
    <w:rsid w:val="00665072"/>
    <w:rsid w:val="00671844"/>
    <w:rsid w:val="00673E07"/>
    <w:rsid w:val="00674849"/>
    <w:rsid w:val="00676D88"/>
    <w:rsid w:val="00677161"/>
    <w:rsid w:val="00677A00"/>
    <w:rsid w:val="00681B75"/>
    <w:rsid w:val="00682BF4"/>
    <w:rsid w:val="0068463A"/>
    <w:rsid w:val="00686F55"/>
    <w:rsid w:val="00691147"/>
    <w:rsid w:val="00695C3E"/>
    <w:rsid w:val="006A0450"/>
    <w:rsid w:val="006B0B9E"/>
    <w:rsid w:val="006B380C"/>
    <w:rsid w:val="006B3F48"/>
    <w:rsid w:val="006B4C96"/>
    <w:rsid w:val="006C01A2"/>
    <w:rsid w:val="006C0735"/>
    <w:rsid w:val="006C336B"/>
    <w:rsid w:val="006C689E"/>
    <w:rsid w:val="006D1032"/>
    <w:rsid w:val="006D146B"/>
    <w:rsid w:val="006D16B7"/>
    <w:rsid w:val="006D44B2"/>
    <w:rsid w:val="006D4EE0"/>
    <w:rsid w:val="006E31A5"/>
    <w:rsid w:val="006E7F61"/>
    <w:rsid w:val="006F1429"/>
    <w:rsid w:val="006F25C7"/>
    <w:rsid w:val="006F6845"/>
    <w:rsid w:val="0071035E"/>
    <w:rsid w:val="00710BDC"/>
    <w:rsid w:val="007130FC"/>
    <w:rsid w:val="0071690B"/>
    <w:rsid w:val="007300C3"/>
    <w:rsid w:val="00732E23"/>
    <w:rsid w:val="007336E3"/>
    <w:rsid w:val="00733AE2"/>
    <w:rsid w:val="007371A2"/>
    <w:rsid w:val="00742537"/>
    <w:rsid w:val="00746732"/>
    <w:rsid w:val="007478F2"/>
    <w:rsid w:val="00751925"/>
    <w:rsid w:val="00753C52"/>
    <w:rsid w:val="00757E55"/>
    <w:rsid w:val="007626F0"/>
    <w:rsid w:val="00766F79"/>
    <w:rsid w:val="007670A4"/>
    <w:rsid w:val="007715EC"/>
    <w:rsid w:val="00776E51"/>
    <w:rsid w:val="00781BE3"/>
    <w:rsid w:val="0078481A"/>
    <w:rsid w:val="00791780"/>
    <w:rsid w:val="00793855"/>
    <w:rsid w:val="00796AB2"/>
    <w:rsid w:val="007A5398"/>
    <w:rsid w:val="007B3D06"/>
    <w:rsid w:val="007B53A4"/>
    <w:rsid w:val="007C0358"/>
    <w:rsid w:val="007C1217"/>
    <w:rsid w:val="007C35EE"/>
    <w:rsid w:val="007C660A"/>
    <w:rsid w:val="007C683F"/>
    <w:rsid w:val="007D55F2"/>
    <w:rsid w:val="007E0F08"/>
    <w:rsid w:val="007F1A23"/>
    <w:rsid w:val="007F2021"/>
    <w:rsid w:val="007F260B"/>
    <w:rsid w:val="007F67E3"/>
    <w:rsid w:val="0080103F"/>
    <w:rsid w:val="00801ECA"/>
    <w:rsid w:val="00806358"/>
    <w:rsid w:val="008102A3"/>
    <w:rsid w:val="00815394"/>
    <w:rsid w:val="0082521F"/>
    <w:rsid w:val="00826492"/>
    <w:rsid w:val="008264CA"/>
    <w:rsid w:val="00830B01"/>
    <w:rsid w:val="00832B05"/>
    <w:rsid w:val="00837ADA"/>
    <w:rsid w:val="00841E4F"/>
    <w:rsid w:val="0084603C"/>
    <w:rsid w:val="008508C1"/>
    <w:rsid w:val="00851653"/>
    <w:rsid w:val="00863C6C"/>
    <w:rsid w:val="00870427"/>
    <w:rsid w:val="00870777"/>
    <w:rsid w:val="00871012"/>
    <w:rsid w:val="00871501"/>
    <w:rsid w:val="00876949"/>
    <w:rsid w:val="00876EBF"/>
    <w:rsid w:val="00885C90"/>
    <w:rsid w:val="008A07CB"/>
    <w:rsid w:val="008A2504"/>
    <w:rsid w:val="008A518B"/>
    <w:rsid w:val="008B268B"/>
    <w:rsid w:val="008D3B34"/>
    <w:rsid w:val="008E01E4"/>
    <w:rsid w:val="00906EC7"/>
    <w:rsid w:val="009116E2"/>
    <w:rsid w:val="009133C8"/>
    <w:rsid w:val="0092188E"/>
    <w:rsid w:val="00922366"/>
    <w:rsid w:val="009256CE"/>
    <w:rsid w:val="0093158F"/>
    <w:rsid w:val="0093193A"/>
    <w:rsid w:val="00932EC2"/>
    <w:rsid w:val="00933F2F"/>
    <w:rsid w:val="00945B11"/>
    <w:rsid w:val="00945F96"/>
    <w:rsid w:val="00951562"/>
    <w:rsid w:val="00951C59"/>
    <w:rsid w:val="009558FD"/>
    <w:rsid w:val="00957E0B"/>
    <w:rsid w:val="00964331"/>
    <w:rsid w:val="00965FA0"/>
    <w:rsid w:val="0099156A"/>
    <w:rsid w:val="0099791E"/>
    <w:rsid w:val="009A3418"/>
    <w:rsid w:val="009B420B"/>
    <w:rsid w:val="009B50C6"/>
    <w:rsid w:val="009B6438"/>
    <w:rsid w:val="009B799E"/>
    <w:rsid w:val="009C009C"/>
    <w:rsid w:val="009C1B5E"/>
    <w:rsid w:val="009C6B81"/>
    <w:rsid w:val="009D33E9"/>
    <w:rsid w:val="009D397D"/>
    <w:rsid w:val="009E2735"/>
    <w:rsid w:val="009E5651"/>
    <w:rsid w:val="009E6A0A"/>
    <w:rsid w:val="009E74B6"/>
    <w:rsid w:val="009F2709"/>
    <w:rsid w:val="009F4527"/>
    <w:rsid w:val="00A002FC"/>
    <w:rsid w:val="00A05550"/>
    <w:rsid w:val="00A06EDB"/>
    <w:rsid w:val="00A114D3"/>
    <w:rsid w:val="00A13AC9"/>
    <w:rsid w:val="00A142F4"/>
    <w:rsid w:val="00A22D54"/>
    <w:rsid w:val="00A26142"/>
    <w:rsid w:val="00A27CDC"/>
    <w:rsid w:val="00A32B23"/>
    <w:rsid w:val="00A330D5"/>
    <w:rsid w:val="00A33839"/>
    <w:rsid w:val="00A3480E"/>
    <w:rsid w:val="00A35161"/>
    <w:rsid w:val="00A359A6"/>
    <w:rsid w:val="00A42720"/>
    <w:rsid w:val="00A42EA7"/>
    <w:rsid w:val="00A449FB"/>
    <w:rsid w:val="00A564F3"/>
    <w:rsid w:val="00A619B8"/>
    <w:rsid w:val="00A61D6E"/>
    <w:rsid w:val="00A63141"/>
    <w:rsid w:val="00A66659"/>
    <w:rsid w:val="00A67E87"/>
    <w:rsid w:val="00A7032D"/>
    <w:rsid w:val="00A74AE8"/>
    <w:rsid w:val="00A7636F"/>
    <w:rsid w:val="00A76AF6"/>
    <w:rsid w:val="00A85546"/>
    <w:rsid w:val="00A910DA"/>
    <w:rsid w:val="00A9184C"/>
    <w:rsid w:val="00A9533D"/>
    <w:rsid w:val="00AA0BDF"/>
    <w:rsid w:val="00AA5A6B"/>
    <w:rsid w:val="00AB0A5C"/>
    <w:rsid w:val="00AB5556"/>
    <w:rsid w:val="00AB59A8"/>
    <w:rsid w:val="00AC2D22"/>
    <w:rsid w:val="00AC38DA"/>
    <w:rsid w:val="00AD4F63"/>
    <w:rsid w:val="00AE1402"/>
    <w:rsid w:val="00AF204C"/>
    <w:rsid w:val="00B059DC"/>
    <w:rsid w:val="00B05A17"/>
    <w:rsid w:val="00B05E29"/>
    <w:rsid w:val="00B06B66"/>
    <w:rsid w:val="00B06FB1"/>
    <w:rsid w:val="00B07440"/>
    <w:rsid w:val="00B079EA"/>
    <w:rsid w:val="00B129C6"/>
    <w:rsid w:val="00B17BE7"/>
    <w:rsid w:val="00B2024B"/>
    <w:rsid w:val="00B212E3"/>
    <w:rsid w:val="00B24EFC"/>
    <w:rsid w:val="00B27572"/>
    <w:rsid w:val="00B3238B"/>
    <w:rsid w:val="00B4253A"/>
    <w:rsid w:val="00B44FEC"/>
    <w:rsid w:val="00B45FEE"/>
    <w:rsid w:val="00B519A5"/>
    <w:rsid w:val="00B54102"/>
    <w:rsid w:val="00B558ED"/>
    <w:rsid w:val="00B61EC4"/>
    <w:rsid w:val="00B63DF6"/>
    <w:rsid w:val="00B6426F"/>
    <w:rsid w:val="00B64A8D"/>
    <w:rsid w:val="00B6572A"/>
    <w:rsid w:val="00B71F9C"/>
    <w:rsid w:val="00B75227"/>
    <w:rsid w:val="00B75DBF"/>
    <w:rsid w:val="00B92D4A"/>
    <w:rsid w:val="00B9341B"/>
    <w:rsid w:val="00B938CB"/>
    <w:rsid w:val="00B96017"/>
    <w:rsid w:val="00BA524E"/>
    <w:rsid w:val="00BA5D9B"/>
    <w:rsid w:val="00BA7657"/>
    <w:rsid w:val="00BB1F58"/>
    <w:rsid w:val="00BB6F9C"/>
    <w:rsid w:val="00BB6FAA"/>
    <w:rsid w:val="00BC07E0"/>
    <w:rsid w:val="00BC535D"/>
    <w:rsid w:val="00BD2104"/>
    <w:rsid w:val="00BE252C"/>
    <w:rsid w:val="00BE2848"/>
    <w:rsid w:val="00BF1E3B"/>
    <w:rsid w:val="00BF4723"/>
    <w:rsid w:val="00BF5488"/>
    <w:rsid w:val="00BF6A58"/>
    <w:rsid w:val="00BF780E"/>
    <w:rsid w:val="00C00CCF"/>
    <w:rsid w:val="00C029A6"/>
    <w:rsid w:val="00C06D21"/>
    <w:rsid w:val="00C10213"/>
    <w:rsid w:val="00C111EC"/>
    <w:rsid w:val="00C1352F"/>
    <w:rsid w:val="00C13785"/>
    <w:rsid w:val="00C161E5"/>
    <w:rsid w:val="00C23E68"/>
    <w:rsid w:val="00C35108"/>
    <w:rsid w:val="00C35A4A"/>
    <w:rsid w:val="00C4222C"/>
    <w:rsid w:val="00C45498"/>
    <w:rsid w:val="00C50F29"/>
    <w:rsid w:val="00C52E24"/>
    <w:rsid w:val="00C65512"/>
    <w:rsid w:val="00C65B1C"/>
    <w:rsid w:val="00C71671"/>
    <w:rsid w:val="00C72EC2"/>
    <w:rsid w:val="00C76030"/>
    <w:rsid w:val="00C801D7"/>
    <w:rsid w:val="00C80C08"/>
    <w:rsid w:val="00C81D34"/>
    <w:rsid w:val="00C82B33"/>
    <w:rsid w:val="00C8344F"/>
    <w:rsid w:val="00C83A84"/>
    <w:rsid w:val="00C85E47"/>
    <w:rsid w:val="00CA0949"/>
    <w:rsid w:val="00CA09DB"/>
    <w:rsid w:val="00CA6E92"/>
    <w:rsid w:val="00CB5D09"/>
    <w:rsid w:val="00CC0A74"/>
    <w:rsid w:val="00CC10A3"/>
    <w:rsid w:val="00CC505B"/>
    <w:rsid w:val="00CD12B2"/>
    <w:rsid w:val="00CD26DB"/>
    <w:rsid w:val="00CD2DE6"/>
    <w:rsid w:val="00CD65DE"/>
    <w:rsid w:val="00CF054C"/>
    <w:rsid w:val="00CF3070"/>
    <w:rsid w:val="00CF391E"/>
    <w:rsid w:val="00CF3F0A"/>
    <w:rsid w:val="00CF4F1E"/>
    <w:rsid w:val="00CF717A"/>
    <w:rsid w:val="00D01D6D"/>
    <w:rsid w:val="00D05BBB"/>
    <w:rsid w:val="00D1040E"/>
    <w:rsid w:val="00D10433"/>
    <w:rsid w:val="00D1140D"/>
    <w:rsid w:val="00D17C1E"/>
    <w:rsid w:val="00D252A3"/>
    <w:rsid w:val="00D27A22"/>
    <w:rsid w:val="00D303B8"/>
    <w:rsid w:val="00D31848"/>
    <w:rsid w:val="00D34BC0"/>
    <w:rsid w:val="00D35E73"/>
    <w:rsid w:val="00D51EA1"/>
    <w:rsid w:val="00D62246"/>
    <w:rsid w:val="00D62A3C"/>
    <w:rsid w:val="00D64922"/>
    <w:rsid w:val="00D72E5B"/>
    <w:rsid w:val="00D76E3E"/>
    <w:rsid w:val="00D777D3"/>
    <w:rsid w:val="00D8134F"/>
    <w:rsid w:val="00D9011C"/>
    <w:rsid w:val="00D90D7A"/>
    <w:rsid w:val="00D91C53"/>
    <w:rsid w:val="00D934C3"/>
    <w:rsid w:val="00D96D97"/>
    <w:rsid w:val="00DB482A"/>
    <w:rsid w:val="00DB573D"/>
    <w:rsid w:val="00DC3D54"/>
    <w:rsid w:val="00DE105F"/>
    <w:rsid w:val="00DE2026"/>
    <w:rsid w:val="00DE5376"/>
    <w:rsid w:val="00DE63DE"/>
    <w:rsid w:val="00DE6FCA"/>
    <w:rsid w:val="00DF0890"/>
    <w:rsid w:val="00DF2021"/>
    <w:rsid w:val="00DF761E"/>
    <w:rsid w:val="00E06B18"/>
    <w:rsid w:val="00E07A29"/>
    <w:rsid w:val="00E129A9"/>
    <w:rsid w:val="00E13969"/>
    <w:rsid w:val="00E142EA"/>
    <w:rsid w:val="00E23187"/>
    <w:rsid w:val="00E237E9"/>
    <w:rsid w:val="00E26C7F"/>
    <w:rsid w:val="00E32B9F"/>
    <w:rsid w:val="00E33F07"/>
    <w:rsid w:val="00E405E1"/>
    <w:rsid w:val="00E71DB4"/>
    <w:rsid w:val="00E8323E"/>
    <w:rsid w:val="00E9157D"/>
    <w:rsid w:val="00EA2590"/>
    <w:rsid w:val="00EA50BE"/>
    <w:rsid w:val="00EA5329"/>
    <w:rsid w:val="00EA581D"/>
    <w:rsid w:val="00EA61E6"/>
    <w:rsid w:val="00EB5EC7"/>
    <w:rsid w:val="00EC00C4"/>
    <w:rsid w:val="00EC387F"/>
    <w:rsid w:val="00ED2790"/>
    <w:rsid w:val="00ED4B48"/>
    <w:rsid w:val="00EE31E2"/>
    <w:rsid w:val="00EE6AFB"/>
    <w:rsid w:val="00EF0191"/>
    <w:rsid w:val="00EF1910"/>
    <w:rsid w:val="00EF2B0D"/>
    <w:rsid w:val="00EF52E0"/>
    <w:rsid w:val="00EF5902"/>
    <w:rsid w:val="00F00480"/>
    <w:rsid w:val="00F040AB"/>
    <w:rsid w:val="00F1072E"/>
    <w:rsid w:val="00F10CED"/>
    <w:rsid w:val="00F1672B"/>
    <w:rsid w:val="00F168F2"/>
    <w:rsid w:val="00F17444"/>
    <w:rsid w:val="00F22AC2"/>
    <w:rsid w:val="00F26C90"/>
    <w:rsid w:val="00F33B8A"/>
    <w:rsid w:val="00F33D75"/>
    <w:rsid w:val="00F34807"/>
    <w:rsid w:val="00F35AD3"/>
    <w:rsid w:val="00F405C8"/>
    <w:rsid w:val="00F41D4E"/>
    <w:rsid w:val="00F47B44"/>
    <w:rsid w:val="00F50973"/>
    <w:rsid w:val="00F520B2"/>
    <w:rsid w:val="00F56B55"/>
    <w:rsid w:val="00F57853"/>
    <w:rsid w:val="00F62273"/>
    <w:rsid w:val="00F643B6"/>
    <w:rsid w:val="00F6500D"/>
    <w:rsid w:val="00F664BC"/>
    <w:rsid w:val="00F70BB4"/>
    <w:rsid w:val="00F711EF"/>
    <w:rsid w:val="00F7159E"/>
    <w:rsid w:val="00F722B6"/>
    <w:rsid w:val="00F75F66"/>
    <w:rsid w:val="00F80CD7"/>
    <w:rsid w:val="00F82FC7"/>
    <w:rsid w:val="00F974E1"/>
    <w:rsid w:val="00FA58FF"/>
    <w:rsid w:val="00FA7912"/>
    <w:rsid w:val="00FB028B"/>
    <w:rsid w:val="00FB2825"/>
    <w:rsid w:val="00FB641B"/>
    <w:rsid w:val="00FC2B7C"/>
    <w:rsid w:val="00FC6BC2"/>
    <w:rsid w:val="00FD06FE"/>
    <w:rsid w:val="00FD37C0"/>
    <w:rsid w:val="00FE0735"/>
    <w:rsid w:val="00FE3F7A"/>
    <w:rsid w:val="00FF0A83"/>
    <w:rsid w:val="00FF38F0"/>
    <w:rsid w:val="00FF6FD6"/>
    <w:rsid w:val="00FF7861"/>
    <w:rsid w:val="00FF7C65"/>
    <w:rsid w:val="09343BA5"/>
    <w:rsid w:val="14BD0C01"/>
    <w:rsid w:val="2293438E"/>
    <w:rsid w:val="2B1A7791"/>
    <w:rsid w:val="325E420A"/>
    <w:rsid w:val="49CF23EF"/>
    <w:rsid w:val="4CE1677B"/>
    <w:rsid w:val="4E1070F7"/>
    <w:rsid w:val="56EE2BC6"/>
    <w:rsid w:val="632605F6"/>
    <w:rsid w:val="6B89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6"/>
    <w:uiPriority w:val="0"/>
    <w:pPr>
      <w:spacing w:beforeLines="30"/>
    </w:pPr>
    <w:rPr>
      <w:rFonts w:ascii="仿宋_GB2312" w:hAnsi="Times New Roman" w:eastAsia="仿宋_GB2312"/>
      <w:kern w:val="0"/>
      <w:sz w:val="30"/>
      <w:szCs w:val="24"/>
    </w:rPr>
  </w:style>
  <w:style w:type="paragraph" w:styleId="3">
    <w:name w:val="Plain Text"/>
    <w:basedOn w:val="1"/>
    <w:link w:val="15"/>
    <w:uiPriority w:val="0"/>
    <w:rPr>
      <w:rFonts w:ascii="宋体" w:hAnsi="Courier New"/>
    </w:rPr>
  </w:style>
  <w:style w:type="paragraph" w:styleId="4">
    <w:name w:val="footer"/>
    <w:basedOn w:val="1"/>
    <w:link w:val="1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9">
    <w:name w:val="fontstyle31"/>
    <w:uiPriority w:val="0"/>
    <w:rPr>
      <w:rFonts w:hint="eastAsia" w:ascii="黑体" w:hAnsi="黑体" w:eastAsia="黑体"/>
      <w:color w:val="000000"/>
      <w:sz w:val="32"/>
      <w:szCs w:val="32"/>
    </w:rPr>
  </w:style>
  <w:style w:type="character" w:customStyle="1" w:styleId="10">
    <w:name w:val="fontstyle41"/>
    <w:uiPriority w:val="0"/>
    <w:rPr>
      <w:rFonts w:hint="eastAsia" w:ascii="仿宋_GB2312" w:eastAsia="仿宋_GB2312"/>
      <w:color w:val="000000"/>
      <w:sz w:val="32"/>
      <w:szCs w:val="32"/>
    </w:rPr>
  </w:style>
  <w:style w:type="character" w:customStyle="1" w:styleId="11">
    <w:name w:val="fontstyle61"/>
    <w:qFormat/>
    <w:uiPriority w:val="0"/>
    <w:rPr>
      <w:rFonts w:hint="eastAsia" w:ascii="楷体_GB2312" w:eastAsia="楷体_GB2312"/>
      <w:color w:val="000000"/>
      <w:sz w:val="32"/>
      <w:szCs w:val="32"/>
    </w:rPr>
  </w:style>
  <w:style w:type="character" w:customStyle="1" w:styleId="12">
    <w:name w:val="fontstyle71"/>
    <w:qFormat/>
    <w:uiPriority w:val="0"/>
    <w:rPr>
      <w:rFonts w:hint="default" w:ascii="TimesNewRoman" w:hAnsi="TimesNewRoman"/>
      <w:b/>
      <w:bCs/>
      <w:color w:val="000000"/>
      <w:sz w:val="32"/>
      <w:szCs w:val="32"/>
    </w:rPr>
  </w:style>
  <w:style w:type="character" w:customStyle="1" w:styleId="13">
    <w:name w:val="页眉 Char"/>
    <w:basedOn w:val="8"/>
    <w:link w:val="5"/>
    <w:uiPriority w:val="0"/>
    <w:rPr>
      <w:kern w:val="2"/>
      <w:sz w:val="18"/>
      <w:szCs w:val="18"/>
    </w:rPr>
  </w:style>
  <w:style w:type="character" w:customStyle="1" w:styleId="14">
    <w:name w:val="页脚 Char"/>
    <w:basedOn w:val="8"/>
    <w:link w:val="4"/>
    <w:uiPriority w:val="99"/>
    <w:rPr>
      <w:kern w:val="2"/>
      <w:sz w:val="18"/>
      <w:szCs w:val="18"/>
    </w:rPr>
  </w:style>
  <w:style w:type="character" w:customStyle="1" w:styleId="15">
    <w:name w:val="纯文本 Char"/>
    <w:basedOn w:val="8"/>
    <w:link w:val="3"/>
    <w:uiPriority w:val="0"/>
    <w:rPr>
      <w:rFonts w:ascii="宋体" w:hAnsi="Courier New"/>
      <w:kern w:val="2"/>
      <w:sz w:val="21"/>
      <w:szCs w:val="22"/>
    </w:rPr>
  </w:style>
  <w:style w:type="character" w:customStyle="1" w:styleId="16">
    <w:name w:val="正文文本 Char"/>
    <w:basedOn w:val="8"/>
    <w:link w:val="2"/>
    <w:uiPriority w:val="0"/>
    <w:rPr>
      <w:rFonts w:ascii="仿宋_GB2312" w:hAnsi="Times New Roman" w:eastAsia="仿宋_GB2312"/>
      <w:sz w:val="30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7</Pages>
  <Words>3062</Words>
  <Characters>3317</Characters>
  <Lines>24</Lines>
  <Paragraphs>6</Paragraphs>
  <TotalTime>74</TotalTime>
  <ScaleCrop>false</ScaleCrop>
  <LinksUpToDate>false</LinksUpToDate>
  <CharactersWithSpaces>3318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2022-05-17T02:14:00Z</dcterms:created>
  <dc:creator>lenovo</dc:creator>
  <cp:lastModifiedBy>夏薇</cp:lastModifiedBy>
  <cp:lastPrinted>2021-09-02T08:40:00Z</cp:lastPrinted>
  <dcterms:modified xsi:type="dcterms:W3CDTF">2022-05-17T08:57:23Z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D34DD14AD218417EAABC47AC158B94F4</vt:lpwstr>
  </property>
</Properties>
</file>