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基层组织活动和公共运行服务运行费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项目主管单位牵头实施项目，编制实施方案，对该资金加强资金管理，确保专款专用，不得挪作他用，提高资金使用绩效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根据盐财资预【2021】69号下达2021年市县基层组织活动和公共运行服务运行费（县级配套城市社区部分）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主要用于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基层组织活动、农村基础设施建设。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基层组织活动，组织活动场所维护。公共服务运行：农村基础设施建设。</w:t>
      </w: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3"/>
          <w:szCs w:val="33"/>
          <w:lang w:val="en-US" w:eastAsia="zh-CN"/>
        </w:rPr>
        <w:t>建设2021年我乡农村基础设施和环境，开展基层活动。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 3.</w:t>
      </w:r>
      <w:r>
        <w:rPr>
          <w:rFonts w:hint="default" w:ascii="Times New Roman" w:hAnsi="Times New Roman" w:eastAsia="黑体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根据盐财资预【2021】69号下达2021年市县基层组织活动和公共运行服务运行费（县级配套城市社区部分）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下达资金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380000元。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380000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380000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乡政府成立领导小组，由分管领导负责监督，由项目办组织负责实施。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380000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380000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380000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380000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1652149362">
    <w:nsid w:val="6279CC72"/>
    <w:multiLevelType w:val="singleLevel"/>
    <w:tmpl w:val="6279CC72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52149362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2022-05-16T12:24:55Z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