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(</w:t>
      </w:r>
      <w:r>
        <w:rPr>
          <w:rFonts w:hint="default" w:ascii="Times New Roman" w:hAnsi="Times New Roman" w:eastAsia="仿宋_GB2312" w:cs="Times New Roman"/>
          <w:sz w:val="33"/>
          <w:szCs w:val="33"/>
        </w:rPr>
        <w:t>基层组织活动和公共运行服务运行费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</w:t>
      </w: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项目主管单位牵头实施项目，编制实施方案，对该资金加强资金管理，确保专款专用，不得挪作他用，提高资金使用绩效</w:t>
      </w:r>
      <w:r>
        <w:rPr>
          <w:rFonts w:hint="default" w:ascii="Times New Roman" w:hAnsi="Times New Roman" w:eastAsia="仿宋_GB2312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根据盐财资预【2021】69号下达2021年市县基层组织活动和公共运行服务运行费（县级配套城市社区部分）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主要用于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基层组织活动、农村基础设施建设。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基层组织活动，组织活动场所维护。公共服务运行：农村基础设施建设。</w:t>
      </w:r>
    </w:p>
    <w:p>
      <w:pPr>
        <w:numPr>
          <w:ilvl w:val="0"/>
          <w:numId w:val="1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3"/>
          <w:szCs w:val="33"/>
        </w:rPr>
      </w:pPr>
      <w:r>
        <w:rPr>
          <w:rFonts w:hint="default" w:ascii="Times New Roman" w:hAnsi="Times New Roman" w:eastAsia="仿宋_GB2312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3"/>
          <w:szCs w:val="33"/>
          <w:lang w:val="en-US" w:eastAsia="zh-CN"/>
        </w:rPr>
        <w:t xml:space="preserve">  保证社区公共服务运行建设。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3"/>
          <w:szCs w:val="33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 3.</w:t>
      </w:r>
      <w:r>
        <w:rPr>
          <w:rFonts w:hint="default" w:ascii="Times New Roman" w:hAnsi="Times New Roman" w:eastAsia="黑体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3"/>
          <w:szCs w:val="33"/>
        </w:rPr>
        <w:t>根据盐财资预【2021】69号下达2021年市县基层组织活动和公共运行服务运行费（县级配套城市社区部分）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下达资金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20000元。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乡政府成立领导小组，由分管领导负责监督，由项目办组织负责实施。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20000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149362">
    <w:nsid w:val="6279CC72"/>
    <w:multiLevelType w:val="singleLevel"/>
    <w:tmpl w:val="6279CC72"/>
    <w:lvl w:ilvl="0" w:tentative="1">
      <w:start w:val="2"/>
      <w:numFmt w:val="decimal"/>
      <w:suff w:val="nothing"/>
      <w:lvlText w:val="%1."/>
      <w:lvlJc w:val="left"/>
    </w:lvl>
  </w:abstractNum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652149362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2022-05-16T12:24:18Z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