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3"/>
          <w:szCs w:val="33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kern w:val="2"/>
          <w:sz w:val="33"/>
          <w:szCs w:val="33"/>
          <w:lang w:val="en-US" w:eastAsia="zh-CN" w:bidi="ar-SA"/>
        </w:rPr>
        <w:t>社道路维修费</w:t>
      </w:r>
      <w:r>
        <w:rPr>
          <w:rFonts w:hint="default" w:ascii="Times New Roman" w:hAnsi="Times New Roman" w:eastAsia="方正小标宋_GBK" w:cs="Times New Roman"/>
          <w:sz w:val="33"/>
          <w:szCs w:val="33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项目主管单位牵头实施项目，编制实施方案，对该资金加强资金管理，确保专款专用，不得挪作他用，提高资金使用绩效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3"/>
          <w:szCs w:val="33"/>
          <w:lang w:val="en-US" w:eastAsia="zh-CN" w:bidi="ar-SA"/>
        </w:rPr>
        <w:t>根据盐财资预【2021】1号下达2021年乡镇财政转移支付补助预算(预备费，用于社道路维修费)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，用于维修从河门口至下马鹿塘的社道路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12公里，解决农户出行难问题，降低农户产品运输成本。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用于维修从河门口至下马鹿塘的社道路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12公里，解决农户出行难问题，降低农户产品运输成本。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3"/>
          <w:szCs w:val="33"/>
        </w:rPr>
      </w:pPr>
      <w:r>
        <w:rPr>
          <w:rFonts w:hint="default" w:ascii="Times New Roman" w:hAnsi="Times New Roman" w:eastAsia="仿宋_GB2312" w:cs="Times New Roman"/>
          <w:kern w:val="0"/>
          <w:sz w:val="33"/>
          <w:szCs w:val="33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解决农户出行难问题，降低农户产品运输成本。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3"/>
          <w:szCs w:val="33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 3.</w:t>
      </w:r>
      <w:r>
        <w:rPr>
          <w:rFonts w:hint="default" w:ascii="Times New Roman" w:hAnsi="Times New Roman" w:eastAsia="黑体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33"/>
          <w:szCs w:val="33"/>
          <w:lang w:val="en-US" w:eastAsia="zh-CN" w:bidi="ar-SA"/>
        </w:rPr>
        <w:t>根据盐财资预【2021】1号下达2021年乡镇财政转移支付补助预算(预备费，用于社道路维修费)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下达资金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32800元。</w:t>
      </w:r>
    </w:p>
    <w:p>
      <w:pPr>
        <w:numPr>
          <w:ilvl w:val="0"/>
          <w:numId w:val="1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该资金由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下达该资金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32800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32800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乡政府成立领导小组，由分管领导负责监督，由蒿枝坪村组织负责实施。</w:t>
      </w:r>
    </w:p>
    <w:p>
      <w:pPr>
        <w:pStyle w:val="6"/>
        <w:numPr>
          <w:ilvl w:val="0"/>
          <w:numId w:val="2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2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32800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支出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32800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32800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32800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6"/>
        <w:numPr>
          <w:ilvl w:val="0"/>
          <w:numId w:val="2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652099897"/>
  </w:num>
  <w:num w:numId="2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2022-05-16T12:23:31Z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