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(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旅游厕所管护资金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项目主管单位牵头实施项目，编制实施方案，对该资金加强资金管理，确保专款专用，不得挪作他用，提高资金使用绩效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根据盐财资行【2021】278号下达旅游厕所管护资金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主要用于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三滩旅游厕所日常管理维护。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三滩旅游厕所日常管理维护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2.</w:t>
      </w:r>
      <w:r>
        <w:rPr>
          <w:rFonts w:hint="default" w:ascii="Times New Roman" w:hAnsi="Times New Roman" w:eastAsia="仿宋_GB2312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  <w:t xml:space="preserve">   保障三滩旅游厕所正常维护运行，提高三滩旅游业形象。提高当地旅游业收入。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根据盐财资行【2021】281号下达2021年省级民生工程公共图书馆文化馆（站）免费开放县级配套资金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，下达资金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6000元。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6000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6000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乡政府成立领导小组，由分管领导负责监督，由宣文中心负责实施。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6000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52101146">
    <w:nsid w:val="6279101A"/>
    <w:multiLevelType w:val="singleLevel"/>
    <w:tmpl w:val="6279101A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652101146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2022-05-16T12:23:03Z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