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</w:t>
      </w:r>
      <w:bookmarkStart w:id="0" w:name="_GoBack"/>
      <w:r>
        <w:rPr>
          <w:rFonts w:hint="default" w:ascii="Times New Roman" w:hAnsi="Times New Roman" w:eastAsia="方正小标宋_GBK" w:cs="Times New Roman"/>
          <w:sz w:val="38"/>
          <w:szCs w:val="38"/>
        </w:rPr>
        <w:t>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bookmarkEnd w:id="0"/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(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红果乡村级工资社保办公费-生活补助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项目主管单位牵头实施项目，编制实施方案，对该资金加强资金管理，确保专款专用，不得挪作他用，提高资金使用绩效。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红果乡村级工资社保办公费-生活补助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工作人员工资、绩效。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工作人员工资、绩效。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项目应实现的具体绩效目标，包括目标的量化、细化情况以及项目实施进度计划等。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保障村工作人员工资、绩效。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2021年居委会工资社保住房公积金和办公费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-生活补助,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1297376元。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该资金由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我乡于202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1297376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1297376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完成支付进度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乡政府成立领导小组，由分管领导负责监督，由社区组织负责实施。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、项目绩效情况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预算安排资金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1297376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1297376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元，支付进度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我乡较好地完成了202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1297376元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，实际完成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1297376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元，完成率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52149362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2022-05-16T12:19:42Z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