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w:t>
      </w:r>
      <w:bookmarkStart w:id="0" w:name="_GoBack"/>
      <w:bookmarkEnd w:id="0"/>
      <w:r>
        <w:rPr>
          <w:rFonts w:hint="eastAsia" w:ascii="方正小标宋_GBK" w:hAnsi="方正小标宋_GBK" w:eastAsia="方正小标宋_GBK" w:cs="方正小标宋_GBK"/>
          <w:sz w:val="44"/>
          <w:szCs w:val="44"/>
        </w:rPr>
        <w:t>年盐边县煤矿安全监管执法工作计划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四川省安全监管局四川煤监局关于印发《四川省煤矿安全监管执法计划编制实施细则》的通知》（川安监〔2018〕87号）和《攀枝花市应急管理局关于印发&lt;攀枝花市煤矿分类监管实施方案&gt;的通知（试行）》（攀应急〔2020〕37号）要求，以及省、市煤矿安全生产工作部署，现印发2021年盐边县煤矿安全生产监督执法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一、指导思想和编制原则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（一）指导思想。</w:t>
      </w:r>
      <w:r>
        <w:rPr>
          <w:rFonts w:hint="default" w:ascii="Times New Roman" w:hAnsi="Times New Roman" w:eastAsia="仿宋_GB2312" w:cs="Times New Roman"/>
          <w:sz w:val="32"/>
          <w:szCs w:val="32"/>
        </w:rPr>
        <w:t>以习近平新时代中国特色社会主义思想为指导，深入贯彻党的十九届五中全会精神及国家、省、市、县安全生产工作决策部署，坚持“安全第一，预防为主，综合治理”的方针，坚持人民至上、生命至上，坚持依法行政、严格执法、执法和普法并重，做到有法必依、执法必严、违法必究，严厉打击安全生产领域的违法违规行为，督促企业认真落实企业主体责任，增强安全生产执法工作的有效性、针对性和权威性，有效防范较大及以上事故，减少一般事故，确保全县安全生产形势持续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（二）编制原则。</w:t>
      </w:r>
      <w:r>
        <w:rPr>
          <w:rFonts w:hint="default" w:ascii="Times New Roman" w:hAnsi="Times New Roman" w:eastAsia="仿宋_GB2312" w:cs="Times New Roman"/>
          <w:sz w:val="32"/>
          <w:szCs w:val="32"/>
        </w:rPr>
        <w:t>一是坚持依法行政、严格执法的原则。切实履行安全监管执法职能，按照安全生产法律法规的要求，严格执法、公正执法、廉洁执法，严肃查处各种违法违规行为。二是坚持强化执法、落实主体责任的原则。通过监管执法督促企业履行安全生产职责，认真执行安全生产法律法规，加强安全管理，切实负起安全生产主体责任。三是坚持统筹兼顾、突出重点的原则。针对辖区企业安全生产状况，统筹安排，突出重点企业；突出重点时期，兼顾日常监管。四是坚持尽力而为，突出重点的原则。以目前监管人员（数）、办公车辆、办公经费等为基础，综合考虑辖区内煤矿企业的数量、分布情况、生产现状和交通情况等因素，注重煤矿安全生产、爆炸物品的管理、特殊作业等重点区域、岗位的监管。五是坚持计划执法、严格考核的原则。通过计划执法，优化监管力量，细化监管执法任务，通过严格考核，促进监管执法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二、总体任务和工作目标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县委、县政府关于加强安全生产工作的总体部署和要求，严格执行国家安全生产法律法规规章和国家、行业标准规范，扎实推进安全生产领域综合执法改革，强化安全生产监察执法，严厉打击安全生产领域违法违规行为，有力督促煤炭行业领域生产经营单位主体责任进一步落实、安全条件进一步改善、安全基础进一步夯实、安全水平进一步提升，有效防范较大及以上事故，力争全县事故起数、死亡人数，受伤人数及经济损失各项数据较上一年呈下降态势，促进我县安全生产状况进一步持续稳定好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目标：全年实现执法计划完成率100%，隐患整改率达到100%，对群众、单位的安全生产相关举报、投诉和信访事项核查回复率100%，监督检查执法案件执行率不低于90%，安全监管执法行政复议、行政诉讼“零败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三、监管工作原则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盐边县应急管理局煤矿安全监管执法人员（现场执法人员不得少于2人），综合考虑盐边县境内煤矿企业灾害程度、生产布局、装备工艺、安全诚信、标准化等级、人员素质及生产建设状态等八个方面因素，科学合理的安排监管工作并坚持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（一）坚持依法行政，严格执法的原则。切实履行煤矿安全监管职能，严格按照安全生产法律法规的要求，严格执法、公正执法、廉洁执法，严肃查处各种违法违规行为。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（二）通过加强安全监管，推动煤矿企业落实安全生产主体责任，加强现场管理、隐患排查治理，确保安全生产。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突出重点的原则。煤矿安全监管工作计划与监管力量相适应，具有可操作性。针对全县煤矿安全生产状况，着力解决煤矿安全生产工作中的问题，特别注重高瓦斯矿井和事故多发矿井的监管，有效遏制一般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（四）“三个结合”执法原则，即执法与服务相结合，查处与整改相结合，处罚与教育相结合。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四、煤矿安全监管行政执法力量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盐边县应急管理局煤矿安全监管股现有正式在编执法人员5人。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五、行政执法监管工作日计算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（一）总法定工作日：1220日。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计算依据：2021年国家法定工作日=365-121=244日1.2021年全年总天数365日。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2.双休日=52×2=104日。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3.元旦、春节、清明节、劳动节、端午节、火把节、中秋节、国庆节、彝族年共17天法定假日。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总法定工作日＝国家法定工作日×行政执法人员数量＝244×5＝1220日。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（二）其他执法工作日：573日。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依据前三年的实际统计平均数：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1.信访举报案件查处，行政处罚案件查处:件数×（现场核查工作日×行政执法人员数+处理情况回复工作日×行政执法人员数）=8件×（2日×2人+0.5日×2人）=40个工作日。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2.指导煤矿企业开展煤矿清单制建设、安全服务等工作：10家×2×1工作日/家=22个工作日。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3.国家、省、市上级安全监管执法机关组织对我县安全生产执法行动（专项执法大检查和安委会督查）：10次×3人=30个工作日。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4.重大安全生产隐患排查报告的受理、登记建档、跟踪监控、督促整改、验收等：5个工作日。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5.对煤矿相关报告、制度、安全措施的备案：18个工作日（建设项目“三同时”审查、重大危险源、应急预案备案等）。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6.参与煤矿企业应急演练：10个工作日。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7.陪同县领导到10处煤矿企业开展县领导“挂包矿”检查：10×12个月×2人=240个工作日。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8.开展煤矿复产复工工作：10个矿井×2人×1.5个工作日=30个工作日。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9.全年开展煤矿季度隐患排查工作4次：10个矿井×2人×4个季度=80个工作日。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10.瓦斯超限监控系统报警处理：瓦斯超限报警有不可预见性和不确定性，主要对煤矿三级瓦斯超限报警进行立案调查取证、形成调查报告、案件分析会等流程，需要20个工作日。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11.定期到C类矿井组织矿级班子开展谈心对话：煤矿企业主要负责人、安全生产管理人员调动频繁，人员流动性大，需要对此类矿井加强正面的引导，需要10个工作日。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12.头面审核工作：2021年预计进入生产建设矿井有3处，按照头面审核制度（含头面接续重核在内），包括现场核定、现场收尺制度、图纸、方案审核，预计需要不少于38个工作日。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13.其他紧急工作安排调配：根据工作的特殊性质，突发性或临时不可预见紧急工作安排，预计需要30个工作日。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（三）非执法工作日：369日。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依据前三年的实际统计平均数：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1.股室每周学习讨论、煤矿企业业主会议安排：3日/月×12月×5人=180个工作日。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2.外出培训学习安排：5人×5日=25个工作日。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3.每月组织召开一次煤矿企业部门联席会：12个月×2人=24个工作日。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4.病假、事假总安排：暂不考虑病、事假所占用的工作日。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5.根据《职工带薪年休假条例》、《机关事业单位工作人员带薪年休假实施办法》，公务员法定年休假总安排：15+10+5+5+5=40个工作日。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6.党群活动安排：5人×1日×12月=60个工作日。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7.参与脱贫攻坚工作、对帮扶人入户走访、宣讲政策等：5人×2日×4次=40个工作日。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（四）监督检查执法工作日：66工作日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纳入监管执法检查对象煤矿企业和煤炭洗选企业共计12处企业，其中含2家煤炭洗选企业。根据生产经营单位安全生产基本情况、行业特点、职业危害程度、往年事故情况等要素将日常监管的生产经营单位划为四级，按照《攀枝花市应急管理局关于印发&lt;攀枝花市煤矿分类监管实施方案&gt;的通知（试行）》（攀应急〔2020〕37号）执行分级监管。A级生产经营单位年度执法检查不少于2次；B级生产经营单位年度执法检查不少于4次；C级生产经营单位年度执法检查不少于8次；D级生产经营单位年度执法检查不少于2次，洗选企业年度检查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按照攀枝花市煤矿分类监管实施方案，盐边县煤矿企业10处矿井均属于D级生产经营单位。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计划执法检查工作日：（10处矿井×2+2家×1）×3人=66个工作日。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六、执法检查内容和工作要求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（一）执法检查的内容。</w:t>
      </w:r>
      <w:r>
        <w:rPr>
          <w:rFonts w:hint="default" w:ascii="Times New Roman" w:hAnsi="Times New Roman" w:eastAsia="仿宋_GB2312" w:cs="Times New Roman"/>
          <w:sz w:val="32"/>
          <w:szCs w:val="32"/>
        </w:rPr>
        <w:t>根据有关规定，执法检查重点为国家安监总局24号令（第77号修改）第八条规定的20项内容，以及国发〔2010〕23号、国发〔2011〕40号文件中规定的相关内容。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（二）执法检查的要求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执法检查通过审查资料、现场检查、调查询问等方式进行。参与监管执法的行政执法人员不得少于2人，必须亮证执法。每次监管执法应当填写《现场检查记录》或《询问笔录》，并由被检查单位相关人员或被询问人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2.对检查发现的事故隐患必须下达《责令限期整改指令书》，按期复查并下达《整改复查意见书》；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3.对监管执法中发现的安全生产违法行为应当依法实施行政处罚，涉嫌追究刑事责任的，应当及时移交司法机关；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4.对群众举报、媒体曝光、上级交办、部门移交的安全生产非法违法行为及时进行检查、处理。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七、安全生产教育培训及应急演练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（一）督促企业编制年度安全教育培训计划和应急演练计划。</w:t>
      </w:r>
      <w:r>
        <w:rPr>
          <w:rFonts w:hint="default" w:ascii="Times New Roman" w:hAnsi="Times New Roman" w:eastAsia="仿宋_GB2312" w:cs="Times New Roman"/>
          <w:sz w:val="32"/>
          <w:szCs w:val="32"/>
        </w:rPr>
        <w:t>开展全面安全教育培训，体现安全教育针对性、实用性，落实“三项岗位人员”安全培训持证上岗；组织开展专项应急演练和综合应急演练，提高职工应急意思和处置水平；组织开展“安全生产月”活动，进一步提高从业人员的安全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（二）引导企业重视人才培养及招录工作</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rPr>
        <w:t>尤其要督促煤矿企业指导职工开展职业技能晋级工作，引进具有化工专业背景管理人才，配备注册安全工程师，夯实安全管理基础。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（三）完善档案资料收集整理。</w:t>
      </w:r>
      <w:r>
        <w:rPr>
          <w:rFonts w:hint="default" w:ascii="Times New Roman" w:hAnsi="Times New Roman" w:eastAsia="仿宋_GB2312" w:cs="Times New Roman"/>
          <w:sz w:val="32"/>
          <w:szCs w:val="32"/>
        </w:rPr>
        <w:t>督促企业完善安全培训档案资料和应急演练资料，并要求企业向职工宣传省市县各级安全生产要求。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（一）加强组织领导。</w:t>
      </w:r>
      <w:r>
        <w:rPr>
          <w:rFonts w:hint="default" w:ascii="Times New Roman" w:hAnsi="Times New Roman" w:eastAsia="仿宋_GB2312" w:cs="Times New Roman"/>
          <w:sz w:val="32"/>
          <w:szCs w:val="32"/>
        </w:rPr>
        <w:t>将煤矿安全监管执法纳入全局重点工作目标管理，局一把手负总责，分管领导对煤矿监管股的安全监管执法工作负责。煤矿安全监管股严格按照经县政府批准的监管执法计划执行。局主要领导、分管领导对股室监管执法计划情况以及案件办理情况进行监督检查，对执法过程中的违法违纪行为严肃追究当事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（二）严格规范执法。</w:t>
      </w:r>
      <w:r>
        <w:rPr>
          <w:rFonts w:hint="default" w:ascii="Times New Roman" w:hAnsi="Times New Roman" w:eastAsia="仿宋_GB2312" w:cs="Times New Roman"/>
          <w:sz w:val="32"/>
          <w:szCs w:val="32"/>
        </w:rPr>
        <w:t>切实履行安全监督管理职能，严格按照安全生产法律法规的要求，公正执法、廉洁执法、文明执法，严肃查处各种安全生产违法违规行为，规范使用各类行政执法文书。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（三）提高服务意识。</w:t>
      </w:r>
      <w:r>
        <w:rPr>
          <w:rFonts w:hint="default" w:ascii="Times New Roman" w:hAnsi="Times New Roman" w:eastAsia="仿宋_GB2312" w:cs="Times New Roman"/>
          <w:sz w:val="32"/>
          <w:szCs w:val="32"/>
        </w:rPr>
        <w:t>执法人员要牢固树立服务大局、服务基层、服务企业的意识，为企业发展创造安全环境。通过公正执法、人性化执法，不断提高企业安全管理水平，促进企业安全生产主体责任的落实。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（四）强化学习领悟。</w:t>
      </w:r>
      <w:r>
        <w:rPr>
          <w:rFonts w:hint="default" w:ascii="Times New Roman" w:hAnsi="Times New Roman" w:eastAsia="仿宋_GB2312" w:cs="Times New Roman"/>
          <w:sz w:val="32"/>
          <w:szCs w:val="32"/>
        </w:rPr>
        <w:t>针对煤矿安全监管股执法人员专业背景监管人员缺乏、监管企业多而杂，企业安全生产基础薄弱、从业人员素质偏低等情况，监管人员要针对各行业强化学习，提升执法专业性、全面性，更好的服务于基层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九、监管工作计划的审批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家安全监管总局关于印发安全生产年度监督检查计划编制办法的通知》（安监总政法〔2017〕150号）要求，编制年度及月度监管执法工作计划，年度计划报县政府审批后执行，并报四川煤矿监察局攀西监察分局和攀枝花市应急管理局备案。制定的监管执法工作计划因上级安全管理部门工作部署和其他不可预见因素需进行重大调整时，盐边县应急管理局将调整后的年度监管执法工作计划及调整原因报盐边县县政府、四川煤矿监察局攀西监察分局和攀枝花市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before="101" w:line="185"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7"/>
          <w:w w:val="105"/>
          <w:sz w:val="44"/>
          <w:szCs w:val="44"/>
        </w:rPr>
        <w:t>2021年盐边县煤矿安全监管执法工作计划表</w:t>
      </w:r>
    </w:p>
    <w:p>
      <w:pPr>
        <w:spacing w:line="176" w:lineRule="exact"/>
      </w:pPr>
    </w:p>
    <w:tbl>
      <w:tblPr>
        <w:tblStyle w:val="4"/>
        <w:tblW w:w="14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2844"/>
        <w:gridCol w:w="878"/>
        <w:gridCol w:w="875"/>
        <w:gridCol w:w="878"/>
        <w:gridCol w:w="875"/>
        <w:gridCol w:w="875"/>
        <w:gridCol w:w="878"/>
        <w:gridCol w:w="875"/>
        <w:gridCol w:w="875"/>
        <w:gridCol w:w="878"/>
        <w:gridCol w:w="875"/>
        <w:gridCol w:w="921"/>
        <w:gridCol w:w="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39" w:type="dxa"/>
            <w:vAlign w:val="top"/>
          </w:tcPr>
          <w:p>
            <w:pPr>
              <w:spacing w:before="200" w:line="180" w:lineRule="auto"/>
              <w:ind w:firstLine="81"/>
              <w:rPr>
                <w:rFonts w:ascii="黑体" w:hAnsi="黑体" w:eastAsia="黑体" w:cs="黑体"/>
                <w:sz w:val="25"/>
                <w:szCs w:val="25"/>
              </w:rPr>
            </w:pPr>
            <w:r>
              <w:rPr>
                <w:rFonts w:ascii="黑体" w:hAnsi="黑体" w:eastAsia="黑体" w:cs="黑体"/>
                <w:spacing w:val="25"/>
                <w:w w:val="101"/>
                <w:sz w:val="25"/>
                <w:szCs w:val="25"/>
              </w:rPr>
              <w:t>序号</w:t>
            </w:r>
          </w:p>
        </w:tc>
        <w:tc>
          <w:tcPr>
            <w:tcW w:w="2844" w:type="dxa"/>
            <w:tcBorders>
              <w:tl2br w:val="single" w:color="000000" w:sz="46" w:space="0"/>
            </w:tcBorders>
            <w:vAlign w:val="top"/>
          </w:tcPr>
          <w:p>
            <w:pPr>
              <w:spacing w:before="44" w:line="238" w:lineRule="auto"/>
              <w:ind w:firstLine="1392"/>
              <w:rPr>
                <w:rFonts w:ascii="黑体" w:hAnsi="黑体" w:eastAsia="黑体" w:cs="黑体"/>
                <w:sz w:val="25"/>
                <w:szCs w:val="25"/>
              </w:rPr>
            </w:pPr>
            <w:r>
              <w:rPr>
                <w:rFonts w:ascii="黑体" w:hAnsi="黑体" w:eastAsia="黑体" w:cs="黑体"/>
                <w:spacing w:val="15"/>
                <w:sz w:val="25"/>
                <w:szCs w:val="25"/>
              </w:rPr>
              <w:t>时间</w:t>
            </w:r>
          </w:p>
          <w:p>
            <w:pPr>
              <w:spacing w:line="194" w:lineRule="auto"/>
              <w:ind w:firstLine="67"/>
              <w:rPr>
                <w:rFonts w:ascii="黑体" w:hAnsi="黑体" w:eastAsia="黑体" w:cs="黑体"/>
                <w:sz w:val="25"/>
                <w:szCs w:val="25"/>
              </w:rPr>
            </w:pPr>
            <w:r>
              <w:rPr>
                <w:rFonts w:ascii="黑体" w:hAnsi="黑体" w:eastAsia="黑体" w:cs="黑体"/>
                <w:spacing w:val="26"/>
                <w:w w:val="106"/>
                <w:sz w:val="25"/>
                <w:szCs w:val="25"/>
              </w:rPr>
              <w:t>煤矿名称</w:t>
            </w:r>
          </w:p>
        </w:tc>
        <w:tc>
          <w:tcPr>
            <w:tcW w:w="878" w:type="dxa"/>
            <w:tcBorders>
              <w:left w:val="single" w:color="000000" w:sz="2" w:space="0"/>
            </w:tcBorders>
            <w:vAlign w:val="top"/>
          </w:tcPr>
          <w:p>
            <w:pPr>
              <w:spacing w:before="207" w:line="180" w:lineRule="auto"/>
              <w:ind w:firstLine="223"/>
              <w:rPr>
                <w:rFonts w:ascii="黑体" w:hAnsi="黑体" w:eastAsia="黑体" w:cs="黑体"/>
                <w:sz w:val="25"/>
                <w:szCs w:val="25"/>
              </w:rPr>
            </w:pPr>
            <w:r>
              <w:rPr>
                <w:rFonts w:ascii="黑体" w:hAnsi="黑体" w:eastAsia="黑体" w:cs="黑体"/>
                <w:spacing w:val="13"/>
                <w:w w:val="106"/>
                <w:sz w:val="25"/>
                <w:szCs w:val="25"/>
              </w:rPr>
              <w:t>1月</w:t>
            </w:r>
          </w:p>
        </w:tc>
        <w:tc>
          <w:tcPr>
            <w:tcW w:w="875" w:type="dxa"/>
            <w:vAlign w:val="top"/>
          </w:tcPr>
          <w:p>
            <w:pPr>
              <w:spacing w:before="207" w:line="180" w:lineRule="auto"/>
              <w:ind w:firstLine="217"/>
              <w:rPr>
                <w:rFonts w:ascii="黑体" w:hAnsi="黑体" w:eastAsia="黑体" w:cs="黑体"/>
                <w:sz w:val="25"/>
                <w:szCs w:val="25"/>
              </w:rPr>
            </w:pPr>
            <w:r>
              <w:rPr>
                <w:rFonts w:ascii="黑体" w:hAnsi="黑体" w:eastAsia="黑体" w:cs="黑体"/>
                <w:spacing w:val="13"/>
                <w:sz w:val="25"/>
                <w:szCs w:val="25"/>
              </w:rPr>
              <w:t>2月</w:t>
            </w:r>
          </w:p>
        </w:tc>
        <w:tc>
          <w:tcPr>
            <w:tcW w:w="878" w:type="dxa"/>
            <w:vAlign w:val="top"/>
          </w:tcPr>
          <w:p>
            <w:pPr>
              <w:spacing w:before="207" w:line="180" w:lineRule="auto"/>
              <w:ind w:firstLine="216"/>
              <w:rPr>
                <w:rFonts w:ascii="黑体" w:hAnsi="黑体" w:eastAsia="黑体" w:cs="黑体"/>
                <w:sz w:val="25"/>
                <w:szCs w:val="25"/>
              </w:rPr>
            </w:pPr>
            <w:r>
              <w:rPr>
                <w:rFonts w:ascii="黑体" w:hAnsi="黑体" w:eastAsia="黑体" w:cs="黑体"/>
                <w:spacing w:val="13"/>
                <w:w w:val="104"/>
                <w:sz w:val="25"/>
                <w:szCs w:val="25"/>
              </w:rPr>
              <w:t>3月</w:t>
            </w:r>
          </w:p>
        </w:tc>
        <w:tc>
          <w:tcPr>
            <w:tcW w:w="875" w:type="dxa"/>
            <w:vAlign w:val="top"/>
          </w:tcPr>
          <w:p>
            <w:pPr>
              <w:spacing w:before="207" w:line="180" w:lineRule="auto"/>
              <w:ind w:firstLine="215"/>
              <w:rPr>
                <w:rFonts w:ascii="黑体" w:hAnsi="黑体" w:eastAsia="黑体" w:cs="黑体"/>
                <w:sz w:val="25"/>
                <w:szCs w:val="25"/>
              </w:rPr>
            </w:pPr>
            <w:r>
              <w:rPr>
                <w:rFonts w:ascii="黑体" w:hAnsi="黑体" w:eastAsia="黑体" w:cs="黑体"/>
                <w:spacing w:val="13"/>
                <w:w w:val="104"/>
                <w:sz w:val="25"/>
                <w:szCs w:val="25"/>
              </w:rPr>
              <w:t>4月</w:t>
            </w:r>
          </w:p>
        </w:tc>
        <w:tc>
          <w:tcPr>
            <w:tcW w:w="875" w:type="dxa"/>
            <w:vAlign w:val="top"/>
          </w:tcPr>
          <w:p>
            <w:pPr>
              <w:spacing w:before="207" w:line="180" w:lineRule="auto"/>
              <w:ind w:firstLine="223"/>
              <w:rPr>
                <w:rFonts w:ascii="黑体" w:hAnsi="黑体" w:eastAsia="黑体" w:cs="黑体"/>
                <w:sz w:val="25"/>
                <w:szCs w:val="25"/>
              </w:rPr>
            </w:pPr>
            <w:r>
              <w:rPr>
                <w:rFonts w:ascii="黑体" w:hAnsi="黑体" w:eastAsia="黑体" w:cs="黑体"/>
                <w:spacing w:val="11"/>
                <w:sz w:val="25"/>
                <w:szCs w:val="25"/>
              </w:rPr>
              <w:t>5月</w:t>
            </w:r>
          </w:p>
        </w:tc>
        <w:tc>
          <w:tcPr>
            <w:tcW w:w="878" w:type="dxa"/>
            <w:vAlign w:val="top"/>
          </w:tcPr>
          <w:p>
            <w:pPr>
              <w:spacing w:before="207" w:line="180" w:lineRule="auto"/>
              <w:ind w:firstLine="220"/>
              <w:rPr>
                <w:rFonts w:ascii="黑体" w:hAnsi="黑体" w:eastAsia="黑体" w:cs="黑体"/>
                <w:sz w:val="25"/>
                <w:szCs w:val="25"/>
              </w:rPr>
            </w:pPr>
            <w:r>
              <w:rPr>
                <w:rFonts w:ascii="黑体" w:hAnsi="黑体" w:eastAsia="黑体" w:cs="黑体"/>
                <w:spacing w:val="13"/>
                <w:sz w:val="25"/>
                <w:szCs w:val="25"/>
              </w:rPr>
              <w:t>6月</w:t>
            </w:r>
          </w:p>
        </w:tc>
        <w:tc>
          <w:tcPr>
            <w:tcW w:w="875" w:type="dxa"/>
            <w:vAlign w:val="top"/>
          </w:tcPr>
          <w:p>
            <w:pPr>
              <w:spacing w:before="207" w:line="180" w:lineRule="auto"/>
              <w:ind w:firstLine="225"/>
              <w:rPr>
                <w:rFonts w:ascii="黑体" w:hAnsi="黑体" w:eastAsia="黑体" w:cs="黑体"/>
                <w:sz w:val="25"/>
                <w:szCs w:val="25"/>
              </w:rPr>
            </w:pPr>
            <w:r>
              <w:rPr>
                <w:rFonts w:ascii="黑体" w:hAnsi="黑体" w:eastAsia="黑体" w:cs="黑体"/>
                <w:spacing w:val="12"/>
                <w:w w:val="103"/>
                <w:sz w:val="25"/>
                <w:szCs w:val="25"/>
              </w:rPr>
              <w:t>7月</w:t>
            </w:r>
          </w:p>
        </w:tc>
        <w:tc>
          <w:tcPr>
            <w:tcW w:w="875" w:type="dxa"/>
            <w:vAlign w:val="top"/>
          </w:tcPr>
          <w:p>
            <w:pPr>
              <w:spacing w:before="207" w:line="180" w:lineRule="auto"/>
              <w:ind w:firstLine="220"/>
              <w:rPr>
                <w:rFonts w:ascii="黑体" w:hAnsi="黑体" w:eastAsia="黑体" w:cs="黑体"/>
                <w:sz w:val="25"/>
                <w:szCs w:val="25"/>
              </w:rPr>
            </w:pPr>
            <w:r>
              <w:rPr>
                <w:rFonts w:ascii="黑体" w:hAnsi="黑体" w:eastAsia="黑体" w:cs="黑体"/>
                <w:spacing w:val="13"/>
                <w:w w:val="104"/>
                <w:sz w:val="25"/>
                <w:szCs w:val="25"/>
              </w:rPr>
              <w:t>8月</w:t>
            </w:r>
          </w:p>
        </w:tc>
        <w:tc>
          <w:tcPr>
            <w:tcW w:w="878" w:type="dxa"/>
            <w:vAlign w:val="top"/>
          </w:tcPr>
          <w:p>
            <w:pPr>
              <w:spacing w:before="207" w:line="180" w:lineRule="auto"/>
              <w:ind w:firstLine="221"/>
              <w:rPr>
                <w:rFonts w:ascii="黑体" w:hAnsi="黑体" w:eastAsia="黑体" w:cs="黑体"/>
                <w:sz w:val="25"/>
                <w:szCs w:val="25"/>
              </w:rPr>
            </w:pPr>
            <w:r>
              <w:rPr>
                <w:rFonts w:ascii="黑体" w:hAnsi="黑体" w:eastAsia="黑体" w:cs="黑体"/>
                <w:spacing w:val="12"/>
                <w:w w:val="101"/>
                <w:sz w:val="25"/>
                <w:szCs w:val="25"/>
              </w:rPr>
              <w:t>9月</w:t>
            </w:r>
          </w:p>
        </w:tc>
        <w:tc>
          <w:tcPr>
            <w:tcW w:w="875" w:type="dxa"/>
            <w:vAlign w:val="top"/>
          </w:tcPr>
          <w:p>
            <w:pPr>
              <w:spacing w:before="207" w:line="180" w:lineRule="auto"/>
              <w:ind w:firstLine="157"/>
              <w:rPr>
                <w:rFonts w:ascii="黑体" w:hAnsi="黑体" w:eastAsia="黑体" w:cs="黑体"/>
                <w:sz w:val="25"/>
                <w:szCs w:val="25"/>
              </w:rPr>
            </w:pPr>
            <w:r>
              <w:rPr>
                <w:rFonts w:ascii="黑体" w:hAnsi="黑体" w:eastAsia="黑体" w:cs="黑体"/>
                <w:spacing w:val="12"/>
                <w:w w:val="106"/>
                <w:sz w:val="25"/>
                <w:szCs w:val="25"/>
              </w:rPr>
              <w:t>10月</w:t>
            </w:r>
          </w:p>
        </w:tc>
        <w:tc>
          <w:tcPr>
            <w:tcW w:w="921" w:type="dxa"/>
            <w:vAlign w:val="top"/>
          </w:tcPr>
          <w:p>
            <w:pPr>
              <w:spacing w:before="207" w:line="180" w:lineRule="auto"/>
              <w:ind w:firstLine="158"/>
              <w:rPr>
                <w:rFonts w:ascii="黑体" w:hAnsi="黑体" w:eastAsia="黑体" w:cs="黑体"/>
                <w:sz w:val="25"/>
                <w:szCs w:val="25"/>
              </w:rPr>
            </w:pPr>
            <w:r>
              <w:rPr>
                <w:rFonts w:ascii="黑体" w:hAnsi="黑体" w:eastAsia="黑体" w:cs="黑体"/>
                <w:spacing w:val="12"/>
                <w:w w:val="115"/>
                <w:sz w:val="25"/>
                <w:szCs w:val="25"/>
              </w:rPr>
              <w:t>11月</w:t>
            </w:r>
          </w:p>
        </w:tc>
        <w:tc>
          <w:tcPr>
            <w:tcW w:w="883" w:type="dxa"/>
            <w:vAlign w:val="top"/>
          </w:tcPr>
          <w:p>
            <w:pPr>
              <w:spacing w:before="207" w:line="180" w:lineRule="auto"/>
              <w:ind w:firstLine="159"/>
              <w:rPr>
                <w:rFonts w:ascii="黑体" w:hAnsi="黑体" w:eastAsia="黑体" w:cs="黑体"/>
                <w:sz w:val="25"/>
                <w:szCs w:val="25"/>
              </w:rPr>
            </w:pPr>
            <w:r>
              <w:rPr>
                <w:rFonts w:ascii="黑体" w:hAnsi="黑体" w:eastAsia="黑体" w:cs="黑体"/>
                <w:spacing w:val="13"/>
                <w:w w:val="105"/>
                <w:sz w:val="25"/>
                <w:szCs w:val="25"/>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9" w:type="dxa"/>
            <w:vAlign w:val="top"/>
          </w:tcPr>
          <w:p>
            <w:pPr>
              <w:spacing w:before="135" w:line="180" w:lineRule="auto"/>
              <w:ind w:firstLine="314"/>
              <w:rPr>
                <w:rFonts w:ascii="黑体" w:hAnsi="黑体" w:eastAsia="黑体" w:cs="黑体"/>
                <w:sz w:val="25"/>
                <w:szCs w:val="25"/>
              </w:rPr>
            </w:pPr>
            <w:r>
              <w:rPr>
                <w:rFonts w:ascii="黑体" w:hAnsi="黑体" w:eastAsia="黑体" w:cs="黑体"/>
                <w:spacing w:val="12"/>
                <w:w w:val="102"/>
                <w:sz w:val="25"/>
                <w:szCs w:val="25"/>
              </w:rPr>
              <w:t>1</w:t>
            </w:r>
          </w:p>
        </w:tc>
        <w:tc>
          <w:tcPr>
            <w:tcW w:w="2844" w:type="dxa"/>
            <w:tcBorders>
              <w:top w:val="single" w:color="000000" w:sz="2" w:space="0"/>
            </w:tcBorders>
            <w:vAlign w:val="top"/>
          </w:tcPr>
          <w:p>
            <w:pPr>
              <w:spacing w:before="119" w:line="182" w:lineRule="auto"/>
              <w:ind w:firstLine="908"/>
              <w:rPr>
                <w:rFonts w:ascii="黑体" w:hAnsi="黑体" w:eastAsia="黑体" w:cs="黑体"/>
                <w:sz w:val="25"/>
                <w:szCs w:val="25"/>
              </w:rPr>
            </w:pPr>
            <w:r>
              <w:rPr>
                <w:rFonts w:ascii="黑体" w:hAnsi="黑体" w:eastAsia="黑体" w:cs="黑体"/>
                <w:spacing w:val="14"/>
                <w:w w:val="108"/>
                <w:sz w:val="25"/>
                <w:szCs w:val="25"/>
              </w:rPr>
              <w:t>金谷1井</w:t>
            </w:r>
          </w:p>
        </w:tc>
        <w:tc>
          <w:tcPr>
            <w:tcW w:w="878" w:type="dxa"/>
            <w:vAlign w:val="top"/>
          </w:tcPr>
          <w:p>
            <w:pPr>
              <w:spacing w:before="146" w:line="180" w:lineRule="auto"/>
              <w:ind w:firstLine="32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6"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6" w:line="180" w:lineRule="auto"/>
              <w:ind w:firstLine="31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6"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6" w:line="180" w:lineRule="auto"/>
              <w:ind w:firstLine="326"/>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6"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6"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6"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6" w:line="180" w:lineRule="auto"/>
              <w:ind w:firstLine="321"/>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6"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46" w:line="180" w:lineRule="auto"/>
              <w:ind w:firstLine="345"/>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36" w:line="180" w:lineRule="auto"/>
              <w:ind w:firstLine="320"/>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9" w:type="dxa"/>
            <w:vAlign w:val="top"/>
          </w:tcPr>
          <w:p>
            <w:pPr>
              <w:spacing w:before="138" w:line="180" w:lineRule="auto"/>
              <w:ind w:firstLine="322"/>
              <w:rPr>
                <w:rFonts w:ascii="黑体" w:hAnsi="黑体" w:eastAsia="黑体" w:cs="黑体"/>
                <w:sz w:val="25"/>
                <w:szCs w:val="25"/>
              </w:rPr>
            </w:pPr>
            <w:r>
              <w:rPr>
                <w:rFonts w:ascii="黑体" w:hAnsi="黑体" w:eastAsia="黑体" w:cs="黑体"/>
                <w:sz w:val="25"/>
                <w:szCs w:val="25"/>
              </w:rPr>
              <w:t>2</w:t>
            </w:r>
          </w:p>
        </w:tc>
        <w:tc>
          <w:tcPr>
            <w:tcW w:w="2844" w:type="dxa"/>
            <w:vAlign w:val="top"/>
          </w:tcPr>
          <w:p>
            <w:pPr>
              <w:spacing w:before="114" w:line="180" w:lineRule="auto"/>
              <w:ind w:firstLine="431"/>
              <w:rPr>
                <w:rFonts w:ascii="黑体" w:hAnsi="黑体" w:eastAsia="黑体" w:cs="黑体"/>
                <w:sz w:val="25"/>
                <w:szCs w:val="25"/>
              </w:rPr>
            </w:pPr>
            <w:r>
              <w:rPr>
                <w:rFonts w:ascii="黑体" w:hAnsi="黑体" w:eastAsia="黑体" w:cs="黑体"/>
                <w:spacing w:val="26"/>
                <w:w w:val="102"/>
                <w:sz w:val="25"/>
                <w:szCs w:val="25"/>
              </w:rPr>
              <w:t>三维赵家湾煤矿</w:t>
            </w:r>
          </w:p>
        </w:tc>
        <w:tc>
          <w:tcPr>
            <w:tcW w:w="878" w:type="dxa"/>
            <w:vAlign w:val="top"/>
          </w:tcPr>
          <w:p>
            <w:pPr>
              <w:spacing w:before="147"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37" w:line="180" w:lineRule="auto"/>
              <w:ind w:firstLine="314"/>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47"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7"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37" w:line="180" w:lineRule="auto"/>
              <w:ind w:firstLine="317"/>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47" w:line="180" w:lineRule="auto"/>
              <w:ind w:firstLine="32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7"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37" w:line="180" w:lineRule="auto"/>
              <w:ind w:firstLine="319"/>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47"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7"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37" w:line="180" w:lineRule="auto"/>
              <w:ind w:firstLine="336"/>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47" w:line="180" w:lineRule="auto"/>
              <w:ind w:firstLine="328"/>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39" w:type="dxa"/>
            <w:vAlign w:val="top"/>
          </w:tcPr>
          <w:p>
            <w:pPr>
              <w:spacing w:before="141" w:line="180" w:lineRule="auto"/>
              <w:ind w:firstLine="306"/>
              <w:rPr>
                <w:rFonts w:ascii="黑体" w:hAnsi="黑体" w:eastAsia="黑体" w:cs="黑体"/>
                <w:sz w:val="25"/>
                <w:szCs w:val="25"/>
              </w:rPr>
            </w:pPr>
            <w:r>
              <w:rPr>
                <w:rFonts w:ascii="黑体" w:hAnsi="黑体" w:eastAsia="黑体" w:cs="黑体"/>
                <w:sz w:val="25"/>
                <w:szCs w:val="25"/>
              </w:rPr>
              <w:t>3</w:t>
            </w:r>
          </w:p>
        </w:tc>
        <w:tc>
          <w:tcPr>
            <w:tcW w:w="2844" w:type="dxa"/>
            <w:vAlign w:val="top"/>
          </w:tcPr>
          <w:p>
            <w:pPr>
              <w:spacing w:before="117" w:line="180" w:lineRule="auto"/>
              <w:ind w:firstLine="431"/>
              <w:rPr>
                <w:rFonts w:ascii="黑体" w:hAnsi="黑体" w:eastAsia="黑体" w:cs="黑体"/>
                <w:sz w:val="25"/>
                <w:szCs w:val="25"/>
              </w:rPr>
            </w:pPr>
            <w:r>
              <w:rPr>
                <w:rFonts w:ascii="黑体" w:hAnsi="黑体" w:eastAsia="黑体" w:cs="黑体"/>
                <w:spacing w:val="26"/>
                <w:w w:val="102"/>
                <w:sz w:val="25"/>
                <w:szCs w:val="25"/>
              </w:rPr>
              <w:t>三维卷子坪煤矿</w:t>
            </w:r>
          </w:p>
        </w:tc>
        <w:tc>
          <w:tcPr>
            <w:tcW w:w="878" w:type="dxa"/>
            <w:vAlign w:val="top"/>
          </w:tcPr>
          <w:p>
            <w:pPr>
              <w:spacing w:before="150" w:line="180" w:lineRule="auto"/>
              <w:ind w:firstLine="32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0" w:line="180" w:lineRule="auto"/>
              <w:ind w:firstLine="314"/>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50"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0" w:line="180" w:lineRule="auto"/>
              <w:ind w:firstLine="317"/>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50" w:line="180" w:lineRule="auto"/>
              <w:ind w:firstLine="32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0" w:line="180" w:lineRule="auto"/>
              <w:ind w:firstLine="319"/>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50"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40" w:line="180" w:lineRule="auto"/>
              <w:ind w:firstLine="336"/>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50" w:line="180" w:lineRule="auto"/>
              <w:ind w:firstLine="328"/>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9" w:type="dxa"/>
            <w:vAlign w:val="top"/>
          </w:tcPr>
          <w:p>
            <w:pPr>
              <w:spacing w:before="140" w:line="180" w:lineRule="auto"/>
              <w:ind w:firstLine="307"/>
              <w:rPr>
                <w:rFonts w:ascii="黑体" w:hAnsi="黑体" w:eastAsia="黑体" w:cs="黑体"/>
                <w:sz w:val="25"/>
                <w:szCs w:val="25"/>
              </w:rPr>
            </w:pPr>
            <w:r>
              <w:rPr>
                <w:rFonts w:ascii="黑体" w:hAnsi="黑体" w:eastAsia="黑体" w:cs="黑体"/>
                <w:spacing w:val="7"/>
                <w:sz w:val="25"/>
                <w:szCs w:val="25"/>
              </w:rPr>
              <w:t>4</w:t>
            </w:r>
          </w:p>
        </w:tc>
        <w:tc>
          <w:tcPr>
            <w:tcW w:w="2844" w:type="dxa"/>
            <w:vAlign w:val="top"/>
          </w:tcPr>
          <w:p>
            <w:pPr>
              <w:spacing w:before="115" w:line="180" w:lineRule="auto"/>
              <w:ind w:firstLine="431"/>
              <w:rPr>
                <w:rFonts w:ascii="黑体" w:hAnsi="黑体" w:eastAsia="黑体" w:cs="黑体"/>
                <w:sz w:val="25"/>
                <w:szCs w:val="25"/>
              </w:rPr>
            </w:pPr>
            <w:r>
              <w:rPr>
                <w:rFonts w:ascii="黑体" w:hAnsi="黑体" w:eastAsia="黑体" w:cs="黑体"/>
                <w:spacing w:val="26"/>
                <w:w w:val="102"/>
                <w:sz w:val="25"/>
                <w:szCs w:val="25"/>
              </w:rPr>
              <w:t>三维滑石板煤矿</w:t>
            </w:r>
          </w:p>
        </w:tc>
        <w:tc>
          <w:tcPr>
            <w:tcW w:w="878" w:type="dxa"/>
            <w:vAlign w:val="top"/>
          </w:tcPr>
          <w:p>
            <w:pPr>
              <w:spacing w:before="138" w:line="180" w:lineRule="auto"/>
              <w:ind w:firstLine="31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8"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48"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38" w:line="180" w:lineRule="auto"/>
              <w:ind w:firstLine="31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8" w:line="180" w:lineRule="auto"/>
              <w:ind w:firstLine="325"/>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48" w:line="180" w:lineRule="auto"/>
              <w:ind w:firstLine="32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38"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8"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48"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38" w:line="180" w:lineRule="auto"/>
              <w:ind w:firstLine="321"/>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48" w:line="180" w:lineRule="auto"/>
              <w:ind w:firstLine="345"/>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48" w:line="180" w:lineRule="auto"/>
              <w:ind w:firstLine="328"/>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9" w:type="dxa"/>
            <w:vAlign w:val="top"/>
          </w:tcPr>
          <w:p>
            <w:pPr>
              <w:spacing w:before="143" w:line="180" w:lineRule="auto"/>
              <w:ind w:firstLine="325"/>
              <w:rPr>
                <w:rFonts w:ascii="黑体" w:hAnsi="黑体" w:eastAsia="黑体" w:cs="黑体"/>
                <w:sz w:val="25"/>
                <w:szCs w:val="25"/>
              </w:rPr>
            </w:pPr>
            <w:r>
              <w:rPr>
                <w:rFonts w:ascii="黑体" w:hAnsi="黑体" w:eastAsia="黑体" w:cs="黑体"/>
                <w:sz w:val="25"/>
                <w:szCs w:val="25"/>
              </w:rPr>
              <w:t>5</w:t>
            </w:r>
          </w:p>
        </w:tc>
        <w:tc>
          <w:tcPr>
            <w:tcW w:w="2844" w:type="dxa"/>
            <w:vAlign w:val="top"/>
          </w:tcPr>
          <w:p>
            <w:pPr>
              <w:spacing w:before="113" w:line="180" w:lineRule="auto"/>
              <w:ind w:firstLine="420"/>
              <w:rPr>
                <w:rFonts w:ascii="黑体" w:hAnsi="黑体" w:eastAsia="黑体" w:cs="黑体"/>
                <w:sz w:val="25"/>
                <w:szCs w:val="25"/>
              </w:rPr>
            </w:pPr>
            <w:r>
              <w:rPr>
                <w:rFonts w:ascii="黑体" w:hAnsi="黑体" w:eastAsia="黑体" w:cs="黑体"/>
                <w:spacing w:val="25"/>
                <w:w w:val="103"/>
                <w:sz w:val="25"/>
                <w:szCs w:val="25"/>
              </w:rPr>
              <w:t>永生马草湾煤矿</w:t>
            </w:r>
          </w:p>
        </w:tc>
        <w:tc>
          <w:tcPr>
            <w:tcW w:w="878" w:type="dxa"/>
            <w:vAlign w:val="top"/>
          </w:tcPr>
          <w:p>
            <w:pPr>
              <w:spacing w:before="149"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9"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9" w:line="180" w:lineRule="auto"/>
              <w:ind w:firstLine="315"/>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9"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9" w:line="180" w:lineRule="auto"/>
              <w:ind w:firstLine="325"/>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9"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9"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9"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9" w:line="180" w:lineRule="auto"/>
              <w:ind w:firstLine="320"/>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9"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49" w:line="180" w:lineRule="auto"/>
              <w:ind w:firstLine="344"/>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39" w:line="180" w:lineRule="auto"/>
              <w:ind w:firstLine="320"/>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9" w:type="dxa"/>
            <w:vAlign w:val="top"/>
          </w:tcPr>
          <w:p>
            <w:pPr>
              <w:spacing w:before="140" w:line="180" w:lineRule="auto"/>
              <w:ind w:firstLine="321"/>
              <w:rPr>
                <w:rFonts w:ascii="黑体" w:hAnsi="黑体" w:eastAsia="黑体" w:cs="黑体"/>
                <w:sz w:val="25"/>
                <w:szCs w:val="25"/>
              </w:rPr>
            </w:pPr>
            <w:r>
              <w:rPr>
                <w:rFonts w:ascii="黑体" w:hAnsi="黑体" w:eastAsia="黑体" w:cs="黑体"/>
                <w:sz w:val="25"/>
                <w:szCs w:val="25"/>
              </w:rPr>
              <w:t>6</w:t>
            </w:r>
          </w:p>
        </w:tc>
        <w:tc>
          <w:tcPr>
            <w:tcW w:w="2844" w:type="dxa"/>
            <w:vAlign w:val="top"/>
          </w:tcPr>
          <w:p>
            <w:pPr>
              <w:spacing w:before="117" w:line="180" w:lineRule="auto"/>
              <w:ind w:firstLine="850"/>
              <w:rPr>
                <w:rFonts w:ascii="黑体" w:hAnsi="黑体" w:eastAsia="黑体" w:cs="黑体"/>
                <w:sz w:val="25"/>
                <w:szCs w:val="25"/>
              </w:rPr>
            </w:pPr>
            <w:r>
              <w:rPr>
                <w:rFonts w:ascii="黑体" w:hAnsi="黑体" w:eastAsia="黑体" w:cs="黑体"/>
                <w:spacing w:val="26"/>
                <w:w w:val="101"/>
                <w:sz w:val="25"/>
                <w:szCs w:val="25"/>
              </w:rPr>
              <w:t>金隆煤矿</w:t>
            </w:r>
          </w:p>
        </w:tc>
        <w:tc>
          <w:tcPr>
            <w:tcW w:w="878" w:type="dxa"/>
            <w:vAlign w:val="top"/>
          </w:tcPr>
          <w:p>
            <w:pPr>
              <w:spacing w:before="150"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9" w:line="180" w:lineRule="auto"/>
              <w:ind w:firstLine="315"/>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5"/>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9"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39" w:line="180" w:lineRule="auto"/>
              <w:ind w:firstLine="320"/>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0"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50" w:line="180" w:lineRule="auto"/>
              <w:ind w:firstLine="344"/>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39" w:line="180" w:lineRule="auto"/>
              <w:ind w:firstLine="320"/>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39" w:type="dxa"/>
            <w:vAlign w:val="top"/>
          </w:tcPr>
          <w:p>
            <w:pPr>
              <w:spacing w:before="118" w:line="180" w:lineRule="auto"/>
              <w:ind w:firstLine="312"/>
              <w:rPr>
                <w:rFonts w:ascii="黑体" w:hAnsi="黑体" w:eastAsia="黑体" w:cs="黑体"/>
                <w:sz w:val="25"/>
                <w:szCs w:val="25"/>
              </w:rPr>
            </w:pPr>
            <w:r>
              <w:rPr>
                <w:rFonts w:ascii="黑体" w:hAnsi="黑体" w:eastAsia="黑体" w:cs="黑体"/>
                <w:sz w:val="25"/>
                <w:szCs w:val="25"/>
              </w:rPr>
              <w:t>7</w:t>
            </w:r>
          </w:p>
        </w:tc>
        <w:tc>
          <w:tcPr>
            <w:tcW w:w="2844" w:type="dxa"/>
            <w:vAlign w:val="top"/>
          </w:tcPr>
          <w:p>
            <w:pPr>
              <w:spacing w:before="91" w:line="180" w:lineRule="auto"/>
              <w:ind w:firstLine="564"/>
              <w:rPr>
                <w:rFonts w:ascii="黑体" w:hAnsi="黑体" w:eastAsia="黑体" w:cs="黑体"/>
                <w:sz w:val="25"/>
                <w:szCs w:val="25"/>
              </w:rPr>
            </w:pPr>
            <w:r>
              <w:rPr>
                <w:rFonts w:ascii="黑体" w:hAnsi="黑体" w:eastAsia="黑体" w:cs="黑体"/>
                <w:spacing w:val="26"/>
                <w:w w:val="102"/>
                <w:sz w:val="25"/>
                <w:szCs w:val="25"/>
              </w:rPr>
              <w:t>红坭丰源煤矿</w:t>
            </w:r>
          </w:p>
        </w:tc>
        <w:tc>
          <w:tcPr>
            <w:tcW w:w="878" w:type="dxa"/>
            <w:vAlign w:val="top"/>
          </w:tcPr>
          <w:p>
            <w:pPr>
              <w:spacing w:before="124" w:line="180" w:lineRule="auto"/>
              <w:ind w:firstLine="32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4"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14" w:line="180" w:lineRule="auto"/>
              <w:ind w:firstLine="31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4"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4" w:line="180" w:lineRule="auto"/>
              <w:ind w:firstLine="325"/>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14"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4"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4"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14" w:line="180" w:lineRule="auto"/>
              <w:ind w:firstLine="320"/>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4"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24" w:line="180" w:lineRule="auto"/>
              <w:ind w:firstLine="345"/>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14" w:line="180" w:lineRule="auto"/>
              <w:ind w:firstLine="320"/>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39" w:type="dxa"/>
            <w:vAlign w:val="top"/>
          </w:tcPr>
          <w:p>
            <w:pPr>
              <w:spacing w:before="144" w:line="180" w:lineRule="auto"/>
              <w:ind w:firstLine="306"/>
              <w:rPr>
                <w:rFonts w:ascii="黑体" w:hAnsi="黑体" w:eastAsia="黑体" w:cs="黑体"/>
                <w:sz w:val="25"/>
                <w:szCs w:val="25"/>
              </w:rPr>
            </w:pPr>
            <w:r>
              <w:rPr>
                <w:rFonts w:ascii="黑体" w:hAnsi="黑体" w:eastAsia="黑体" w:cs="黑体"/>
                <w:spacing w:val="3"/>
                <w:sz w:val="25"/>
                <w:szCs w:val="25"/>
              </w:rPr>
              <w:t>8</w:t>
            </w:r>
          </w:p>
        </w:tc>
        <w:tc>
          <w:tcPr>
            <w:tcW w:w="2844" w:type="dxa"/>
            <w:vAlign w:val="top"/>
          </w:tcPr>
          <w:p>
            <w:pPr>
              <w:spacing w:before="120" w:line="180" w:lineRule="auto"/>
              <w:ind w:firstLine="420"/>
              <w:rPr>
                <w:rFonts w:ascii="黑体" w:hAnsi="黑体" w:eastAsia="黑体" w:cs="黑体"/>
                <w:sz w:val="25"/>
                <w:szCs w:val="25"/>
              </w:rPr>
            </w:pPr>
            <w:r>
              <w:rPr>
                <w:rFonts w:ascii="黑体" w:hAnsi="黑体" w:eastAsia="黑体" w:cs="黑体"/>
                <w:spacing w:val="25"/>
                <w:w w:val="103"/>
                <w:sz w:val="25"/>
                <w:szCs w:val="25"/>
              </w:rPr>
              <w:t>永生大湾子煤矿</w:t>
            </w:r>
          </w:p>
        </w:tc>
        <w:tc>
          <w:tcPr>
            <w:tcW w:w="878" w:type="dxa"/>
            <w:vAlign w:val="top"/>
          </w:tcPr>
          <w:p>
            <w:pPr>
              <w:spacing w:before="153" w:line="180" w:lineRule="auto"/>
              <w:ind w:firstLine="32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3" w:line="180" w:lineRule="auto"/>
              <w:ind w:firstLine="315"/>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53"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3"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3" w:line="180" w:lineRule="auto"/>
              <w:ind w:firstLine="317"/>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53" w:line="180" w:lineRule="auto"/>
              <w:ind w:firstLine="32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3"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43" w:line="180" w:lineRule="auto"/>
              <w:ind w:firstLine="319"/>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53"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53"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43" w:line="180" w:lineRule="auto"/>
              <w:ind w:firstLine="336"/>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53" w:line="180" w:lineRule="auto"/>
              <w:ind w:firstLine="328"/>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39" w:type="dxa"/>
            <w:vAlign w:val="top"/>
          </w:tcPr>
          <w:p>
            <w:pPr>
              <w:spacing w:before="116" w:line="180" w:lineRule="auto"/>
              <w:ind w:firstLine="320"/>
              <w:rPr>
                <w:rFonts w:ascii="黑体" w:hAnsi="黑体" w:eastAsia="黑体" w:cs="黑体"/>
                <w:sz w:val="25"/>
                <w:szCs w:val="25"/>
              </w:rPr>
            </w:pPr>
            <w:r>
              <w:rPr>
                <w:rFonts w:ascii="黑体" w:hAnsi="黑体" w:eastAsia="黑体" w:cs="黑体"/>
                <w:sz w:val="25"/>
                <w:szCs w:val="25"/>
              </w:rPr>
              <w:t>9</w:t>
            </w:r>
          </w:p>
        </w:tc>
        <w:tc>
          <w:tcPr>
            <w:tcW w:w="2844" w:type="dxa"/>
            <w:vAlign w:val="top"/>
          </w:tcPr>
          <w:p>
            <w:pPr>
              <w:spacing w:before="93" w:line="180" w:lineRule="auto"/>
              <w:ind w:firstLine="426"/>
              <w:rPr>
                <w:rFonts w:ascii="黑体" w:hAnsi="黑体" w:eastAsia="黑体" w:cs="黑体"/>
                <w:sz w:val="25"/>
                <w:szCs w:val="25"/>
              </w:rPr>
            </w:pPr>
            <w:r>
              <w:rPr>
                <w:rFonts w:ascii="黑体" w:hAnsi="黑体" w:eastAsia="黑体" w:cs="黑体"/>
                <w:spacing w:val="26"/>
                <w:w w:val="102"/>
                <w:sz w:val="25"/>
                <w:szCs w:val="25"/>
              </w:rPr>
              <w:t>龙蟒朱窝子煤矿</w:t>
            </w:r>
          </w:p>
        </w:tc>
        <w:tc>
          <w:tcPr>
            <w:tcW w:w="878" w:type="dxa"/>
            <w:vAlign w:val="top"/>
          </w:tcPr>
          <w:p>
            <w:pPr>
              <w:spacing w:before="115" w:line="180" w:lineRule="auto"/>
              <w:ind w:firstLine="31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6"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6"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5" w:line="180" w:lineRule="auto"/>
              <w:ind w:firstLine="31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6" w:line="180" w:lineRule="auto"/>
              <w:ind w:firstLine="325"/>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6" w:line="180" w:lineRule="auto"/>
              <w:ind w:firstLine="32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5"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6"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6"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5" w:line="180" w:lineRule="auto"/>
              <w:ind w:firstLine="321"/>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26" w:line="180" w:lineRule="auto"/>
              <w:ind w:firstLine="345"/>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26" w:line="180" w:lineRule="auto"/>
              <w:ind w:firstLine="328"/>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39" w:type="dxa"/>
            <w:vAlign w:val="top"/>
          </w:tcPr>
          <w:p>
            <w:pPr>
              <w:spacing w:before="115" w:line="180" w:lineRule="auto"/>
              <w:ind w:firstLine="256"/>
              <w:rPr>
                <w:rFonts w:ascii="黑体" w:hAnsi="黑体" w:eastAsia="黑体" w:cs="黑体"/>
                <w:sz w:val="25"/>
                <w:szCs w:val="25"/>
              </w:rPr>
            </w:pPr>
            <w:r>
              <w:rPr>
                <w:rFonts w:ascii="黑体" w:hAnsi="黑体" w:eastAsia="黑体" w:cs="黑体"/>
                <w:spacing w:val="9"/>
                <w:sz w:val="25"/>
                <w:szCs w:val="25"/>
              </w:rPr>
              <w:t>10</w:t>
            </w:r>
          </w:p>
        </w:tc>
        <w:tc>
          <w:tcPr>
            <w:tcW w:w="2844" w:type="dxa"/>
            <w:vAlign w:val="top"/>
          </w:tcPr>
          <w:p>
            <w:pPr>
              <w:spacing w:before="97" w:line="184" w:lineRule="auto"/>
              <w:ind w:firstLine="715"/>
              <w:rPr>
                <w:rFonts w:ascii="黑体" w:hAnsi="黑体" w:eastAsia="黑体" w:cs="黑体"/>
                <w:sz w:val="25"/>
                <w:szCs w:val="25"/>
              </w:rPr>
            </w:pPr>
            <w:r>
              <w:rPr>
                <w:rFonts w:ascii="黑体" w:hAnsi="黑体" w:eastAsia="黑体" w:cs="黑体"/>
                <w:spacing w:val="26"/>
                <w:w w:val="101"/>
                <w:sz w:val="25"/>
                <w:szCs w:val="25"/>
              </w:rPr>
              <w:t>恒辉公主井</w:t>
            </w:r>
          </w:p>
        </w:tc>
        <w:tc>
          <w:tcPr>
            <w:tcW w:w="878" w:type="dxa"/>
            <w:vAlign w:val="top"/>
          </w:tcPr>
          <w:p>
            <w:pPr>
              <w:spacing w:before="126" w:line="180" w:lineRule="auto"/>
              <w:ind w:firstLine="32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14"/>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6"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6"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17"/>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6" w:line="180" w:lineRule="auto"/>
              <w:ind w:firstLine="326"/>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6"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19"/>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6"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6"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16" w:line="180" w:lineRule="auto"/>
              <w:ind w:firstLine="336"/>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26" w:line="180" w:lineRule="auto"/>
              <w:ind w:firstLine="328"/>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39" w:type="dxa"/>
            <w:vAlign w:val="top"/>
          </w:tcPr>
          <w:p>
            <w:pPr>
              <w:spacing w:before="116" w:line="180" w:lineRule="auto"/>
              <w:ind w:firstLine="227"/>
              <w:rPr>
                <w:rFonts w:ascii="黑体" w:hAnsi="黑体" w:eastAsia="黑体" w:cs="黑体"/>
                <w:sz w:val="25"/>
                <w:szCs w:val="25"/>
              </w:rPr>
            </w:pPr>
            <w:r>
              <w:rPr>
                <w:rFonts w:ascii="黑体" w:hAnsi="黑体" w:eastAsia="黑体" w:cs="黑体"/>
                <w:spacing w:val="12"/>
                <w:w w:val="115"/>
                <w:sz w:val="25"/>
                <w:szCs w:val="25"/>
              </w:rPr>
              <w:t>11</w:t>
            </w:r>
          </w:p>
        </w:tc>
        <w:tc>
          <w:tcPr>
            <w:tcW w:w="2844" w:type="dxa"/>
            <w:vAlign w:val="top"/>
          </w:tcPr>
          <w:p>
            <w:pPr>
              <w:spacing w:before="95" w:line="180" w:lineRule="auto"/>
              <w:ind w:firstLine="706"/>
              <w:rPr>
                <w:rFonts w:ascii="黑体" w:hAnsi="黑体" w:eastAsia="黑体" w:cs="黑体"/>
                <w:sz w:val="25"/>
                <w:szCs w:val="25"/>
              </w:rPr>
            </w:pPr>
            <w:r>
              <w:rPr>
                <w:rFonts w:ascii="黑体" w:hAnsi="黑体" w:eastAsia="黑体" w:cs="黑体"/>
                <w:spacing w:val="25"/>
                <w:w w:val="102"/>
                <w:sz w:val="25"/>
                <w:szCs w:val="25"/>
              </w:rPr>
              <w:t>金谷型煤厂</w:t>
            </w:r>
          </w:p>
        </w:tc>
        <w:tc>
          <w:tcPr>
            <w:tcW w:w="878" w:type="dxa"/>
            <w:vAlign w:val="top"/>
          </w:tcPr>
          <w:p>
            <w:pPr>
              <w:spacing w:before="128" w:line="180" w:lineRule="auto"/>
              <w:ind w:firstLine="32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8"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8"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8"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8" w:line="180" w:lineRule="auto"/>
              <w:ind w:firstLine="326"/>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17"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8"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8"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28"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28"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28" w:line="180" w:lineRule="auto"/>
              <w:ind w:firstLine="345"/>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28" w:line="180" w:lineRule="auto"/>
              <w:ind w:firstLine="329"/>
              <w:rPr>
                <w:rFonts w:ascii="黑体" w:hAnsi="黑体" w:eastAsia="黑体" w:cs="黑体"/>
                <w:sz w:val="25"/>
                <w:szCs w:val="25"/>
              </w:rPr>
            </w:pPr>
            <w:r>
              <w:rPr>
                <w:rFonts w:ascii="黑体" w:hAnsi="黑体" w:eastAsia="黑体" w:cs="黑体"/>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39" w:type="dxa"/>
            <w:vAlign w:val="top"/>
          </w:tcPr>
          <w:p>
            <w:pPr>
              <w:spacing w:before="105" w:line="180" w:lineRule="auto"/>
              <w:ind w:firstLine="256"/>
              <w:rPr>
                <w:rFonts w:ascii="黑体" w:hAnsi="黑体" w:eastAsia="黑体" w:cs="黑体"/>
                <w:sz w:val="25"/>
                <w:szCs w:val="25"/>
              </w:rPr>
            </w:pPr>
            <w:r>
              <w:rPr>
                <w:rFonts w:ascii="黑体" w:hAnsi="黑体" w:eastAsia="黑体" w:cs="黑体"/>
                <w:spacing w:val="10"/>
                <w:sz w:val="25"/>
                <w:szCs w:val="25"/>
              </w:rPr>
              <w:t>12</w:t>
            </w:r>
          </w:p>
        </w:tc>
        <w:tc>
          <w:tcPr>
            <w:tcW w:w="2844" w:type="dxa"/>
            <w:vAlign w:val="top"/>
          </w:tcPr>
          <w:p>
            <w:pPr>
              <w:spacing w:before="83" w:line="180" w:lineRule="auto"/>
              <w:ind w:firstLine="565"/>
              <w:rPr>
                <w:rFonts w:ascii="黑体" w:hAnsi="黑体" w:eastAsia="黑体" w:cs="黑体"/>
                <w:sz w:val="25"/>
                <w:szCs w:val="25"/>
              </w:rPr>
            </w:pPr>
            <w:r>
              <w:rPr>
                <w:rFonts w:ascii="黑体" w:hAnsi="黑体" w:eastAsia="黑体" w:cs="黑体"/>
                <w:spacing w:val="26"/>
                <w:w w:val="102"/>
                <w:sz w:val="25"/>
                <w:szCs w:val="25"/>
              </w:rPr>
              <w:t>鑫源煤炭公司</w:t>
            </w:r>
          </w:p>
        </w:tc>
        <w:tc>
          <w:tcPr>
            <w:tcW w:w="878" w:type="dxa"/>
            <w:vAlign w:val="top"/>
          </w:tcPr>
          <w:p>
            <w:pPr>
              <w:spacing w:before="116" w:line="180" w:lineRule="auto"/>
              <w:ind w:firstLine="323"/>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23"/>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16" w:line="180" w:lineRule="auto"/>
              <w:ind w:firstLine="324"/>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22"/>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25"/>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06" w:line="180" w:lineRule="auto"/>
              <w:ind w:firstLine="318"/>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27"/>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28"/>
              <w:rPr>
                <w:rFonts w:ascii="黑体" w:hAnsi="黑体" w:eastAsia="黑体" w:cs="黑体"/>
                <w:sz w:val="25"/>
                <w:szCs w:val="25"/>
              </w:rPr>
            </w:pPr>
            <w:r>
              <w:rPr>
                <w:rFonts w:ascii="黑体" w:hAnsi="黑体" w:eastAsia="黑体" w:cs="黑体"/>
                <w:sz w:val="25"/>
                <w:szCs w:val="25"/>
              </w:rPr>
              <w:t>☆</w:t>
            </w:r>
          </w:p>
        </w:tc>
        <w:tc>
          <w:tcPr>
            <w:tcW w:w="878" w:type="dxa"/>
            <w:vAlign w:val="top"/>
          </w:tcPr>
          <w:p>
            <w:pPr>
              <w:spacing w:before="116" w:line="180" w:lineRule="auto"/>
              <w:ind w:firstLine="329"/>
              <w:rPr>
                <w:rFonts w:ascii="黑体" w:hAnsi="黑体" w:eastAsia="黑体" w:cs="黑体"/>
                <w:sz w:val="25"/>
                <w:szCs w:val="25"/>
              </w:rPr>
            </w:pPr>
            <w:r>
              <w:rPr>
                <w:rFonts w:ascii="黑体" w:hAnsi="黑体" w:eastAsia="黑体" w:cs="黑体"/>
                <w:sz w:val="25"/>
                <w:szCs w:val="25"/>
              </w:rPr>
              <w:t>☆</w:t>
            </w:r>
          </w:p>
        </w:tc>
        <w:tc>
          <w:tcPr>
            <w:tcW w:w="875" w:type="dxa"/>
            <w:vAlign w:val="top"/>
          </w:tcPr>
          <w:p>
            <w:pPr>
              <w:spacing w:before="116" w:line="180" w:lineRule="auto"/>
              <w:ind w:firstLine="329"/>
              <w:rPr>
                <w:rFonts w:ascii="黑体" w:hAnsi="黑体" w:eastAsia="黑体" w:cs="黑体"/>
                <w:sz w:val="25"/>
                <w:szCs w:val="25"/>
              </w:rPr>
            </w:pPr>
            <w:r>
              <w:rPr>
                <w:rFonts w:ascii="黑体" w:hAnsi="黑体" w:eastAsia="黑体" w:cs="黑体"/>
                <w:sz w:val="25"/>
                <w:szCs w:val="25"/>
              </w:rPr>
              <w:t>☆</w:t>
            </w:r>
          </w:p>
        </w:tc>
        <w:tc>
          <w:tcPr>
            <w:tcW w:w="921" w:type="dxa"/>
            <w:vAlign w:val="top"/>
          </w:tcPr>
          <w:p>
            <w:pPr>
              <w:spacing w:before="116" w:line="180" w:lineRule="auto"/>
              <w:ind w:firstLine="345"/>
              <w:rPr>
                <w:rFonts w:ascii="黑体" w:hAnsi="黑体" w:eastAsia="黑体" w:cs="黑体"/>
                <w:sz w:val="25"/>
                <w:szCs w:val="25"/>
              </w:rPr>
            </w:pPr>
            <w:r>
              <w:rPr>
                <w:rFonts w:ascii="黑体" w:hAnsi="黑体" w:eastAsia="黑体" w:cs="黑体"/>
                <w:sz w:val="25"/>
                <w:szCs w:val="25"/>
              </w:rPr>
              <w:t>☆</w:t>
            </w:r>
          </w:p>
        </w:tc>
        <w:tc>
          <w:tcPr>
            <w:tcW w:w="883" w:type="dxa"/>
            <w:vAlign w:val="top"/>
          </w:tcPr>
          <w:p>
            <w:pPr>
              <w:spacing w:before="116" w:line="180" w:lineRule="auto"/>
              <w:ind w:firstLine="328"/>
              <w:rPr>
                <w:rFonts w:ascii="黑体" w:hAnsi="黑体" w:eastAsia="黑体" w:cs="黑体"/>
                <w:sz w:val="25"/>
                <w:szCs w:val="25"/>
              </w:rPr>
            </w:pPr>
            <w:r>
              <w:rPr>
                <w:rFonts w:ascii="黑体" w:hAnsi="黑体" w:eastAsia="黑体" w:cs="黑体"/>
                <w:sz w:val="25"/>
                <w:szCs w:val="25"/>
              </w:rPr>
              <w:t>☆</w:t>
            </w:r>
          </w:p>
        </w:tc>
      </w:tr>
    </w:tbl>
    <w:p>
      <w:pPr>
        <w:spacing w:before="115" w:line="180" w:lineRule="auto"/>
        <w:ind w:firstLine="1651"/>
        <w:rPr>
          <w:rFonts w:ascii="黑体" w:hAnsi="黑体" w:eastAsia="黑体" w:cs="黑体"/>
          <w:sz w:val="25"/>
          <w:szCs w:val="25"/>
        </w:rPr>
      </w:pPr>
      <w:r>
        <w:rPr>
          <w:rFonts w:ascii="黑体" w:hAnsi="黑体" w:eastAsia="黑体" w:cs="黑体"/>
          <w:spacing w:val="27"/>
          <w:w w:val="101"/>
          <w:sz w:val="25"/>
          <w:szCs w:val="25"/>
        </w:rPr>
        <w:t>■”县应急管理局执法检查，</w:t>
      </w:r>
      <w:r>
        <w:rPr>
          <w:rFonts w:ascii="黑体" w:hAnsi="黑体" w:eastAsia="黑体" w:cs="黑体"/>
          <w:spacing w:val="101"/>
          <w:sz w:val="25"/>
          <w:szCs w:val="25"/>
        </w:rPr>
        <w:t xml:space="preserve"> </w:t>
      </w:r>
      <w:r>
        <w:rPr>
          <w:rFonts w:ascii="黑体" w:hAnsi="黑体" w:eastAsia="黑体" w:cs="黑体"/>
          <w:spacing w:val="27"/>
          <w:w w:val="101"/>
          <w:sz w:val="25"/>
          <w:szCs w:val="25"/>
        </w:rPr>
        <w:t>“☆”县应急管局不定期巡查或陪同上级监管部门检查。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22E2F"/>
    <w:rsid w:val="33FA1E73"/>
    <w:rsid w:val="49B2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2022-01-11T02:25:00Z</dcterms:created>
  <dc:creator>周东旭</dc:creator>
  <cp:lastModifiedBy>周东旭</cp:lastModifiedBy>
  <dcterms:modified xsi:type="dcterms:W3CDTF">2022-01-11T03:25:49Z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DDCCCBDBA25E4E768335F74EC9BF48D2</vt:lpwstr>
  </property>
</Properties>
</file>