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 w:firstLineChars="0"/>
        <w:jc w:val="left"/>
        <w:rPr>
          <w:rFonts w:hint="eastAsia" w:ascii="等线" w:hAnsi="等线" w:eastAsia="等线" w:cs="宋体"/>
          <w:b/>
          <w:sz w:val="30"/>
          <w:szCs w:val="36"/>
          <w:lang w:eastAsia="zh-CN"/>
        </w:rPr>
      </w:pPr>
      <w:r>
        <w:rPr>
          <w:rFonts w:hint="default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根据《中华人民共和国招标投标法实施条例》规定，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“川投·春光里”项目一期二批次样板间软装工程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评标结果公示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，公示时间为202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shd w:val="clear" w:color="auto" w:fill="FFFFFF"/>
        </w:rPr>
        <w:t>-202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日，对公示对象如有异议，请与攀枝花红格投资开发有限责任公司联系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评标结果公示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等线" w:hAnsi="等线" w:eastAsia="等线"/>
          <w:b/>
          <w:bCs/>
          <w:sz w:val="20"/>
          <w:szCs w:val="44"/>
        </w:rPr>
        <w:t>（参与</w:t>
      </w:r>
      <w:r>
        <w:rPr>
          <w:rFonts w:ascii="等线" w:hAnsi="等线" w:eastAsia="等线"/>
          <w:b/>
          <w:bCs/>
          <w:sz w:val="20"/>
          <w:szCs w:val="44"/>
        </w:rPr>
        <w:t>投标的投标人可在公示期内对评标结果进行书面质疑</w:t>
      </w:r>
      <w:r>
        <w:rPr>
          <w:rFonts w:hint="eastAsia" w:ascii="等线" w:hAnsi="等线" w:eastAsia="等线"/>
          <w:b/>
          <w:bCs/>
          <w:sz w:val="20"/>
          <w:szCs w:val="44"/>
        </w:rPr>
        <w:t>）</w:t>
      </w:r>
    </w:p>
    <w:tbl>
      <w:tblPr>
        <w:tblStyle w:val="4"/>
        <w:tblpPr w:leftFromText="180" w:rightFromText="180" w:vertAnchor="text" w:horzAnchor="page" w:tblpX="852" w:tblpY="390"/>
        <w:tblOverlap w:val="never"/>
        <w:tblW w:w="1078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3772"/>
        <w:gridCol w:w="1949"/>
        <w:gridCol w:w="170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8619" w:type="dxa"/>
            <w:gridSpan w:val="4"/>
            <w:vAlign w:val="center"/>
          </w:tcPr>
          <w:p>
            <w:pPr>
              <w:widowControl/>
              <w:spacing w:line="48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“川投·春光里”项目一期二批次样板间软装工程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比选人/招标人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攀枝花红格投资开发有限责任公司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13882252734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比选代理机构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中科旭日建设集团有限公司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028-85055366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开标地点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攀枝花市红格镇温泉假日酒店2楼成本合约部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公示期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2021年6月12日-2021年6月15日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最高限价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none"/>
                <w:lang w:val="en-US" w:eastAsia="zh-CN"/>
              </w:rPr>
              <w:t>700000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中标候选人及排序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中标候选人名称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报价（元）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或其它形式报价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经评审的投标价（元）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综合评标得分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tblCellSpacing w:w="0" w:type="dxa"/>
        </w:trPr>
        <w:tc>
          <w:tcPr>
            <w:tcW w:w="21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第一名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16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</w:trPr>
        <w:tc>
          <w:tcPr>
            <w:tcW w:w="216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第三名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widowControl/>
        <w:spacing w:line="480" w:lineRule="auto"/>
        <w:jc w:val="both"/>
        <w:rPr>
          <w:rFonts w:hint="default" w:ascii="宋体" w:hAnsi="宋体"/>
          <w:sz w:val="18"/>
          <w:szCs w:val="18"/>
        </w:rPr>
      </w:pP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default" w:ascii="等线" w:hAnsi="等线" w:eastAsia="等线"/>
          <w:b/>
          <w:bCs/>
          <w:sz w:val="20"/>
          <w:szCs w:val="44"/>
        </w:rPr>
        <w:t>其他投标人（除中标候选人之外的）评审情况</w:t>
      </w:r>
    </w:p>
    <w:p>
      <w:pPr>
        <w:pStyle w:val="2"/>
        <w:ind w:firstLine="40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本项目采用综合评分法，报价权重占45%，且另外五家必选申请人的参选文件无效，唯一剩余的一家评分值无可比性，故本次不推荐中标候选人。本次流标。</w:t>
      </w:r>
    </w:p>
    <w:tbl>
      <w:tblPr>
        <w:tblStyle w:val="4"/>
        <w:tblpPr w:leftFromText="180" w:rightFromText="180" w:vertAnchor="text" w:horzAnchor="page" w:tblpX="755" w:tblpY="36"/>
        <w:tblOverlap w:val="never"/>
        <w:tblW w:w="11050" w:type="dxa"/>
        <w:tblCellSpacing w:w="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3"/>
        <w:gridCol w:w="1667"/>
        <w:gridCol w:w="382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tblCellSpacing w:w="0" w:type="dxa"/>
        </w:trPr>
        <w:tc>
          <w:tcPr>
            <w:tcW w:w="36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比选人名称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（元）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或其它形式报价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否决投标理由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综合评估得分或备注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36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成都龙腾盛景装饰设计有限公司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596833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36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成都欧洛建筑装饰设计有限公司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628335</w:t>
            </w:r>
          </w:p>
        </w:tc>
        <w:tc>
          <w:tcPr>
            <w:tcW w:w="3829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投标文件未按要求签字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36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中润泰邦建筑工程有限公司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572030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未缴纳投标保证金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36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成都美丽行装饰空间设计有限公司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611670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投标文件中投标函法定代表人未按照规定签字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tblCellSpacing w:w="0" w:type="dxa"/>
        </w:trPr>
        <w:tc>
          <w:tcPr>
            <w:tcW w:w="36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苏州工业园区大田软装有限公司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697730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投标保证金未按招标文件要求：开标前一工作日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17：00时缴纳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tblCellSpacing w:w="0" w:type="dxa"/>
        </w:trPr>
        <w:tc>
          <w:tcPr>
            <w:tcW w:w="36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攀枝花市蛋壳装饰有限公司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672000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未缴纳投标保证金，且未提供投标保证金转账证明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sz w:val="18"/>
          <w:szCs w:val="18"/>
          <w:lang w:val="en-US" w:eastAsia="zh-CN"/>
        </w:rPr>
      </w:pPr>
    </w:p>
    <w:p>
      <w:pPr>
        <w:pStyle w:val="3"/>
        <w:rPr>
          <w:lang w:val="en-US" w:eastAsia="zh-CN"/>
        </w:rPr>
      </w:pPr>
      <w:bookmarkStart w:id="0" w:name="_GoBack"/>
      <w:bookmarkEnd w:id="0"/>
    </w:p>
    <w:sectPr>
      <w:pgSz w:w="11906" w:h="16838"/>
      <w:pgMar w:top="56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F2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Times New Roman" w:hAnsi="Times New Roman" w:eastAsia="宋体" w:cs="Times New Roman"/>
      <w:kern w:val="0"/>
      <w:sz w:val="20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customStyle="1" w:styleId="6">
    <w:name w:val="正文 New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505</Characters>
  <Lines>0</Lines>
  <Paragraphs>53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2020-11-07T06:10:00Z</dcterms:created>
  <dc:creator>admin</dc:creator>
  <cp:lastModifiedBy>Owner</cp:lastModifiedBy>
  <dcterms:modified xsi:type="dcterms:W3CDTF">2021-06-11T00:53:04Z</dcterms:modified>
  <dc:title>根据《中华人民共和国招标投标法实施条例》规定，川投·春光里项目4#、5#地块建筑智能化系统设计评标结果公示，公示时间为2021年3月6日-2021年3月8日，对公示对象如有异议，请与攀枝花红格投资开发有限责任公司联系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01F4C6E9ACCE4CEA8F7304A96574F79C</vt:lpwstr>
  </property>
</Properties>
</file>